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4.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drawings/drawing5.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6.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7.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8.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9.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3F" w:rsidRPr="00F71B34" w:rsidRDefault="00CB3D3F" w:rsidP="00E535A0">
      <w:pPr>
        <w:spacing w:after="0" w:line="312" w:lineRule="auto"/>
        <w:jc w:val="center"/>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Г</w:t>
      </w:r>
      <w:r w:rsidR="00E535A0">
        <w:rPr>
          <w:rFonts w:ascii="Times New Roman" w:eastAsia="Times New Roman" w:hAnsi="Times New Roman"/>
          <w:color w:val="000000"/>
          <w:sz w:val="28"/>
          <w:szCs w:val="28"/>
          <w:lang w:eastAsia="ru-RU"/>
        </w:rPr>
        <w:t xml:space="preserve">ОСУДАРСТВЕННОЕ БЮДЖЕТНОЕ ОБРАЗОВАТЕЛЬНОЕ УЧРЕЖДЕНИЕ ВЫСШЕГО ПРОФЕССИОНАЛЬНОГО ОБРАЗОВАНИЯ </w:t>
      </w:r>
    </w:p>
    <w:p w:rsidR="00CB3D3F" w:rsidRPr="00F71B34" w:rsidRDefault="00CB3D3F" w:rsidP="00E535A0">
      <w:pPr>
        <w:spacing w:after="0" w:line="312" w:lineRule="auto"/>
        <w:jc w:val="center"/>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w:t>
      </w:r>
      <w:r w:rsidR="00E535A0">
        <w:rPr>
          <w:rFonts w:ascii="Times New Roman" w:eastAsia="Times New Roman" w:hAnsi="Times New Roman"/>
          <w:color w:val="000000"/>
          <w:sz w:val="28"/>
          <w:szCs w:val="28"/>
          <w:lang w:eastAsia="ru-RU"/>
        </w:rPr>
        <w:t>КЕМЕРОВСКАЯ ГОСУДАРСТВЕННАЯ МЕДИЦИНСКАЯ АКАДЕМИЯ</w:t>
      </w:r>
      <w:r w:rsidRPr="00F71B34">
        <w:rPr>
          <w:rFonts w:ascii="Times New Roman" w:eastAsia="Times New Roman" w:hAnsi="Times New Roman"/>
          <w:color w:val="000000"/>
          <w:sz w:val="28"/>
          <w:szCs w:val="28"/>
          <w:lang w:eastAsia="ru-RU"/>
        </w:rPr>
        <w:t>»</w:t>
      </w:r>
    </w:p>
    <w:p w:rsidR="00CB3D3F" w:rsidRPr="00F71B34" w:rsidRDefault="00CB3D3F" w:rsidP="00E535A0">
      <w:pPr>
        <w:spacing w:after="0" w:line="312" w:lineRule="auto"/>
        <w:jc w:val="center"/>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М</w:t>
      </w:r>
      <w:r w:rsidR="005F058C">
        <w:rPr>
          <w:rFonts w:ascii="Times New Roman" w:eastAsia="Times New Roman" w:hAnsi="Times New Roman"/>
          <w:color w:val="000000"/>
          <w:sz w:val="28"/>
          <w:szCs w:val="28"/>
          <w:lang w:eastAsia="ru-RU"/>
        </w:rPr>
        <w:t>ИНИСТЕРСТВА ЗДРАВО</w:t>
      </w:r>
      <w:r w:rsidR="000617BC">
        <w:rPr>
          <w:rFonts w:ascii="Times New Roman" w:eastAsia="Times New Roman" w:hAnsi="Times New Roman"/>
          <w:color w:val="000000"/>
          <w:sz w:val="28"/>
          <w:szCs w:val="28"/>
          <w:lang w:eastAsia="ru-RU"/>
        </w:rPr>
        <w:t>О</w:t>
      </w:r>
      <w:r w:rsidR="00E535A0">
        <w:rPr>
          <w:rFonts w:ascii="Times New Roman" w:eastAsia="Times New Roman" w:hAnsi="Times New Roman"/>
          <w:color w:val="000000"/>
          <w:sz w:val="28"/>
          <w:szCs w:val="28"/>
          <w:lang w:eastAsia="ru-RU"/>
        </w:rPr>
        <w:t>ХРАНЕНИЯ РОССИЙСКОЙ ФЕДЕРАЦИИ</w:t>
      </w:r>
    </w:p>
    <w:p w:rsidR="00CB3D3F" w:rsidRPr="00F71B34" w:rsidRDefault="00CB3D3F" w:rsidP="00E535A0">
      <w:pPr>
        <w:spacing w:after="0" w:line="312" w:lineRule="auto"/>
        <w:jc w:val="center"/>
        <w:rPr>
          <w:rFonts w:ascii="Times New Roman" w:eastAsia="Times New Roman" w:hAnsi="Times New Roman"/>
          <w:color w:val="000000"/>
          <w:sz w:val="28"/>
          <w:szCs w:val="28"/>
          <w:lang w:eastAsia="ru-RU"/>
        </w:rPr>
      </w:pPr>
    </w:p>
    <w:p w:rsidR="00CB3D3F" w:rsidRPr="00F71B34" w:rsidRDefault="00CB3D3F" w:rsidP="004B61AE">
      <w:pPr>
        <w:spacing w:after="0" w:line="360" w:lineRule="auto"/>
        <w:rPr>
          <w:rFonts w:ascii="Times New Roman" w:eastAsia="Times New Roman" w:hAnsi="Times New Roman"/>
          <w:color w:val="000000"/>
          <w:sz w:val="28"/>
          <w:szCs w:val="28"/>
          <w:lang w:eastAsia="ru-RU"/>
        </w:rPr>
      </w:pPr>
    </w:p>
    <w:p w:rsidR="00CB3D3F" w:rsidRPr="000617BC" w:rsidRDefault="00CB3D3F" w:rsidP="00F71B34">
      <w:pPr>
        <w:spacing w:after="0" w:line="360" w:lineRule="auto"/>
        <w:jc w:val="right"/>
        <w:rPr>
          <w:rFonts w:ascii="Times New Roman" w:eastAsia="Times New Roman" w:hAnsi="Times New Roman"/>
          <w:color w:val="000000"/>
          <w:sz w:val="28"/>
          <w:szCs w:val="28"/>
          <w:lang w:eastAsia="ru-RU"/>
        </w:rPr>
      </w:pPr>
      <w:r w:rsidRPr="000617BC">
        <w:rPr>
          <w:rFonts w:ascii="Times New Roman" w:eastAsia="Times New Roman" w:hAnsi="Times New Roman"/>
          <w:color w:val="000000"/>
          <w:sz w:val="28"/>
          <w:szCs w:val="28"/>
          <w:lang w:eastAsia="ru-RU"/>
        </w:rPr>
        <w:t>На правах рукописи</w:t>
      </w:r>
    </w:p>
    <w:p w:rsidR="00CB3D3F" w:rsidRPr="00F71B34" w:rsidRDefault="00CB3D3F" w:rsidP="00F71B34">
      <w:pPr>
        <w:spacing w:after="0" w:line="360" w:lineRule="auto"/>
        <w:jc w:val="right"/>
        <w:rPr>
          <w:rFonts w:ascii="Times New Roman" w:eastAsia="Times New Roman" w:hAnsi="Times New Roman"/>
          <w:b/>
          <w:color w:val="000000"/>
          <w:sz w:val="28"/>
          <w:szCs w:val="28"/>
          <w:lang w:eastAsia="ru-RU"/>
        </w:rPr>
      </w:pPr>
    </w:p>
    <w:p w:rsidR="00CB3D3F" w:rsidRPr="00F71B34" w:rsidRDefault="00CB3D3F" w:rsidP="00F71B34">
      <w:pPr>
        <w:spacing w:after="0" w:line="360" w:lineRule="auto"/>
        <w:jc w:val="right"/>
        <w:rPr>
          <w:rFonts w:ascii="Times New Roman" w:eastAsia="Times New Roman" w:hAnsi="Times New Roman"/>
          <w:b/>
          <w:color w:val="000000"/>
          <w:sz w:val="28"/>
          <w:szCs w:val="28"/>
          <w:lang w:eastAsia="ru-RU"/>
        </w:rPr>
      </w:pPr>
    </w:p>
    <w:p w:rsidR="00CB3D3F" w:rsidRPr="00F71B34" w:rsidRDefault="000617BC" w:rsidP="00F71B34">
      <w:pPr>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w:t>
      </w:r>
      <w:r w:rsidR="00CD2EDC">
        <w:rPr>
          <w:rFonts w:ascii="Times New Roman" w:eastAsia="Times New Roman" w:hAnsi="Times New Roman"/>
          <w:b/>
          <w:color w:val="000000"/>
          <w:sz w:val="28"/>
          <w:szCs w:val="28"/>
          <w:lang w:eastAsia="ru-RU"/>
        </w:rPr>
        <w:t>оролева</w:t>
      </w:r>
      <w:r>
        <w:rPr>
          <w:rFonts w:ascii="Times New Roman" w:eastAsia="Times New Roman" w:hAnsi="Times New Roman"/>
          <w:b/>
          <w:color w:val="000000"/>
          <w:sz w:val="28"/>
          <w:szCs w:val="28"/>
          <w:lang w:eastAsia="ru-RU"/>
        </w:rPr>
        <w:t xml:space="preserve"> М</w:t>
      </w:r>
      <w:r w:rsidR="00CD2EDC">
        <w:rPr>
          <w:rFonts w:ascii="Times New Roman" w:eastAsia="Times New Roman" w:hAnsi="Times New Roman"/>
          <w:b/>
          <w:color w:val="000000"/>
          <w:sz w:val="28"/>
          <w:szCs w:val="28"/>
          <w:lang w:eastAsia="ru-RU"/>
        </w:rPr>
        <w:t>арина</w:t>
      </w:r>
      <w:r>
        <w:rPr>
          <w:rFonts w:ascii="Times New Roman" w:eastAsia="Times New Roman" w:hAnsi="Times New Roman"/>
          <w:b/>
          <w:color w:val="000000"/>
          <w:sz w:val="28"/>
          <w:szCs w:val="28"/>
          <w:lang w:eastAsia="ru-RU"/>
        </w:rPr>
        <w:t xml:space="preserve"> В</w:t>
      </w:r>
      <w:r w:rsidR="00CD2EDC">
        <w:rPr>
          <w:rFonts w:ascii="Times New Roman" w:eastAsia="Times New Roman" w:hAnsi="Times New Roman"/>
          <w:b/>
          <w:color w:val="000000"/>
          <w:sz w:val="28"/>
          <w:szCs w:val="28"/>
          <w:lang w:eastAsia="ru-RU"/>
        </w:rPr>
        <w:t>алерьевна</w:t>
      </w:r>
    </w:p>
    <w:p w:rsidR="00CB3D3F" w:rsidRPr="00F71B34" w:rsidRDefault="00CB3D3F" w:rsidP="004B61AE">
      <w:pPr>
        <w:spacing w:after="0" w:line="360" w:lineRule="auto"/>
        <w:rPr>
          <w:rFonts w:ascii="Times New Roman" w:eastAsia="Times New Roman" w:hAnsi="Times New Roman"/>
          <w:b/>
          <w:color w:val="000000"/>
          <w:sz w:val="28"/>
          <w:szCs w:val="28"/>
          <w:lang w:eastAsia="ru-RU"/>
        </w:rPr>
      </w:pPr>
    </w:p>
    <w:p w:rsidR="00200296" w:rsidRDefault="00200296" w:rsidP="00F71B34">
      <w:pPr>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ВЛИЯНИЕ ДЛИТЕЛЬНОЙ АНТИ </w:t>
      </w:r>
      <w:proofErr w:type="gramStart"/>
      <w:r>
        <w:rPr>
          <w:rFonts w:ascii="Times New Roman" w:eastAsia="Times New Roman" w:hAnsi="Times New Roman"/>
          <w:b/>
          <w:color w:val="000000"/>
          <w:sz w:val="28"/>
          <w:szCs w:val="28"/>
          <w:lang w:eastAsia="ru-RU"/>
        </w:rPr>
        <w:t>В-КЛЕТОЧНОЙ</w:t>
      </w:r>
      <w:proofErr w:type="gramEnd"/>
      <w:r>
        <w:rPr>
          <w:rFonts w:ascii="Times New Roman" w:eastAsia="Times New Roman" w:hAnsi="Times New Roman"/>
          <w:b/>
          <w:color w:val="000000"/>
          <w:sz w:val="28"/>
          <w:szCs w:val="28"/>
          <w:lang w:eastAsia="ru-RU"/>
        </w:rPr>
        <w:t xml:space="preserve"> ТЕРАПИИ И МЕТОТРЕКСАТА НА МИНЕРАЛЬНУЮ ПЛОТНОСТЬ КОСТИ ЖЕНЩИН С РЕВМАТОИДНЫМ АРТРИТОМ В ПОСТМЕНОПАУЗЕ</w:t>
      </w:r>
    </w:p>
    <w:p w:rsidR="000B6670" w:rsidRPr="00F71B34" w:rsidRDefault="000B6670" w:rsidP="00F71B34">
      <w:pPr>
        <w:spacing w:after="0" w:line="360" w:lineRule="auto"/>
        <w:jc w:val="center"/>
        <w:rPr>
          <w:rFonts w:ascii="Times New Roman" w:hAnsi="Times New Roman"/>
          <w:b/>
          <w:sz w:val="28"/>
          <w:szCs w:val="28"/>
        </w:rPr>
      </w:pPr>
    </w:p>
    <w:p w:rsidR="00350F30" w:rsidRPr="008E35D6" w:rsidRDefault="00350F30" w:rsidP="00350F30">
      <w:pPr>
        <w:spacing w:after="0" w:line="400" w:lineRule="exact"/>
        <w:jc w:val="center"/>
        <w:rPr>
          <w:rFonts w:ascii="Times New Roman" w:hAnsi="Times New Roman"/>
          <w:sz w:val="28"/>
          <w:szCs w:val="28"/>
        </w:rPr>
      </w:pPr>
      <w:r w:rsidRPr="008E35D6">
        <w:rPr>
          <w:rFonts w:ascii="Times New Roman" w:eastAsia="Times New Roman" w:hAnsi="Times New Roman"/>
          <w:sz w:val="28"/>
          <w:szCs w:val="28"/>
        </w:rPr>
        <w:t>Специальность 14.01.22 — Ревматология</w:t>
      </w:r>
    </w:p>
    <w:p w:rsidR="00CB3D3F" w:rsidRDefault="00CB3D3F" w:rsidP="00F71B34">
      <w:pPr>
        <w:spacing w:after="0" w:line="360" w:lineRule="auto"/>
        <w:jc w:val="both"/>
        <w:rPr>
          <w:rFonts w:ascii="Times New Roman" w:eastAsia="Times New Roman" w:hAnsi="Times New Roman"/>
          <w:color w:val="000000"/>
          <w:sz w:val="28"/>
          <w:szCs w:val="28"/>
          <w:lang w:eastAsia="ru-RU"/>
        </w:rPr>
      </w:pPr>
    </w:p>
    <w:p w:rsidR="00350F30" w:rsidRPr="00F71B34" w:rsidRDefault="00350F30" w:rsidP="00F71B34">
      <w:pPr>
        <w:spacing w:after="0" w:line="360" w:lineRule="auto"/>
        <w:jc w:val="both"/>
        <w:rPr>
          <w:rFonts w:ascii="Times New Roman" w:eastAsia="Times New Roman" w:hAnsi="Times New Roman"/>
          <w:color w:val="000000"/>
          <w:sz w:val="28"/>
          <w:szCs w:val="28"/>
          <w:lang w:eastAsia="ru-RU"/>
        </w:rPr>
      </w:pPr>
    </w:p>
    <w:p w:rsidR="00350F30" w:rsidRDefault="00CB3D3F" w:rsidP="00F71B34">
      <w:pPr>
        <w:spacing w:after="0" w:line="360" w:lineRule="auto"/>
        <w:jc w:val="center"/>
        <w:rPr>
          <w:rFonts w:ascii="Times New Roman" w:eastAsia="Times New Roman" w:hAnsi="Times New Roman"/>
          <w:color w:val="000000"/>
          <w:sz w:val="28"/>
          <w:szCs w:val="28"/>
          <w:lang w:eastAsia="ru-RU"/>
        </w:rPr>
      </w:pPr>
      <w:r w:rsidRPr="000617BC">
        <w:rPr>
          <w:rFonts w:ascii="Times New Roman" w:eastAsia="Times New Roman" w:hAnsi="Times New Roman"/>
          <w:color w:val="000000"/>
          <w:sz w:val="28"/>
          <w:szCs w:val="28"/>
          <w:lang w:eastAsia="ru-RU"/>
        </w:rPr>
        <w:t>Диссертация</w:t>
      </w:r>
      <w:r w:rsidR="000617BC">
        <w:rPr>
          <w:rFonts w:ascii="Times New Roman" w:eastAsia="Times New Roman" w:hAnsi="Times New Roman"/>
          <w:color w:val="000000"/>
          <w:sz w:val="28"/>
          <w:szCs w:val="28"/>
          <w:lang w:eastAsia="ru-RU"/>
        </w:rPr>
        <w:t xml:space="preserve"> </w:t>
      </w:r>
    </w:p>
    <w:p w:rsidR="00CB3D3F" w:rsidRPr="00F71B34" w:rsidRDefault="00CB3D3F" w:rsidP="00F71B34">
      <w:pPr>
        <w:spacing w:after="0" w:line="360" w:lineRule="auto"/>
        <w:jc w:val="center"/>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 xml:space="preserve">на соискание ученой степени </w:t>
      </w:r>
    </w:p>
    <w:p w:rsidR="00CB3D3F" w:rsidRPr="00F71B34" w:rsidRDefault="00CB3D3F" w:rsidP="00F71B34">
      <w:pPr>
        <w:spacing w:after="0" w:line="360" w:lineRule="auto"/>
        <w:jc w:val="center"/>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кандидата медицинских наук</w:t>
      </w:r>
    </w:p>
    <w:p w:rsidR="000B6670" w:rsidRDefault="000B6670" w:rsidP="00F71B34">
      <w:pPr>
        <w:spacing w:after="0" w:line="360" w:lineRule="auto"/>
        <w:rPr>
          <w:rFonts w:ascii="Times New Roman" w:eastAsia="Times New Roman" w:hAnsi="Times New Roman"/>
          <w:b/>
          <w:color w:val="000000"/>
          <w:sz w:val="28"/>
          <w:szCs w:val="28"/>
          <w:lang w:eastAsia="ru-RU"/>
        </w:rPr>
      </w:pPr>
    </w:p>
    <w:p w:rsidR="000617BC" w:rsidRPr="00F71B34" w:rsidRDefault="000617BC" w:rsidP="00F71B34">
      <w:pPr>
        <w:spacing w:after="0" w:line="360" w:lineRule="auto"/>
        <w:rPr>
          <w:rFonts w:ascii="Times New Roman" w:eastAsia="Times New Roman" w:hAnsi="Times New Roman"/>
          <w:b/>
          <w:color w:val="000000"/>
          <w:sz w:val="28"/>
          <w:szCs w:val="28"/>
          <w:lang w:eastAsia="ru-RU"/>
        </w:rPr>
      </w:pPr>
    </w:p>
    <w:p w:rsidR="00CB3D3F" w:rsidRPr="00F71B34" w:rsidRDefault="00CB3D3F" w:rsidP="00F71B34">
      <w:pPr>
        <w:spacing w:after="0" w:line="360" w:lineRule="auto"/>
        <w:jc w:val="center"/>
        <w:rPr>
          <w:rFonts w:ascii="Times New Roman" w:eastAsia="Times New Roman" w:hAnsi="Times New Roman"/>
          <w:b/>
          <w:color w:val="000000"/>
          <w:sz w:val="28"/>
          <w:szCs w:val="28"/>
          <w:lang w:eastAsia="ru-RU"/>
        </w:rPr>
      </w:pPr>
      <w:r w:rsidRPr="00F71B34">
        <w:rPr>
          <w:rFonts w:ascii="Times New Roman" w:eastAsia="Times New Roman" w:hAnsi="Times New Roman"/>
          <w:b/>
          <w:color w:val="000000"/>
          <w:sz w:val="28"/>
          <w:szCs w:val="28"/>
          <w:lang w:eastAsia="ru-RU"/>
        </w:rPr>
        <w:t xml:space="preserve">                                                    </w:t>
      </w:r>
      <w:r w:rsidR="000B6670" w:rsidRPr="00F71B34">
        <w:rPr>
          <w:rFonts w:ascii="Times New Roman" w:eastAsia="Times New Roman" w:hAnsi="Times New Roman"/>
          <w:b/>
          <w:color w:val="000000"/>
          <w:sz w:val="28"/>
          <w:szCs w:val="28"/>
          <w:lang w:eastAsia="ru-RU"/>
        </w:rPr>
        <w:t xml:space="preserve">                          </w:t>
      </w:r>
      <w:r w:rsidR="00FB38FA" w:rsidRPr="005358C3">
        <w:rPr>
          <w:rFonts w:ascii="Times New Roman" w:eastAsia="Times New Roman" w:hAnsi="Times New Roman"/>
          <w:b/>
          <w:color w:val="000000"/>
          <w:sz w:val="28"/>
          <w:szCs w:val="28"/>
          <w:lang w:eastAsia="ru-RU"/>
        </w:rPr>
        <w:t xml:space="preserve">       </w:t>
      </w:r>
      <w:r w:rsidRPr="00F71B34">
        <w:rPr>
          <w:rFonts w:ascii="Times New Roman" w:eastAsia="Times New Roman" w:hAnsi="Times New Roman"/>
          <w:b/>
          <w:color w:val="000000"/>
          <w:sz w:val="28"/>
          <w:szCs w:val="28"/>
          <w:lang w:eastAsia="ru-RU"/>
        </w:rPr>
        <w:t>Научный руководитель:</w:t>
      </w:r>
    </w:p>
    <w:p w:rsidR="00CB3D3F" w:rsidRPr="00F71B34" w:rsidRDefault="00CB3D3F" w:rsidP="00F71B34">
      <w:pPr>
        <w:spacing w:after="0" w:line="360" w:lineRule="auto"/>
        <w:jc w:val="center"/>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 xml:space="preserve">                                      </w:t>
      </w:r>
      <w:r w:rsidR="000B6670" w:rsidRPr="00F71B34">
        <w:rPr>
          <w:rFonts w:ascii="Times New Roman" w:eastAsia="Times New Roman" w:hAnsi="Times New Roman"/>
          <w:color w:val="000000"/>
          <w:sz w:val="28"/>
          <w:szCs w:val="28"/>
          <w:lang w:eastAsia="ru-RU"/>
        </w:rPr>
        <w:t xml:space="preserve">                           </w:t>
      </w:r>
      <w:r w:rsidR="000617BC">
        <w:rPr>
          <w:rFonts w:ascii="Times New Roman" w:eastAsia="Times New Roman" w:hAnsi="Times New Roman"/>
          <w:color w:val="000000"/>
          <w:sz w:val="28"/>
          <w:szCs w:val="28"/>
          <w:lang w:eastAsia="ru-RU"/>
        </w:rPr>
        <w:t xml:space="preserve">   </w:t>
      </w:r>
      <w:r w:rsidR="00FB38FA" w:rsidRPr="005358C3">
        <w:rPr>
          <w:rFonts w:ascii="Times New Roman" w:eastAsia="Times New Roman" w:hAnsi="Times New Roman"/>
          <w:color w:val="000000"/>
          <w:sz w:val="28"/>
          <w:szCs w:val="28"/>
          <w:lang w:eastAsia="ru-RU"/>
        </w:rPr>
        <w:t xml:space="preserve">         </w:t>
      </w:r>
      <w:r w:rsidR="00CD2EDC">
        <w:rPr>
          <w:rFonts w:ascii="Times New Roman" w:eastAsia="Times New Roman" w:hAnsi="Times New Roman"/>
          <w:color w:val="000000"/>
          <w:sz w:val="28"/>
          <w:szCs w:val="28"/>
          <w:lang w:eastAsia="ru-RU"/>
        </w:rPr>
        <w:t>д</w:t>
      </w:r>
      <w:r w:rsidR="000617BC">
        <w:rPr>
          <w:rFonts w:ascii="Times New Roman" w:eastAsia="Times New Roman" w:hAnsi="Times New Roman"/>
          <w:color w:val="000000"/>
          <w:sz w:val="28"/>
          <w:szCs w:val="28"/>
          <w:lang w:eastAsia="ru-RU"/>
        </w:rPr>
        <w:t>октор медицинских наук</w:t>
      </w:r>
      <w:r w:rsidRPr="00F71B34">
        <w:rPr>
          <w:rFonts w:ascii="Times New Roman" w:eastAsia="Times New Roman" w:hAnsi="Times New Roman"/>
          <w:color w:val="000000"/>
          <w:sz w:val="28"/>
          <w:szCs w:val="28"/>
          <w:lang w:eastAsia="ru-RU"/>
        </w:rPr>
        <w:t>, профессор</w:t>
      </w:r>
    </w:p>
    <w:p w:rsidR="00CB3D3F" w:rsidRPr="004B61AE" w:rsidRDefault="00CB3D3F" w:rsidP="004B61AE">
      <w:pPr>
        <w:spacing w:after="0" w:line="360" w:lineRule="auto"/>
        <w:jc w:val="both"/>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 xml:space="preserve">                                                          </w:t>
      </w:r>
      <w:r w:rsidR="00391E01" w:rsidRPr="00F71B34">
        <w:rPr>
          <w:rFonts w:ascii="Times New Roman" w:eastAsia="Times New Roman" w:hAnsi="Times New Roman"/>
          <w:color w:val="000000"/>
          <w:sz w:val="28"/>
          <w:szCs w:val="28"/>
          <w:lang w:eastAsia="ru-RU"/>
        </w:rPr>
        <w:t xml:space="preserve">                </w:t>
      </w:r>
      <w:r w:rsidR="00FB38FA" w:rsidRPr="005358C3">
        <w:rPr>
          <w:rFonts w:ascii="Times New Roman" w:eastAsia="Times New Roman" w:hAnsi="Times New Roman"/>
          <w:color w:val="000000"/>
          <w:sz w:val="28"/>
          <w:szCs w:val="28"/>
          <w:lang w:eastAsia="ru-RU"/>
        </w:rPr>
        <w:t xml:space="preserve">                  </w:t>
      </w:r>
      <w:r w:rsidR="004B61AE">
        <w:rPr>
          <w:rFonts w:ascii="Times New Roman" w:eastAsia="Times New Roman" w:hAnsi="Times New Roman"/>
          <w:color w:val="000000"/>
          <w:sz w:val="28"/>
          <w:szCs w:val="28"/>
          <w:lang w:eastAsia="ru-RU"/>
        </w:rPr>
        <w:t>Раскина Татьяна Алексеевна</w:t>
      </w:r>
    </w:p>
    <w:p w:rsidR="0032222E" w:rsidRPr="00F71B34" w:rsidRDefault="0032222E" w:rsidP="00F71B34">
      <w:pPr>
        <w:spacing w:after="0" w:line="360" w:lineRule="auto"/>
        <w:jc w:val="center"/>
        <w:rPr>
          <w:rFonts w:ascii="Times New Roman" w:eastAsia="Times New Roman" w:hAnsi="Times New Roman"/>
          <w:b/>
          <w:color w:val="000000"/>
          <w:sz w:val="28"/>
          <w:szCs w:val="28"/>
          <w:lang w:eastAsia="ru-RU"/>
        </w:rPr>
      </w:pPr>
    </w:p>
    <w:p w:rsidR="00420368" w:rsidRPr="00F71B34" w:rsidRDefault="00420368" w:rsidP="00225925">
      <w:pPr>
        <w:spacing w:after="0" w:line="360" w:lineRule="auto"/>
        <w:rPr>
          <w:rFonts w:ascii="Times New Roman" w:eastAsia="Times New Roman" w:hAnsi="Times New Roman"/>
          <w:b/>
          <w:color w:val="000000"/>
          <w:sz w:val="28"/>
          <w:szCs w:val="28"/>
          <w:lang w:eastAsia="ru-RU"/>
        </w:rPr>
      </w:pPr>
    </w:p>
    <w:p w:rsidR="0032222E" w:rsidRDefault="0032222E" w:rsidP="00F71B34">
      <w:pPr>
        <w:spacing w:after="0" w:line="360" w:lineRule="auto"/>
        <w:jc w:val="center"/>
        <w:rPr>
          <w:rFonts w:ascii="Times New Roman" w:eastAsia="Times New Roman" w:hAnsi="Times New Roman"/>
          <w:b/>
          <w:color w:val="000000"/>
          <w:sz w:val="28"/>
          <w:szCs w:val="28"/>
          <w:lang w:eastAsia="ru-RU"/>
        </w:rPr>
      </w:pPr>
    </w:p>
    <w:p w:rsidR="00350F30" w:rsidRPr="00F71B34" w:rsidRDefault="00350F30" w:rsidP="00F71B34">
      <w:pPr>
        <w:spacing w:after="0" w:line="360" w:lineRule="auto"/>
        <w:jc w:val="center"/>
        <w:rPr>
          <w:rFonts w:ascii="Times New Roman" w:eastAsia="Times New Roman" w:hAnsi="Times New Roman"/>
          <w:b/>
          <w:color w:val="000000"/>
          <w:sz w:val="28"/>
          <w:szCs w:val="28"/>
          <w:lang w:eastAsia="ru-RU"/>
        </w:rPr>
      </w:pPr>
    </w:p>
    <w:p w:rsidR="0032222E" w:rsidRPr="00F71B34" w:rsidRDefault="00BC5BAE" w:rsidP="00F71B34">
      <w:pPr>
        <w:spacing w:after="0" w:line="360" w:lineRule="auto"/>
        <w:jc w:val="center"/>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К</w:t>
      </w:r>
      <w:r w:rsidR="00C31CBD">
        <w:rPr>
          <w:rFonts w:ascii="Times New Roman" w:eastAsia="Times New Roman" w:hAnsi="Times New Roman"/>
          <w:color w:val="000000"/>
          <w:sz w:val="28"/>
          <w:szCs w:val="28"/>
          <w:lang w:eastAsia="ru-RU"/>
        </w:rPr>
        <w:t xml:space="preserve">емерово </w:t>
      </w:r>
      <w:r w:rsidR="00CB3D3F" w:rsidRPr="00F71B34">
        <w:rPr>
          <w:rFonts w:ascii="Times New Roman" w:eastAsia="Times New Roman" w:hAnsi="Times New Roman"/>
          <w:color w:val="000000"/>
          <w:sz w:val="28"/>
          <w:szCs w:val="28"/>
          <w:lang w:eastAsia="ru-RU"/>
        </w:rPr>
        <w:t>– 201</w:t>
      </w:r>
      <w:r w:rsidR="00CD2EDC">
        <w:rPr>
          <w:rFonts w:ascii="Times New Roman" w:eastAsia="Times New Roman" w:hAnsi="Times New Roman"/>
          <w:color w:val="000000"/>
          <w:sz w:val="28"/>
          <w:szCs w:val="28"/>
          <w:lang w:eastAsia="ru-RU"/>
        </w:rPr>
        <w:t>6</w:t>
      </w:r>
    </w:p>
    <w:p w:rsidR="00A82D3F" w:rsidRPr="00F71B34" w:rsidRDefault="009133AA" w:rsidP="00A82D3F">
      <w:pPr>
        <w:spacing w:after="0" w:line="360" w:lineRule="auto"/>
        <w:jc w:val="center"/>
        <w:rPr>
          <w:rFonts w:ascii="Times New Roman" w:eastAsia="Times New Roman" w:hAnsi="Times New Roman"/>
          <w:b/>
          <w:color w:val="000000"/>
          <w:sz w:val="28"/>
          <w:szCs w:val="28"/>
          <w:lang w:eastAsia="ru-RU"/>
        </w:rPr>
      </w:pPr>
      <w:r w:rsidRPr="00F71B34">
        <w:rPr>
          <w:rFonts w:ascii="Times New Roman" w:eastAsia="Times New Roman" w:hAnsi="Times New Roman"/>
          <w:b/>
          <w:color w:val="000000"/>
          <w:sz w:val="28"/>
          <w:szCs w:val="28"/>
          <w:lang w:eastAsia="ru-RU"/>
        </w:rPr>
        <w:lastRenderedPageBreak/>
        <w:t>ОГЛАВЛЕНИЕ</w:t>
      </w:r>
    </w:p>
    <w:p w:rsidR="00112E18" w:rsidRPr="00112E18" w:rsidRDefault="00112E18" w:rsidP="00042A29">
      <w:pPr>
        <w:spacing w:after="0" w:line="360" w:lineRule="auto"/>
        <w:rPr>
          <w:rFonts w:ascii="Times New Roman" w:eastAsia="Times New Roman" w:hAnsi="Times New Roman"/>
          <w:sz w:val="28"/>
          <w:szCs w:val="28"/>
          <w:lang w:eastAsia="ru-RU"/>
        </w:rPr>
      </w:pPr>
      <w:r w:rsidRPr="00F71B34">
        <w:rPr>
          <w:rFonts w:ascii="Times New Roman" w:eastAsia="Times New Roman" w:hAnsi="Times New Roman"/>
          <w:b/>
          <w:sz w:val="28"/>
          <w:szCs w:val="28"/>
          <w:lang w:eastAsia="ru-RU"/>
        </w:rPr>
        <w:t>СПИСОК  СОКРАЩЕНИЙ</w:t>
      </w:r>
      <w:r w:rsidRPr="00CC3541">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p>
    <w:p w:rsidR="009D7C22" w:rsidRPr="00CC3541" w:rsidRDefault="009D7C22" w:rsidP="00042A29">
      <w:pPr>
        <w:spacing w:after="0" w:line="360" w:lineRule="auto"/>
        <w:rPr>
          <w:rFonts w:ascii="Times New Roman" w:eastAsia="Times New Roman" w:hAnsi="Times New Roman"/>
          <w:sz w:val="28"/>
          <w:szCs w:val="28"/>
          <w:lang w:eastAsia="ru-RU"/>
        </w:rPr>
      </w:pPr>
      <w:r w:rsidRPr="00F71B34">
        <w:rPr>
          <w:rFonts w:ascii="Times New Roman" w:eastAsia="Times New Roman" w:hAnsi="Times New Roman"/>
          <w:b/>
          <w:sz w:val="28"/>
          <w:szCs w:val="28"/>
          <w:lang w:eastAsia="ru-RU"/>
        </w:rPr>
        <w:t>ВВЕДЕНИЕ</w:t>
      </w:r>
      <w:r w:rsidR="005A3AA1">
        <w:rPr>
          <w:rFonts w:ascii="Times New Roman" w:eastAsia="Times New Roman" w:hAnsi="Times New Roman"/>
          <w:sz w:val="28"/>
          <w:szCs w:val="28"/>
          <w:lang w:eastAsia="ru-RU"/>
        </w:rPr>
        <w:t>……………………………………………………………………</w:t>
      </w:r>
      <w:r w:rsidR="00112E18">
        <w:rPr>
          <w:rFonts w:ascii="Times New Roman" w:eastAsia="Times New Roman" w:hAnsi="Times New Roman"/>
          <w:sz w:val="28"/>
          <w:szCs w:val="28"/>
          <w:lang w:eastAsia="ru-RU"/>
        </w:rPr>
        <w:t>…….</w:t>
      </w:r>
      <w:r w:rsidR="005A3AA1">
        <w:rPr>
          <w:rFonts w:ascii="Times New Roman" w:eastAsia="Times New Roman" w:hAnsi="Times New Roman"/>
          <w:sz w:val="28"/>
          <w:szCs w:val="28"/>
          <w:lang w:eastAsia="ru-RU"/>
        </w:rPr>
        <w:t>…</w:t>
      </w:r>
      <w:r w:rsidR="00112E18">
        <w:rPr>
          <w:rFonts w:ascii="Times New Roman" w:eastAsia="Times New Roman" w:hAnsi="Times New Roman"/>
          <w:sz w:val="28"/>
          <w:szCs w:val="28"/>
          <w:lang w:eastAsia="ru-RU"/>
        </w:rPr>
        <w:t>6</w:t>
      </w:r>
    </w:p>
    <w:p w:rsidR="009D7C22" w:rsidRPr="00F71B34" w:rsidRDefault="009D7C22" w:rsidP="00042A29">
      <w:pPr>
        <w:spacing w:after="0" w:line="360" w:lineRule="auto"/>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 xml:space="preserve">ГЛАВА </w:t>
      </w:r>
      <w:r w:rsidRPr="00F71B34">
        <w:rPr>
          <w:rFonts w:ascii="Times New Roman" w:eastAsia="Times New Roman" w:hAnsi="Times New Roman"/>
          <w:b/>
          <w:sz w:val="28"/>
          <w:szCs w:val="28"/>
          <w:lang w:val="en-US" w:eastAsia="ru-RU"/>
        </w:rPr>
        <w:t>I</w:t>
      </w:r>
      <w:r w:rsidRPr="00F71B34">
        <w:rPr>
          <w:rFonts w:ascii="Times New Roman" w:eastAsia="Times New Roman" w:hAnsi="Times New Roman"/>
          <w:b/>
          <w:sz w:val="28"/>
          <w:szCs w:val="28"/>
          <w:lang w:eastAsia="ru-RU"/>
        </w:rPr>
        <w:t>. СОСТОЯНИЕ МИНЕРАЛЬНОЙ ПЛОТНОСТИ</w:t>
      </w:r>
      <w:r w:rsidR="00042A29">
        <w:rPr>
          <w:rFonts w:ascii="Times New Roman" w:eastAsia="Times New Roman" w:hAnsi="Times New Roman"/>
          <w:b/>
          <w:sz w:val="28"/>
          <w:szCs w:val="28"/>
          <w:lang w:eastAsia="ru-RU"/>
        </w:rPr>
        <w:t xml:space="preserve"> </w:t>
      </w:r>
      <w:r w:rsidRPr="00F71B34">
        <w:rPr>
          <w:rFonts w:ascii="Times New Roman" w:eastAsia="Times New Roman" w:hAnsi="Times New Roman"/>
          <w:b/>
          <w:sz w:val="28"/>
          <w:szCs w:val="28"/>
          <w:lang w:eastAsia="ru-RU"/>
        </w:rPr>
        <w:t>КОСТИ</w:t>
      </w:r>
      <w:r w:rsidR="00042A29">
        <w:rPr>
          <w:rFonts w:ascii="Times New Roman" w:eastAsia="Times New Roman" w:hAnsi="Times New Roman"/>
          <w:b/>
          <w:sz w:val="28"/>
          <w:szCs w:val="28"/>
          <w:lang w:eastAsia="ru-RU"/>
        </w:rPr>
        <w:br/>
      </w:r>
      <w:r w:rsidRPr="00F71B34">
        <w:rPr>
          <w:rFonts w:ascii="Times New Roman" w:eastAsia="Times New Roman" w:hAnsi="Times New Roman"/>
          <w:b/>
          <w:sz w:val="28"/>
          <w:szCs w:val="28"/>
          <w:lang w:eastAsia="ru-RU"/>
        </w:rPr>
        <w:t>У ЖЕНЩИН С РЕВМАТОИДН</w:t>
      </w:r>
      <w:r w:rsidR="00042A29">
        <w:rPr>
          <w:rFonts w:ascii="Times New Roman" w:eastAsia="Times New Roman" w:hAnsi="Times New Roman"/>
          <w:b/>
          <w:sz w:val="28"/>
          <w:szCs w:val="28"/>
          <w:lang w:eastAsia="ru-RU"/>
        </w:rPr>
        <w:t>ЫМ</w:t>
      </w:r>
      <w:r w:rsidRPr="00F71B34">
        <w:rPr>
          <w:rFonts w:ascii="Times New Roman" w:eastAsia="Times New Roman" w:hAnsi="Times New Roman"/>
          <w:b/>
          <w:sz w:val="28"/>
          <w:szCs w:val="28"/>
          <w:lang w:eastAsia="ru-RU"/>
        </w:rPr>
        <w:t xml:space="preserve"> АРТРИТ</w:t>
      </w:r>
      <w:r w:rsidR="00042A29">
        <w:rPr>
          <w:rFonts w:ascii="Times New Roman" w:eastAsia="Times New Roman" w:hAnsi="Times New Roman"/>
          <w:b/>
          <w:sz w:val="28"/>
          <w:szCs w:val="28"/>
          <w:lang w:eastAsia="ru-RU"/>
        </w:rPr>
        <w:t>ОМ</w:t>
      </w:r>
      <w:r w:rsidR="00042A29">
        <w:rPr>
          <w:rFonts w:ascii="Times New Roman" w:eastAsia="Times New Roman" w:hAnsi="Times New Roman"/>
          <w:b/>
          <w:sz w:val="28"/>
          <w:szCs w:val="28"/>
          <w:lang w:eastAsia="ru-RU"/>
        </w:rPr>
        <w:br/>
      </w:r>
      <w:r w:rsidR="00042A29" w:rsidRPr="00F71B34">
        <w:rPr>
          <w:rFonts w:ascii="Times New Roman" w:eastAsia="Times New Roman" w:hAnsi="Times New Roman"/>
          <w:b/>
          <w:sz w:val="28"/>
          <w:szCs w:val="28"/>
          <w:lang w:eastAsia="ru-RU"/>
        </w:rPr>
        <w:t>В ПОСТМЕНОПАУЗЕ</w:t>
      </w:r>
      <w:r w:rsidRPr="00F71B34">
        <w:rPr>
          <w:rFonts w:ascii="Times New Roman" w:eastAsia="Times New Roman" w:hAnsi="Times New Roman"/>
          <w:b/>
          <w:sz w:val="28"/>
          <w:szCs w:val="28"/>
          <w:lang w:eastAsia="ru-RU"/>
        </w:rPr>
        <w:t xml:space="preserve"> (ОБЗОР</w:t>
      </w:r>
      <w:r w:rsidR="00042A29">
        <w:rPr>
          <w:rFonts w:ascii="Times New Roman" w:eastAsia="Times New Roman" w:hAnsi="Times New Roman"/>
          <w:b/>
          <w:sz w:val="28"/>
          <w:szCs w:val="28"/>
          <w:lang w:eastAsia="ru-RU"/>
        </w:rPr>
        <w:t xml:space="preserve"> </w:t>
      </w:r>
      <w:r w:rsidRPr="00F71B34">
        <w:rPr>
          <w:rFonts w:ascii="Times New Roman" w:eastAsia="Times New Roman" w:hAnsi="Times New Roman"/>
          <w:b/>
          <w:sz w:val="28"/>
          <w:szCs w:val="28"/>
          <w:lang w:eastAsia="ru-RU"/>
        </w:rPr>
        <w:t>ЛИТЕРАТУРЫ)</w:t>
      </w:r>
      <w:r w:rsidR="005A3AA1">
        <w:rPr>
          <w:rFonts w:ascii="Times New Roman" w:eastAsia="Times New Roman" w:hAnsi="Times New Roman"/>
          <w:sz w:val="28"/>
          <w:szCs w:val="28"/>
          <w:lang w:eastAsia="ru-RU"/>
        </w:rPr>
        <w:t>……………………</w:t>
      </w:r>
      <w:r w:rsidR="00E420C2">
        <w:rPr>
          <w:rFonts w:ascii="Times New Roman" w:eastAsia="Times New Roman" w:hAnsi="Times New Roman"/>
          <w:sz w:val="28"/>
          <w:szCs w:val="28"/>
          <w:lang w:eastAsia="ru-RU"/>
        </w:rPr>
        <w:t>…….</w:t>
      </w:r>
      <w:r w:rsidR="005A3AA1">
        <w:rPr>
          <w:rFonts w:ascii="Times New Roman" w:eastAsia="Times New Roman" w:hAnsi="Times New Roman"/>
          <w:sz w:val="28"/>
          <w:szCs w:val="28"/>
          <w:lang w:eastAsia="ru-RU"/>
        </w:rPr>
        <w:t>……</w:t>
      </w:r>
      <w:r w:rsidR="00CC3541" w:rsidRPr="00CC3541">
        <w:rPr>
          <w:rFonts w:ascii="Times New Roman" w:eastAsia="Times New Roman" w:hAnsi="Times New Roman"/>
          <w:sz w:val="28"/>
          <w:szCs w:val="28"/>
          <w:lang w:eastAsia="ru-RU"/>
        </w:rPr>
        <w:t>1</w:t>
      </w:r>
      <w:r w:rsidR="00E420C2">
        <w:rPr>
          <w:rFonts w:ascii="Times New Roman" w:eastAsia="Times New Roman" w:hAnsi="Times New Roman"/>
          <w:sz w:val="28"/>
          <w:szCs w:val="28"/>
          <w:lang w:eastAsia="ru-RU"/>
        </w:rPr>
        <w:t>3</w:t>
      </w:r>
    </w:p>
    <w:p w:rsidR="009D7C22" w:rsidRPr="00F71B34" w:rsidRDefault="00042A29" w:rsidP="00042A29">
      <w:pPr>
        <w:numPr>
          <w:ilvl w:val="1"/>
          <w:numId w:val="11"/>
        </w:numPr>
        <w:spacing w:after="0" w:line="360" w:lineRule="auto"/>
        <w:ind w:left="0"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 xml:space="preserve">Современные представления об этиопатогенезе </w:t>
      </w:r>
      <w:r>
        <w:rPr>
          <w:rFonts w:ascii="Times New Roman" w:eastAsia="Times New Roman" w:hAnsi="Times New Roman"/>
          <w:sz w:val="28"/>
          <w:szCs w:val="28"/>
          <w:lang w:eastAsia="ru-RU"/>
        </w:rPr>
        <w:t>ревматоидного артрита…………………………………………………..</w:t>
      </w:r>
      <w:r w:rsidR="004B61A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E420C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E420C2">
        <w:rPr>
          <w:rFonts w:ascii="Times New Roman" w:eastAsia="Times New Roman" w:hAnsi="Times New Roman"/>
          <w:sz w:val="28"/>
          <w:szCs w:val="28"/>
          <w:lang w:eastAsia="ru-RU"/>
        </w:rPr>
        <w:t>14</w:t>
      </w:r>
    </w:p>
    <w:p w:rsidR="009D7C22" w:rsidRPr="00F71B34" w:rsidRDefault="00042A29" w:rsidP="00042A29">
      <w:pPr>
        <w:numPr>
          <w:ilvl w:val="1"/>
          <w:numId w:val="11"/>
        </w:numPr>
        <w:spacing w:after="0" w:line="360" w:lineRule="auto"/>
        <w:ind w:left="0"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 xml:space="preserve">Общие звенья патогенеза </w:t>
      </w:r>
      <w:r>
        <w:rPr>
          <w:rFonts w:ascii="Times New Roman" w:eastAsia="Times New Roman" w:hAnsi="Times New Roman"/>
          <w:sz w:val="28"/>
          <w:szCs w:val="28"/>
          <w:lang w:eastAsia="ru-RU"/>
        </w:rPr>
        <w:t xml:space="preserve">ревматоидного артрита </w:t>
      </w:r>
      <w:r w:rsidR="009D7C22" w:rsidRPr="00F71B34">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остеопороза</w:t>
      </w:r>
      <w:r w:rsidR="00CC3541">
        <w:rPr>
          <w:rFonts w:ascii="Times New Roman" w:eastAsia="Times New Roman" w:hAnsi="Times New Roman"/>
          <w:sz w:val="28"/>
          <w:szCs w:val="28"/>
          <w:lang w:eastAsia="ru-RU"/>
        </w:rPr>
        <w:t>…</w:t>
      </w:r>
      <w:r w:rsidR="00E420C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E420C2">
        <w:rPr>
          <w:rFonts w:ascii="Times New Roman" w:eastAsia="Times New Roman" w:hAnsi="Times New Roman"/>
          <w:sz w:val="28"/>
          <w:szCs w:val="28"/>
          <w:lang w:eastAsia="ru-RU"/>
        </w:rPr>
        <w:t>16</w:t>
      </w:r>
    </w:p>
    <w:p w:rsidR="009D7C22" w:rsidRPr="00F71B34" w:rsidRDefault="00042A29" w:rsidP="00042A29">
      <w:pPr>
        <w:numPr>
          <w:ilvl w:val="1"/>
          <w:numId w:val="11"/>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 xml:space="preserve">Факторы риска </w:t>
      </w:r>
      <w:r>
        <w:rPr>
          <w:rFonts w:ascii="Times New Roman" w:eastAsia="Times New Roman" w:hAnsi="Times New Roman"/>
          <w:sz w:val="28"/>
          <w:szCs w:val="28"/>
          <w:lang w:eastAsia="ru-RU"/>
        </w:rPr>
        <w:t>остеопороза</w:t>
      </w:r>
      <w:r w:rsidR="009D7C22" w:rsidRPr="00F71B34">
        <w:rPr>
          <w:rFonts w:ascii="Times New Roman" w:eastAsia="Times New Roman" w:hAnsi="Times New Roman"/>
          <w:sz w:val="28"/>
          <w:szCs w:val="28"/>
          <w:lang w:eastAsia="ru-RU"/>
        </w:rPr>
        <w:t xml:space="preserve"> и остеопоротических переломов</w:t>
      </w:r>
      <w:r w:rsidR="00062CD1">
        <w:rPr>
          <w:rFonts w:ascii="Times New Roman" w:eastAsia="Times New Roman" w:hAnsi="Times New Roman"/>
          <w:sz w:val="28"/>
          <w:szCs w:val="28"/>
          <w:lang w:eastAsia="ru-RU"/>
        </w:rPr>
        <w:t>……..……...18</w:t>
      </w:r>
    </w:p>
    <w:p w:rsidR="009D7C22" w:rsidRPr="00F71B34" w:rsidRDefault="00042A29" w:rsidP="00042A29">
      <w:pPr>
        <w:numPr>
          <w:ilvl w:val="1"/>
          <w:numId w:val="11"/>
        </w:numPr>
        <w:spacing w:after="0" w:line="360" w:lineRule="auto"/>
        <w:ind w:left="0" w:firstLine="284"/>
        <w:contextualSpacing/>
        <w:rPr>
          <w:rFonts w:ascii="Times New Roman" w:eastAsia="Times New Roman" w:hAnsi="Times New Roman"/>
          <w:sz w:val="28"/>
          <w:szCs w:val="28"/>
          <w:lang w:eastAsia="ru-RU"/>
        </w:rPr>
      </w:pPr>
      <w:r>
        <w:rPr>
          <w:rFonts w:ascii="Times New Roman" w:hAnsi="Times New Roman"/>
          <w:sz w:val="28"/>
          <w:szCs w:val="28"/>
          <w:lang w:eastAsia="ru-RU"/>
        </w:rPr>
        <w:t xml:space="preserve"> </w:t>
      </w:r>
      <w:r w:rsidR="009D7C22" w:rsidRPr="00F71B34">
        <w:rPr>
          <w:rFonts w:ascii="Times New Roman" w:hAnsi="Times New Roman"/>
          <w:sz w:val="28"/>
          <w:szCs w:val="28"/>
          <w:lang w:eastAsia="ru-RU"/>
        </w:rPr>
        <w:t>С</w:t>
      </w:r>
      <w:r w:rsidR="009D7C22" w:rsidRPr="00F71B34">
        <w:rPr>
          <w:rFonts w:ascii="Times New Roman" w:hAnsi="Times New Roman"/>
          <w:sz w:val="28"/>
          <w:szCs w:val="28"/>
          <w:lang w:val="x-none" w:eastAsia="ru-RU"/>
        </w:rPr>
        <w:t xml:space="preserve">амостоятельные </w:t>
      </w:r>
      <w:r w:rsidR="009D7C22" w:rsidRPr="00F71B34">
        <w:rPr>
          <w:rFonts w:ascii="Times New Roman" w:hAnsi="Times New Roman"/>
          <w:sz w:val="28"/>
          <w:szCs w:val="28"/>
          <w:lang w:eastAsia="ru-RU"/>
        </w:rPr>
        <w:t xml:space="preserve">факторы риска развития вторичного </w:t>
      </w:r>
      <w:r>
        <w:rPr>
          <w:rFonts w:ascii="Times New Roman" w:hAnsi="Times New Roman"/>
          <w:sz w:val="28"/>
          <w:szCs w:val="28"/>
          <w:lang w:eastAsia="ru-RU"/>
        </w:rPr>
        <w:t>остеопороза</w:t>
      </w:r>
      <w:r w:rsidR="00CC3541">
        <w:rPr>
          <w:rFonts w:ascii="Times New Roman" w:hAnsi="Times New Roman"/>
          <w:sz w:val="28"/>
          <w:szCs w:val="28"/>
          <w:lang w:eastAsia="ru-RU"/>
        </w:rPr>
        <w:t>…………</w:t>
      </w:r>
      <w:r>
        <w:rPr>
          <w:rFonts w:ascii="Times New Roman" w:hAnsi="Times New Roman"/>
          <w:sz w:val="28"/>
          <w:szCs w:val="28"/>
          <w:lang w:eastAsia="ru-RU"/>
        </w:rPr>
        <w:t>………………………………………………………</w:t>
      </w:r>
      <w:r w:rsidR="00062CD1">
        <w:rPr>
          <w:rFonts w:ascii="Times New Roman" w:hAnsi="Times New Roman"/>
          <w:sz w:val="28"/>
          <w:szCs w:val="28"/>
          <w:lang w:eastAsia="ru-RU"/>
        </w:rPr>
        <w:t>……</w:t>
      </w:r>
      <w:r w:rsidR="00033CFA">
        <w:rPr>
          <w:rFonts w:ascii="Times New Roman" w:hAnsi="Times New Roman"/>
          <w:sz w:val="28"/>
          <w:szCs w:val="28"/>
          <w:lang w:eastAsia="ru-RU"/>
        </w:rPr>
        <w:t>.</w:t>
      </w:r>
      <w:r>
        <w:rPr>
          <w:rFonts w:ascii="Times New Roman" w:hAnsi="Times New Roman"/>
          <w:sz w:val="28"/>
          <w:szCs w:val="28"/>
          <w:lang w:eastAsia="ru-RU"/>
        </w:rPr>
        <w:t>…</w:t>
      </w:r>
      <w:r w:rsidR="00062CD1">
        <w:rPr>
          <w:rFonts w:ascii="Times New Roman" w:hAnsi="Times New Roman"/>
          <w:sz w:val="28"/>
          <w:szCs w:val="28"/>
          <w:lang w:eastAsia="ru-RU"/>
        </w:rPr>
        <w:t>...25</w:t>
      </w:r>
    </w:p>
    <w:p w:rsidR="009D7C22" w:rsidRPr="00F71B34" w:rsidRDefault="00042A29" w:rsidP="00042A29">
      <w:pPr>
        <w:numPr>
          <w:ilvl w:val="1"/>
          <w:numId w:val="11"/>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 xml:space="preserve">Влияние терапии ревматоидного артрита на </w:t>
      </w:r>
      <w:r>
        <w:rPr>
          <w:rFonts w:ascii="Times New Roman" w:eastAsia="Times New Roman" w:hAnsi="Times New Roman"/>
          <w:sz w:val="28"/>
          <w:szCs w:val="28"/>
          <w:lang w:eastAsia="ru-RU"/>
        </w:rPr>
        <w:t>минеральную</w:t>
      </w:r>
      <w:r>
        <w:rPr>
          <w:rFonts w:ascii="Times New Roman" w:eastAsia="Times New Roman" w:hAnsi="Times New Roman"/>
          <w:sz w:val="28"/>
          <w:szCs w:val="28"/>
          <w:lang w:eastAsia="ru-RU"/>
        </w:rPr>
        <w:br/>
        <w:t>плотность кости</w:t>
      </w:r>
      <w:r w:rsidR="00CC354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033CF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..27</w:t>
      </w:r>
    </w:p>
    <w:p w:rsidR="009D7C22" w:rsidRPr="00F71B34" w:rsidRDefault="00042A29" w:rsidP="00042A29">
      <w:pPr>
        <w:numPr>
          <w:ilvl w:val="1"/>
          <w:numId w:val="11"/>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 xml:space="preserve">Качество жизни больных </w:t>
      </w:r>
      <w:r>
        <w:rPr>
          <w:rFonts w:ascii="Times New Roman" w:eastAsia="Times New Roman" w:hAnsi="Times New Roman"/>
          <w:sz w:val="28"/>
          <w:szCs w:val="28"/>
          <w:lang w:eastAsia="ru-RU"/>
        </w:rPr>
        <w:t>ревматоидным артритом</w:t>
      </w:r>
      <w:r w:rsidR="009D7C22" w:rsidRPr="00F71B34">
        <w:rPr>
          <w:rFonts w:ascii="Times New Roman" w:eastAsia="Times New Roman" w:hAnsi="Times New Roman"/>
          <w:sz w:val="28"/>
          <w:szCs w:val="28"/>
          <w:lang w:eastAsia="ru-RU"/>
        </w:rPr>
        <w:t xml:space="preserve">, получавших терапию </w:t>
      </w:r>
      <w:r>
        <w:rPr>
          <w:rFonts w:ascii="Times New Roman" w:eastAsia="Times New Roman" w:hAnsi="Times New Roman"/>
          <w:sz w:val="28"/>
          <w:szCs w:val="28"/>
          <w:lang w:eastAsia="ru-RU"/>
        </w:rPr>
        <w:t>ритуксимабом</w:t>
      </w:r>
      <w:r w:rsidR="00CC354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A23B5F" w:rsidRPr="00A23B5F">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.39</w:t>
      </w:r>
    </w:p>
    <w:p w:rsidR="009D7C22" w:rsidRPr="00F71B34" w:rsidRDefault="009D7C22" w:rsidP="00042A29">
      <w:pPr>
        <w:spacing w:after="0" w:line="360" w:lineRule="auto"/>
        <w:rPr>
          <w:rFonts w:ascii="Times New Roman" w:eastAsia="Times New Roman" w:hAnsi="Times New Roman"/>
          <w:b/>
          <w:color w:val="000000"/>
          <w:sz w:val="28"/>
          <w:szCs w:val="28"/>
          <w:lang w:eastAsia="ru-RU"/>
        </w:rPr>
      </w:pPr>
      <w:r w:rsidRPr="00F71B34">
        <w:rPr>
          <w:rFonts w:ascii="Times New Roman" w:eastAsia="Times New Roman" w:hAnsi="Times New Roman"/>
          <w:b/>
          <w:color w:val="000000"/>
          <w:sz w:val="28"/>
          <w:szCs w:val="28"/>
          <w:lang w:eastAsia="ru-RU"/>
        </w:rPr>
        <w:t xml:space="preserve">ГЛАВА </w:t>
      </w:r>
      <w:r w:rsidRPr="00F71B34">
        <w:rPr>
          <w:rFonts w:ascii="Times New Roman" w:eastAsia="Times New Roman" w:hAnsi="Times New Roman"/>
          <w:b/>
          <w:color w:val="000000"/>
          <w:sz w:val="28"/>
          <w:szCs w:val="28"/>
          <w:lang w:val="en-US" w:eastAsia="ru-RU"/>
        </w:rPr>
        <w:t>II</w:t>
      </w:r>
      <w:r w:rsidRPr="00F71B34">
        <w:rPr>
          <w:rFonts w:ascii="Times New Roman" w:eastAsia="Times New Roman" w:hAnsi="Times New Roman"/>
          <w:b/>
          <w:color w:val="000000"/>
          <w:sz w:val="28"/>
          <w:szCs w:val="28"/>
          <w:lang w:eastAsia="ru-RU"/>
        </w:rPr>
        <w:t>. МАТЕРИАЛЫ И МЕТОДЫ ИССЛЕДОВАНИЯ</w:t>
      </w:r>
      <w:r w:rsidR="00062CD1">
        <w:rPr>
          <w:rFonts w:ascii="Times New Roman" w:eastAsia="Times New Roman" w:hAnsi="Times New Roman"/>
          <w:color w:val="000000"/>
          <w:sz w:val="28"/>
          <w:szCs w:val="28"/>
          <w:lang w:eastAsia="ru-RU"/>
        </w:rPr>
        <w:t>…………………..44</w:t>
      </w:r>
    </w:p>
    <w:p w:rsidR="009D7C22" w:rsidRPr="00F71B34" w:rsidRDefault="00042A29" w:rsidP="00042A29">
      <w:pPr>
        <w:numPr>
          <w:ilvl w:val="1"/>
          <w:numId w:val="18"/>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Клиническая характеристика обследованных больных</w:t>
      </w:r>
      <w:r w:rsidR="00062CD1">
        <w:rPr>
          <w:rFonts w:ascii="Times New Roman" w:eastAsia="Times New Roman" w:hAnsi="Times New Roman"/>
          <w:sz w:val="28"/>
          <w:szCs w:val="28"/>
          <w:lang w:eastAsia="ru-RU"/>
        </w:rPr>
        <w:t>…………………….44</w:t>
      </w:r>
    </w:p>
    <w:p w:rsidR="009D7C22" w:rsidRPr="00F71B34" w:rsidRDefault="00042A29" w:rsidP="00042A29">
      <w:pPr>
        <w:numPr>
          <w:ilvl w:val="1"/>
          <w:numId w:val="18"/>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Методы обследования больных</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52</w:t>
      </w:r>
    </w:p>
    <w:p w:rsidR="009D7C22" w:rsidRPr="00F71B34" w:rsidRDefault="00042A29" w:rsidP="00042A29">
      <w:pPr>
        <w:numPr>
          <w:ilvl w:val="1"/>
          <w:numId w:val="18"/>
        </w:numPr>
        <w:spacing w:after="0" w:line="360" w:lineRule="auto"/>
        <w:ind w:left="0"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Методы статистической обработки результатов</w:t>
      </w:r>
      <w:r w:rsidR="00062CD1">
        <w:rPr>
          <w:rFonts w:ascii="Times New Roman" w:eastAsia="Times New Roman" w:hAnsi="Times New Roman"/>
          <w:sz w:val="28"/>
          <w:szCs w:val="28"/>
          <w:lang w:eastAsia="ru-RU"/>
        </w:rPr>
        <w:t xml:space="preserve"> исследования…………....56</w:t>
      </w:r>
    </w:p>
    <w:p w:rsidR="009D7C22" w:rsidRPr="00F71B34" w:rsidRDefault="009D7C22" w:rsidP="00042A29">
      <w:pPr>
        <w:spacing w:after="0" w:line="360" w:lineRule="auto"/>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 xml:space="preserve">ГЛАВА </w:t>
      </w:r>
      <w:r w:rsidRPr="00F71B34">
        <w:rPr>
          <w:rFonts w:ascii="Times New Roman" w:eastAsia="Times New Roman" w:hAnsi="Times New Roman"/>
          <w:b/>
          <w:sz w:val="28"/>
          <w:szCs w:val="28"/>
          <w:lang w:val="en-US" w:eastAsia="ru-RU"/>
        </w:rPr>
        <w:t>III</w:t>
      </w:r>
      <w:r w:rsidRPr="00F71B34">
        <w:rPr>
          <w:rFonts w:ascii="Times New Roman" w:eastAsia="Times New Roman" w:hAnsi="Times New Roman"/>
          <w:b/>
          <w:sz w:val="28"/>
          <w:szCs w:val="28"/>
          <w:lang w:eastAsia="ru-RU"/>
        </w:rPr>
        <w:t>. МИНЕРАЛЬНАЯ ПЛОТНОСТЬ КОСТИ</w:t>
      </w:r>
      <w:r w:rsidR="00A82D3F">
        <w:rPr>
          <w:rFonts w:ascii="Times New Roman" w:eastAsia="Times New Roman" w:hAnsi="Times New Roman"/>
          <w:b/>
          <w:sz w:val="28"/>
          <w:szCs w:val="28"/>
          <w:lang w:eastAsia="ru-RU"/>
        </w:rPr>
        <w:t xml:space="preserve"> </w:t>
      </w:r>
      <w:r w:rsidRPr="00F71B34">
        <w:rPr>
          <w:rFonts w:ascii="Times New Roman" w:eastAsia="Times New Roman" w:hAnsi="Times New Roman"/>
          <w:b/>
          <w:sz w:val="28"/>
          <w:szCs w:val="28"/>
          <w:lang w:eastAsia="ru-RU"/>
        </w:rPr>
        <w:t xml:space="preserve"> ПРИ РАЗЛИЧНЫХ </w:t>
      </w:r>
      <w:r w:rsidR="00A82D3F">
        <w:rPr>
          <w:rFonts w:ascii="Times New Roman" w:eastAsia="Times New Roman" w:hAnsi="Times New Roman"/>
          <w:b/>
          <w:sz w:val="28"/>
          <w:szCs w:val="28"/>
          <w:lang w:eastAsia="ru-RU"/>
        </w:rPr>
        <w:t xml:space="preserve"> </w:t>
      </w:r>
      <w:r w:rsidR="00062CD1">
        <w:rPr>
          <w:rFonts w:ascii="Times New Roman" w:eastAsia="Times New Roman" w:hAnsi="Times New Roman"/>
          <w:b/>
          <w:sz w:val="28"/>
          <w:szCs w:val="28"/>
          <w:lang w:eastAsia="ru-RU"/>
        </w:rPr>
        <w:t xml:space="preserve">ВАРИАНТАХ БАЗИСНОЙ </w:t>
      </w:r>
      <w:r w:rsidRPr="00F71B34">
        <w:rPr>
          <w:rFonts w:ascii="Times New Roman" w:eastAsia="Times New Roman" w:hAnsi="Times New Roman"/>
          <w:b/>
          <w:sz w:val="28"/>
          <w:szCs w:val="28"/>
          <w:lang w:eastAsia="ru-RU"/>
        </w:rPr>
        <w:t>ТЕРАПИИ</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...................................................58</w:t>
      </w:r>
    </w:p>
    <w:p w:rsidR="009D7C22" w:rsidRPr="00F71B34" w:rsidRDefault="00042A29" w:rsidP="005A3AA1">
      <w:pPr>
        <w:numPr>
          <w:ilvl w:val="1"/>
          <w:numId w:val="17"/>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 xml:space="preserve">Сравнительная оценка исходной МПК у больных </w:t>
      </w:r>
      <w:r>
        <w:rPr>
          <w:rFonts w:ascii="Times New Roman" w:eastAsia="Times New Roman" w:hAnsi="Times New Roman"/>
          <w:sz w:val="28"/>
          <w:szCs w:val="28"/>
          <w:lang w:eastAsia="ru-RU"/>
        </w:rPr>
        <w:t>ревматоидным артритом</w:t>
      </w:r>
      <w:r w:rsidR="009D7C22" w:rsidRPr="00F71B34">
        <w:rPr>
          <w:rFonts w:ascii="Times New Roman" w:eastAsia="Times New Roman" w:hAnsi="Times New Roman"/>
          <w:sz w:val="28"/>
          <w:szCs w:val="28"/>
          <w:lang w:eastAsia="ru-RU"/>
        </w:rPr>
        <w:t xml:space="preserve"> в зависимости</w:t>
      </w:r>
      <w:r w:rsidR="00A82D3F">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от варианта базисной терапии</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58</w:t>
      </w:r>
    </w:p>
    <w:p w:rsidR="009D7C22" w:rsidRPr="00F71B34" w:rsidRDefault="00042A29" w:rsidP="005A3AA1">
      <w:pPr>
        <w:numPr>
          <w:ilvl w:val="1"/>
          <w:numId w:val="17"/>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Динамика денситометрических показателей у больных</w:t>
      </w:r>
      <w:r w:rsidR="005A3AA1">
        <w:rPr>
          <w:rFonts w:ascii="Times New Roman" w:eastAsia="Times New Roman" w:hAnsi="Times New Roman"/>
          <w:sz w:val="28"/>
          <w:szCs w:val="28"/>
          <w:lang w:eastAsia="ru-RU"/>
        </w:rPr>
        <w:br/>
      </w:r>
      <w:r>
        <w:rPr>
          <w:rFonts w:ascii="Times New Roman" w:eastAsia="Times New Roman" w:hAnsi="Times New Roman"/>
          <w:sz w:val="28"/>
          <w:szCs w:val="28"/>
          <w:lang w:eastAsia="ru-RU"/>
        </w:rPr>
        <w:t>ревматоидным артритом</w:t>
      </w:r>
      <w:r w:rsidR="009D7C22" w:rsidRPr="00F71B34">
        <w:rPr>
          <w:rFonts w:ascii="Times New Roman" w:eastAsia="Times New Roman" w:hAnsi="Times New Roman"/>
          <w:sz w:val="28"/>
          <w:szCs w:val="28"/>
          <w:lang w:eastAsia="ru-RU"/>
        </w:rPr>
        <w:t xml:space="preserve"> на фоне различных вариантов терапии</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61</w:t>
      </w:r>
    </w:p>
    <w:p w:rsidR="009D7C22" w:rsidRPr="00F71B34" w:rsidRDefault="009D7C22" w:rsidP="005A3AA1">
      <w:pPr>
        <w:numPr>
          <w:ilvl w:val="2"/>
          <w:numId w:val="17"/>
        </w:numPr>
        <w:spacing w:after="0" w:line="360" w:lineRule="auto"/>
        <w:ind w:left="284" w:firstLine="284"/>
        <w:contextualSpacing/>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Динамика денситометрических показателей шейки бедра</w:t>
      </w:r>
      <w:r w:rsidR="005A3AA1">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 xml:space="preserve">у больных </w:t>
      </w:r>
      <w:r w:rsidR="005A3AA1">
        <w:rPr>
          <w:rFonts w:ascii="Times New Roman" w:eastAsia="Times New Roman" w:hAnsi="Times New Roman"/>
          <w:sz w:val="28"/>
          <w:szCs w:val="28"/>
          <w:lang w:eastAsia="ru-RU"/>
        </w:rPr>
        <w:t>ревматоидным артритом ………………………………………</w:t>
      </w:r>
      <w:r w:rsidR="00062CD1">
        <w:rPr>
          <w:rFonts w:ascii="Times New Roman" w:eastAsia="Times New Roman" w:hAnsi="Times New Roman"/>
          <w:sz w:val="28"/>
          <w:szCs w:val="28"/>
          <w:lang w:eastAsia="ru-RU"/>
        </w:rPr>
        <w:t>..........</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61</w:t>
      </w:r>
    </w:p>
    <w:p w:rsidR="00B573D7" w:rsidRDefault="009D7C22" w:rsidP="005A3AA1">
      <w:pPr>
        <w:numPr>
          <w:ilvl w:val="2"/>
          <w:numId w:val="17"/>
        </w:numPr>
        <w:spacing w:after="0" w:line="360" w:lineRule="auto"/>
        <w:ind w:left="284" w:firstLine="284"/>
        <w:contextualSpacing/>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Динамика денситометрических показателей</w:t>
      </w:r>
      <w:r w:rsidR="00B573D7">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 xml:space="preserve">поясничного </w:t>
      </w:r>
    </w:p>
    <w:p w:rsidR="009D7C22" w:rsidRPr="00F71B34" w:rsidRDefault="009D7C22" w:rsidP="00B573D7">
      <w:pPr>
        <w:spacing w:after="0" w:line="360" w:lineRule="auto"/>
        <w:ind w:left="568"/>
        <w:contextualSpacing/>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lastRenderedPageBreak/>
        <w:t xml:space="preserve">отдела позвоночника у больных </w:t>
      </w:r>
      <w:r w:rsidR="00B573D7">
        <w:rPr>
          <w:rFonts w:ascii="Times New Roman" w:eastAsia="Times New Roman" w:hAnsi="Times New Roman"/>
          <w:sz w:val="28"/>
          <w:szCs w:val="28"/>
          <w:lang w:eastAsia="ru-RU"/>
        </w:rPr>
        <w:t>ревматоидным</w:t>
      </w:r>
      <w:r w:rsidR="005A3AA1">
        <w:rPr>
          <w:rFonts w:ascii="Times New Roman" w:eastAsia="Times New Roman" w:hAnsi="Times New Roman"/>
          <w:sz w:val="28"/>
          <w:szCs w:val="28"/>
          <w:lang w:eastAsia="ru-RU"/>
        </w:rPr>
        <w:t>артритом</w:t>
      </w:r>
      <w:r w:rsidR="00B573D7">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w:t>
      </w:r>
      <w:r w:rsidR="00B573D7">
        <w:rPr>
          <w:rFonts w:ascii="Times New Roman" w:eastAsia="Times New Roman" w:hAnsi="Times New Roman"/>
          <w:sz w:val="28"/>
          <w:szCs w:val="28"/>
          <w:lang w:eastAsia="ru-RU"/>
        </w:rPr>
        <w:t>….</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64</w:t>
      </w:r>
    </w:p>
    <w:p w:rsidR="009D7C22" w:rsidRPr="00F71B34" w:rsidRDefault="005A3AA1" w:rsidP="005A3AA1">
      <w:pPr>
        <w:numPr>
          <w:ilvl w:val="1"/>
          <w:numId w:val="17"/>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Динамика денситометрических показателей у больных</w:t>
      </w:r>
      <w:r>
        <w:rPr>
          <w:rFonts w:ascii="Times New Roman" w:eastAsia="Times New Roman" w:hAnsi="Times New Roman"/>
          <w:sz w:val="28"/>
          <w:szCs w:val="28"/>
          <w:lang w:eastAsia="ru-RU"/>
        </w:rPr>
        <w:br/>
        <w:t>ревматоидным артритом</w:t>
      </w:r>
      <w:r w:rsidR="009D7C22" w:rsidRPr="00F71B34">
        <w:rPr>
          <w:rFonts w:ascii="Times New Roman" w:eastAsia="Times New Roman" w:hAnsi="Times New Roman"/>
          <w:sz w:val="28"/>
          <w:szCs w:val="28"/>
          <w:lang w:eastAsia="ru-RU"/>
        </w:rPr>
        <w:t xml:space="preserve"> при различных клинических формах</w:t>
      </w:r>
      <w:r>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033CFA">
        <w:rPr>
          <w:rFonts w:ascii="Times New Roman" w:eastAsia="Times New Roman" w:hAnsi="Times New Roman"/>
          <w:sz w:val="28"/>
          <w:szCs w:val="28"/>
          <w:lang w:eastAsia="ru-RU"/>
        </w:rPr>
        <w:t>6</w:t>
      </w:r>
      <w:r w:rsidR="00062CD1">
        <w:rPr>
          <w:rFonts w:ascii="Times New Roman" w:eastAsia="Times New Roman" w:hAnsi="Times New Roman"/>
          <w:sz w:val="28"/>
          <w:szCs w:val="28"/>
          <w:lang w:eastAsia="ru-RU"/>
        </w:rPr>
        <w:t>7</w:t>
      </w:r>
    </w:p>
    <w:p w:rsidR="009D7C22" w:rsidRPr="00F71B34" w:rsidRDefault="005A3AA1" w:rsidP="005A3AA1">
      <w:pPr>
        <w:numPr>
          <w:ilvl w:val="1"/>
          <w:numId w:val="17"/>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 xml:space="preserve">Клиническая эффективность проводимой терапии  у больных </w:t>
      </w:r>
      <w:r>
        <w:rPr>
          <w:rFonts w:ascii="Times New Roman" w:eastAsia="Times New Roman" w:hAnsi="Times New Roman"/>
          <w:sz w:val="28"/>
          <w:szCs w:val="28"/>
          <w:lang w:eastAsia="ru-RU"/>
        </w:rPr>
        <w:t>ревматоидным артритом…………………………………………………...…</w:t>
      </w:r>
      <w:r w:rsidR="00B573D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w:t>
      </w:r>
      <w:r w:rsidR="00033CFA">
        <w:rPr>
          <w:rFonts w:ascii="Times New Roman" w:eastAsia="Times New Roman" w:hAnsi="Times New Roman"/>
          <w:sz w:val="28"/>
          <w:szCs w:val="28"/>
          <w:lang w:eastAsia="ru-RU"/>
        </w:rPr>
        <w:t>8</w:t>
      </w:r>
      <w:r w:rsidR="00062CD1">
        <w:rPr>
          <w:rFonts w:ascii="Times New Roman" w:eastAsia="Times New Roman" w:hAnsi="Times New Roman"/>
          <w:sz w:val="28"/>
          <w:szCs w:val="28"/>
          <w:lang w:eastAsia="ru-RU"/>
        </w:rPr>
        <w:t>2</w:t>
      </w:r>
    </w:p>
    <w:p w:rsidR="009D7C22" w:rsidRPr="00F71B34" w:rsidRDefault="009D7C22" w:rsidP="005A3AA1">
      <w:pPr>
        <w:numPr>
          <w:ilvl w:val="2"/>
          <w:numId w:val="17"/>
        </w:numPr>
        <w:spacing w:after="0" w:line="360" w:lineRule="auto"/>
        <w:ind w:left="284" w:firstLine="284"/>
        <w:contextualSpacing/>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Клиническая эффективность монотерапии </w:t>
      </w:r>
      <w:r w:rsidR="005A3AA1">
        <w:rPr>
          <w:rFonts w:ascii="Times New Roman" w:eastAsia="Times New Roman" w:hAnsi="Times New Roman"/>
          <w:sz w:val="28"/>
          <w:szCs w:val="28"/>
          <w:lang w:eastAsia="ru-RU"/>
        </w:rPr>
        <w:t>метотрексатом…</w:t>
      </w:r>
      <w:r w:rsidR="00B573D7">
        <w:rPr>
          <w:rFonts w:ascii="Times New Roman" w:eastAsia="Times New Roman" w:hAnsi="Times New Roman"/>
          <w:sz w:val="28"/>
          <w:szCs w:val="28"/>
          <w:lang w:eastAsia="ru-RU"/>
        </w:rPr>
        <w:t>.</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…….83</w:t>
      </w:r>
    </w:p>
    <w:p w:rsidR="009D7C22" w:rsidRPr="00F71B34" w:rsidRDefault="009D7C22" w:rsidP="005A3AA1">
      <w:pPr>
        <w:numPr>
          <w:ilvl w:val="2"/>
          <w:numId w:val="17"/>
        </w:numPr>
        <w:spacing w:after="0" w:line="360" w:lineRule="auto"/>
        <w:ind w:left="284" w:firstLine="284"/>
        <w:contextualSpacing/>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Клиническая эффективность комбинированно</w:t>
      </w:r>
      <w:r w:rsidR="009133AA" w:rsidRPr="00F71B34">
        <w:rPr>
          <w:rFonts w:ascii="Times New Roman" w:eastAsia="Times New Roman" w:hAnsi="Times New Roman"/>
          <w:sz w:val="28"/>
          <w:szCs w:val="28"/>
          <w:lang w:eastAsia="ru-RU"/>
        </w:rPr>
        <w:t xml:space="preserve">й </w:t>
      </w:r>
      <w:r w:rsidR="00B573D7">
        <w:rPr>
          <w:rFonts w:ascii="Times New Roman" w:eastAsia="Times New Roman" w:hAnsi="Times New Roman"/>
          <w:sz w:val="28"/>
          <w:szCs w:val="28"/>
          <w:lang w:eastAsia="ru-RU"/>
        </w:rPr>
        <w:t xml:space="preserve"> </w:t>
      </w:r>
      <w:r w:rsidR="009133AA" w:rsidRPr="00F71B34">
        <w:rPr>
          <w:rFonts w:ascii="Times New Roman" w:eastAsia="Times New Roman" w:hAnsi="Times New Roman"/>
          <w:sz w:val="28"/>
          <w:szCs w:val="28"/>
          <w:lang w:eastAsia="ru-RU"/>
        </w:rPr>
        <w:t xml:space="preserve">терапии </w:t>
      </w:r>
      <w:r w:rsidR="005A3AA1">
        <w:rPr>
          <w:rFonts w:ascii="Times New Roman" w:eastAsia="Times New Roman" w:hAnsi="Times New Roman"/>
          <w:sz w:val="28"/>
          <w:szCs w:val="28"/>
          <w:lang w:eastAsia="ru-RU"/>
        </w:rPr>
        <w:t>ритуксимабом</w:t>
      </w:r>
      <w:r w:rsidR="009133AA" w:rsidRPr="00F71B34">
        <w:rPr>
          <w:rFonts w:ascii="Times New Roman" w:eastAsia="Times New Roman" w:hAnsi="Times New Roman"/>
          <w:sz w:val="28"/>
          <w:szCs w:val="28"/>
          <w:lang w:eastAsia="ru-RU"/>
        </w:rPr>
        <w:t xml:space="preserve"> и </w:t>
      </w:r>
      <w:r w:rsidR="005A3AA1">
        <w:rPr>
          <w:rFonts w:ascii="Times New Roman" w:eastAsia="Times New Roman" w:hAnsi="Times New Roman"/>
          <w:sz w:val="28"/>
          <w:szCs w:val="28"/>
          <w:lang w:eastAsia="ru-RU"/>
        </w:rPr>
        <w:t>метотрексатом у больных ревмат</w:t>
      </w:r>
      <w:r w:rsidR="00B573D7">
        <w:rPr>
          <w:rFonts w:ascii="Times New Roman" w:eastAsia="Times New Roman" w:hAnsi="Times New Roman"/>
          <w:sz w:val="28"/>
          <w:szCs w:val="28"/>
          <w:lang w:eastAsia="ru-RU"/>
        </w:rPr>
        <w:t>оидным артритом….</w:t>
      </w:r>
      <w:r w:rsidR="005A3AA1">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……85</w:t>
      </w:r>
    </w:p>
    <w:p w:rsidR="009D7C22" w:rsidRPr="00F71B34" w:rsidRDefault="005A3AA1" w:rsidP="005A3AA1">
      <w:pPr>
        <w:numPr>
          <w:ilvl w:val="1"/>
          <w:numId w:val="17"/>
        </w:numPr>
        <w:spacing w:after="0" w:line="360" w:lineRule="auto"/>
        <w:ind w:left="0"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D7C22" w:rsidRPr="00F71B34">
        <w:rPr>
          <w:rFonts w:ascii="Times New Roman" w:eastAsia="Times New Roman" w:hAnsi="Times New Roman"/>
          <w:sz w:val="28"/>
          <w:szCs w:val="28"/>
          <w:lang w:eastAsia="ru-RU"/>
        </w:rPr>
        <w:t>Динамика денситометрических показателей в зависимости от эффективности проводимой терапии</w:t>
      </w:r>
      <w:r>
        <w:rPr>
          <w:rFonts w:ascii="Times New Roman" w:eastAsia="Times New Roman" w:hAnsi="Times New Roman"/>
          <w:sz w:val="28"/>
          <w:szCs w:val="28"/>
          <w:lang w:eastAsia="ru-RU"/>
        </w:rPr>
        <w:t>………………………………………</w:t>
      </w:r>
      <w:r w:rsidR="00B573D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062CD1">
        <w:rPr>
          <w:rFonts w:ascii="Times New Roman" w:eastAsia="Times New Roman" w:hAnsi="Times New Roman"/>
          <w:sz w:val="28"/>
          <w:szCs w:val="28"/>
          <w:lang w:eastAsia="ru-RU"/>
        </w:rPr>
        <w:t>…….</w:t>
      </w:r>
      <w:r w:rsidR="009F0B3D">
        <w:rPr>
          <w:rFonts w:ascii="Times New Roman" w:eastAsia="Times New Roman" w:hAnsi="Times New Roman"/>
          <w:sz w:val="28"/>
          <w:szCs w:val="28"/>
          <w:lang w:eastAsia="ru-RU"/>
        </w:rPr>
        <w:t>8</w:t>
      </w:r>
      <w:r w:rsidR="00062CD1">
        <w:rPr>
          <w:rFonts w:ascii="Times New Roman" w:eastAsia="Times New Roman" w:hAnsi="Times New Roman"/>
          <w:sz w:val="28"/>
          <w:szCs w:val="28"/>
          <w:lang w:eastAsia="ru-RU"/>
        </w:rPr>
        <w:t>7</w:t>
      </w:r>
    </w:p>
    <w:p w:rsidR="009D7C22" w:rsidRPr="00F71B34" w:rsidRDefault="009D7C22" w:rsidP="005A3AA1">
      <w:pPr>
        <w:numPr>
          <w:ilvl w:val="1"/>
          <w:numId w:val="17"/>
        </w:numPr>
        <w:spacing w:after="0" w:line="360" w:lineRule="auto"/>
        <w:ind w:left="0" w:firstLine="284"/>
        <w:contextualSpacing/>
        <w:rPr>
          <w:rFonts w:ascii="Times New Roman" w:eastAsia="Times New Roman" w:hAnsi="Times New Roman"/>
          <w:b/>
          <w:sz w:val="28"/>
          <w:szCs w:val="28"/>
          <w:lang w:eastAsia="ru-RU"/>
        </w:rPr>
      </w:pPr>
      <w:r w:rsidRPr="00F71B34">
        <w:rPr>
          <w:rFonts w:ascii="Times New Roman" w:eastAsia="Times New Roman" w:hAnsi="Times New Roman"/>
          <w:sz w:val="28"/>
          <w:szCs w:val="28"/>
          <w:lang w:eastAsia="ru-RU"/>
        </w:rPr>
        <w:t xml:space="preserve">Качество жизни больных </w:t>
      </w:r>
      <w:r w:rsidR="005A3AA1">
        <w:rPr>
          <w:rFonts w:ascii="Times New Roman" w:eastAsia="Times New Roman" w:hAnsi="Times New Roman"/>
          <w:sz w:val="28"/>
          <w:szCs w:val="28"/>
          <w:lang w:eastAsia="ru-RU"/>
        </w:rPr>
        <w:t>ревматоидным артритом</w:t>
      </w:r>
      <w:r w:rsidRPr="00F71B34">
        <w:rPr>
          <w:rFonts w:ascii="Times New Roman" w:eastAsia="Times New Roman" w:hAnsi="Times New Roman"/>
          <w:sz w:val="28"/>
          <w:szCs w:val="28"/>
          <w:lang w:eastAsia="ru-RU"/>
        </w:rPr>
        <w:t xml:space="preserve"> на фоне</w:t>
      </w:r>
      <w:r w:rsidR="005A3AA1">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различных</w:t>
      </w:r>
      <w:r w:rsidR="005A3AA1">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вариантов терапии</w:t>
      </w:r>
      <w:r w:rsidR="005A3AA1">
        <w:rPr>
          <w:rFonts w:ascii="Times New Roman" w:eastAsia="Times New Roman" w:hAnsi="Times New Roman"/>
          <w:sz w:val="28"/>
          <w:szCs w:val="28"/>
          <w:lang w:eastAsia="ru-RU"/>
        </w:rPr>
        <w:t>…………………………………………………</w:t>
      </w:r>
      <w:r w:rsidR="00112E18">
        <w:rPr>
          <w:rFonts w:ascii="Times New Roman" w:eastAsia="Times New Roman" w:hAnsi="Times New Roman"/>
          <w:sz w:val="28"/>
          <w:szCs w:val="28"/>
          <w:lang w:eastAsia="ru-RU"/>
        </w:rPr>
        <w:t>……..94</w:t>
      </w:r>
    </w:p>
    <w:p w:rsidR="009D7C22" w:rsidRPr="00CC3541" w:rsidRDefault="009D7C22" w:rsidP="00042A29">
      <w:pPr>
        <w:spacing w:after="0" w:line="360" w:lineRule="auto"/>
        <w:rPr>
          <w:rFonts w:ascii="Times New Roman" w:eastAsia="Times New Roman" w:hAnsi="Times New Roman"/>
          <w:sz w:val="28"/>
          <w:szCs w:val="28"/>
          <w:lang w:eastAsia="ru-RU"/>
        </w:rPr>
      </w:pPr>
      <w:r w:rsidRPr="00F71B34">
        <w:rPr>
          <w:rFonts w:ascii="Times New Roman" w:eastAsia="Times New Roman" w:hAnsi="Times New Roman"/>
          <w:b/>
          <w:sz w:val="28"/>
          <w:szCs w:val="28"/>
          <w:lang w:eastAsia="ru-RU"/>
        </w:rPr>
        <w:t>ЗАКЛЮЧЕНИЕ</w:t>
      </w:r>
      <w:r w:rsidR="004B61AE" w:rsidRPr="00CC3541">
        <w:rPr>
          <w:rFonts w:ascii="Times New Roman" w:eastAsia="Times New Roman" w:hAnsi="Times New Roman"/>
          <w:sz w:val="28"/>
          <w:szCs w:val="28"/>
          <w:lang w:eastAsia="ru-RU"/>
        </w:rPr>
        <w:t>…………………………………………………………</w:t>
      </w:r>
      <w:r w:rsidR="008D364E" w:rsidRPr="00CC3541">
        <w:rPr>
          <w:rFonts w:ascii="Times New Roman" w:eastAsia="Times New Roman" w:hAnsi="Times New Roman"/>
          <w:sz w:val="28"/>
          <w:szCs w:val="28"/>
          <w:lang w:eastAsia="ru-RU"/>
        </w:rPr>
        <w:t>.</w:t>
      </w:r>
      <w:r w:rsidR="004B61AE" w:rsidRPr="00CC3541">
        <w:rPr>
          <w:rFonts w:ascii="Times New Roman" w:eastAsia="Times New Roman" w:hAnsi="Times New Roman"/>
          <w:sz w:val="28"/>
          <w:szCs w:val="28"/>
          <w:lang w:eastAsia="ru-RU"/>
        </w:rPr>
        <w:t>……</w:t>
      </w:r>
      <w:r w:rsidR="00112E18">
        <w:rPr>
          <w:rFonts w:ascii="Times New Roman" w:eastAsia="Times New Roman" w:hAnsi="Times New Roman"/>
          <w:sz w:val="28"/>
          <w:szCs w:val="28"/>
          <w:lang w:eastAsia="ru-RU"/>
        </w:rPr>
        <w:t>……..99</w:t>
      </w:r>
    </w:p>
    <w:p w:rsidR="009D7C22" w:rsidRPr="00CC3541" w:rsidRDefault="009D7C22" w:rsidP="00042A29">
      <w:pPr>
        <w:spacing w:after="0" w:line="360" w:lineRule="auto"/>
        <w:rPr>
          <w:rFonts w:ascii="Times New Roman" w:eastAsia="Times New Roman" w:hAnsi="Times New Roman"/>
          <w:sz w:val="28"/>
          <w:szCs w:val="28"/>
          <w:lang w:eastAsia="ru-RU"/>
        </w:rPr>
      </w:pPr>
      <w:r w:rsidRPr="00F71B34">
        <w:rPr>
          <w:rFonts w:ascii="Times New Roman" w:eastAsia="Times New Roman" w:hAnsi="Times New Roman"/>
          <w:b/>
          <w:sz w:val="28"/>
          <w:szCs w:val="28"/>
          <w:lang w:eastAsia="ru-RU"/>
        </w:rPr>
        <w:t>ВЫВОДЫ</w:t>
      </w:r>
      <w:r w:rsidR="004B61AE" w:rsidRPr="00CC3541">
        <w:rPr>
          <w:rFonts w:ascii="Times New Roman" w:eastAsia="Times New Roman" w:hAnsi="Times New Roman"/>
          <w:sz w:val="28"/>
          <w:szCs w:val="28"/>
          <w:lang w:eastAsia="ru-RU"/>
        </w:rPr>
        <w:t>………………………………………………………………………</w:t>
      </w:r>
      <w:r w:rsidR="00112E18">
        <w:rPr>
          <w:rFonts w:ascii="Times New Roman" w:eastAsia="Times New Roman" w:hAnsi="Times New Roman"/>
          <w:sz w:val="28"/>
          <w:szCs w:val="28"/>
          <w:lang w:eastAsia="ru-RU"/>
        </w:rPr>
        <w:t>……</w:t>
      </w:r>
      <w:r w:rsidR="009F0B3D">
        <w:rPr>
          <w:rFonts w:ascii="Times New Roman" w:eastAsia="Times New Roman" w:hAnsi="Times New Roman"/>
          <w:sz w:val="28"/>
          <w:szCs w:val="28"/>
          <w:lang w:eastAsia="ru-RU"/>
        </w:rPr>
        <w:t>1</w:t>
      </w:r>
      <w:r w:rsidR="00112E18">
        <w:rPr>
          <w:rFonts w:ascii="Times New Roman" w:eastAsia="Times New Roman" w:hAnsi="Times New Roman"/>
          <w:sz w:val="28"/>
          <w:szCs w:val="28"/>
          <w:lang w:eastAsia="ru-RU"/>
        </w:rPr>
        <w:t>1</w:t>
      </w:r>
      <w:r w:rsidR="009F0B3D">
        <w:rPr>
          <w:rFonts w:ascii="Times New Roman" w:eastAsia="Times New Roman" w:hAnsi="Times New Roman"/>
          <w:sz w:val="28"/>
          <w:szCs w:val="28"/>
          <w:lang w:eastAsia="ru-RU"/>
        </w:rPr>
        <w:t>2</w:t>
      </w:r>
    </w:p>
    <w:p w:rsidR="009D7C22" w:rsidRPr="00F71B34" w:rsidRDefault="009D7C22" w:rsidP="00042A29">
      <w:pPr>
        <w:spacing w:after="0" w:line="360" w:lineRule="auto"/>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ПРАКТИЧЕСКИЕ РЕКОМЕНДАЦИИ</w:t>
      </w:r>
      <w:r w:rsidR="00112E18">
        <w:rPr>
          <w:rFonts w:ascii="Times New Roman" w:eastAsia="Times New Roman" w:hAnsi="Times New Roman"/>
          <w:sz w:val="28"/>
          <w:szCs w:val="28"/>
          <w:lang w:eastAsia="ru-RU"/>
        </w:rPr>
        <w:t>……………………………………........113</w:t>
      </w:r>
    </w:p>
    <w:p w:rsidR="009D7C22" w:rsidRPr="00F71B34" w:rsidRDefault="00112E18" w:rsidP="00042A29">
      <w:pPr>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БИБЛИОГРАФИЧЕСКИЙ СПИСОК</w:t>
      </w:r>
      <w:r w:rsidR="000B6670" w:rsidRPr="00CC3541">
        <w:rPr>
          <w:rFonts w:ascii="Times New Roman" w:eastAsia="Times New Roman" w:hAnsi="Times New Roman"/>
          <w:sz w:val="28"/>
          <w:szCs w:val="28"/>
          <w:lang w:eastAsia="ru-RU"/>
        </w:rPr>
        <w:t>…………………</w:t>
      </w:r>
      <w:r w:rsidR="009F0B3D">
        <w:rPr>
          <w:rFonts w:ascii="Times New Roman" w:eastAsia="Times New Roman" w:hAnsi="Times New Roman"/>
          <w:sz w:val="28"/>
          <w:szCs w:val="28"/>
          <w:lang w:eastAsia="ru-RU"/>
        </w:rPr>
        <w:t>………………………...1</w:t>
      </w:r>
      <w:r>
        <w:rPr>
          <w:rFonts w:ascii="Times New Roman" w:eastAsia="Times New Roman" w:hAnsi="Times New Roman"/>
          <w:sz w:val="28"/>
          <w:szCs w:val="28"/>
          <w:lang w:eastAsia="ru-RU"/>
        </w:rPr>
        <w:t>14</w:t>
      </w:r>
    </w:p>
    <w:p w:rsidR="009D7C22" w:rsidRPr="00F71B34" w:rsidRDefault="009D7C22" w:rsidP="00F71B34">
      <w:pPr>
        <w:spacing w:after="0" w:line="360" w:lineRule="auto"/>
        <w:contextualSpacing/>
        <w:jc w:val="both"/>
        <w:rPr>
          <w:rFonts w:ascii="Times New Roman" w:eastAsia="Times New Roman" w:hAnsi="Times New Roman"/>
          <w:b/>
          <w:sz w:val="28"/>
          <w:szCs w:val="28"/>
          <w:lang w:eastAsia="ru-RU"/>
        </w:rPr>
      </w:pPr>
    </w:p>
    <w:p w:rsidR="009D7C22" w:rsidRPr="00F71B34" w:rsidRDefault="009D7C22" w:rsidP="00F71B34">
      <w:pPr>
        <w:spacing w:after="0" w:line="360" w:lineRule="auto"/>
        <w:jc w:val="both"/>
        <w:rPr>
          <w:rFonts w:ascii="Times New Roman" w:eastAsia="Times New Roman" w:hAnsi="Times New Roman"/>
          <w:b/>
          <w:sz w:val="28"/>
          <w:szCs w:val="28"/>
          <w:lang w:eastAsia="ru-RU"/>
        </w:rPr>
      </w:pPr>
    </w:p>
    <w:p w:rsidR="009D7C22" w:rsidRPr="00F71B34" w:rsidRDefault="009D7C22" w:rsidP="00F71B34">
      <w:pPr>
        <w:spacing w:after="0" w:line="360" w:lineRule="auto"/>
        <w:contextualSpacing/>
        <w:jc w:val="both"/>
        <w:rPr>
          <w:rFonts w:ascii="Times New Roman" w:eastAsia="Times New Roman" w:hAnsi="Times New Roman"/>
          <w:b/>
          <w:sz w:val="28"/>
          <w:szCs w:val="28"/>
          <w:lang w:eastAsia="ru-RU"/>
        </w:rPr>
      </w:pPr>
    </w:p>
    <w:p w:rsidR="009D7C22" w:rsidRPr="00F71B34" w:rsidRDefault="009D7C22" w:rsidP="00F71B34">
      <w:pPr>
        <w:spacing w:line="360" w:lineRule="auto"/>
        <w:rPr>
          <w:rFonts w:ascii="Times New Roman" w:hAnsi="Times New Roman"/>
          <w:sz w:val="28"/>
          <w:szCs w:val="28"/>
        </w:rPr>
      </w:pPr>
    </w:p>
    <w:p w:rsidR="009D7C22" w:rsidRDefault="009D7C22" w:rsidP="00F71B34">
      <w:pPr>
        <w:spacing w:line="360" w:lineRule="auto"/>
        <w:rPr>
          <w:rFonts w:ascii="Times New Roman" w:hAnsi="Times New Roman"/>
          <w:sz w:val="28"/>
          <w:szCs w:val="28"/>
        </w:rPr>
      </w:pPr>
    </w:p>
    <w:p w:rsidR="00B573D7" w:rsidRDefault="00B573D7" w:rsidP="00F71B34">
      <w:pPr>
        <w:spacing w:line="360" w:lineRule="auto"/>
        <w:rPr>
          <w:rFonts w:ascii="Times New Roman" w:hAnsi="Times New Roman"/>
          <w:sz w:val="28"/>
          <w:szCs w:val="28"/>
        </w:rPr>
      </w:pPr>
    </w:p>
    <w:p w:rsidR="00B573D7" w:rsidRPr="00F71B34" w:rsidRDefault="00B573D7" w:rsidP="00F71B34">
      <w:pPr>
        <w:spacing w:line="360" w:lineRule="auto"/>
        <w:rPr>
          <w:rFonts w:ascii="Times New Roman" w:hAnsi="Times New Roman"/>
          <w:sz w:val="28"/>
          <w:szCs w:val="28"/>
        </w:rPr>
      </w:pPr>
    </w:p>
    <w:p w:rsidR="009D7C22" w:rsidRDefault="009D7C22" w:rsidP="00F71B34">
      <w:pPr>
        <w:spacing w:line="360" w:lineRule="auto"/>
        <w:rPr>
          <w:rFonts w:ascii="Times New Roman" w:hAnsi="Times New Roman"/>
          <w:sz w:val="28"/>
          <w:szCs w:val="28"/>
        </w:rPr>
      </w:pPr>
    </w:p>
    <w:p w:rsidR="00062CD1" w:rsidRDefault="00062CD1" w:rsidP="00F71B34">
      <w:pPr>
        <w:spacing w:line="360" w:lineRule="auto"/>
        <w:rPr>
          <w:rFonts w:ascii="Times New Roman" w:hAnsi="Times New Roman"/>
          <w:sz w:val="28"/>
          <w:szCs w:val="28"/>
        </w:rPr>
      </w:pPr>
    </w:p>
    <w:p w:rsidR="00062CD1" w:rsidRPr="00F71B34" w:rsidRDefault="00062CD1" w:rsidP="00F71B34">
      <w:pPr>
        <w:spacing w:line="360" w:lineRule="auto"/>
        <w:rPr>
          <w:rFonts w:ascii="Times New Roman" w:hAnsi="Times New Roman"/>
          <w:sz w:val="28"/>
          <w:szCs w:val="28"/>
        </w:rPr>
      </w:pPr>
    </w:p>
    <w:p w:rsidR="00097064" w:rsidRPr="00F71B34" w:rsidRDefault="00097064" w:rsidP="00097064">
      <w:pPr>
        <w:spacing w:after="0" w:line="360" w:lineRule="auto"/>
        <w:jc w:val="center"/>
        <w:rPr>
          <w:rFonts w:ascii="Times New Roman" w:eastAsia="Times New Roman" w:hAnsi="Times New Roman"/>
          <w:b/>
          <w:color w:val="000000"/>
          <w:sz w:val="28"/>
          <w:szCs w:val="28"/>
          <w:lang w:eastAsia="ru-RU"/>
        </w:rPr>
      </w:pPr>
      <w:r w:rsidRPr="00F71B34">
        <w:rPr>
          <w:rFonts w:ascii="Times New Roman" w:eastAsia="Times New Roman" w:hAnsi="Times New Roman"/>
          <w:b/>
          <w:color w:val="000000"/>
          <w:sz w:val="28"/>
          <w:szCs w:val="28"/>
          <w:lang w:eastAsia="ru-RU"/>
        </w:rPr>
        <w:lastRenderedPageBreak/>
        <w:t>СПИСОК СОКРАЩЕНИЙ</w:t>
      </w:r>
    </w:p>
    <w:p w:rsidR="00097064" w:rsidRPr="00111786" w:rsidRDefault="00097064" w:rsidP="00097064">
      <w:pPr>
        <w:spacing w:after="0" w:line="360" w:lineRule="auto"/>
        <w:ind w:left="2124" w:hanging="212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ACR</w:t>
      </w:r>
      <w:r w:rsidRPr="00111786">
        <w:rPr>
          <w:rFonts w:ascii="Times New Roman" w:eastAsia="Times New Roman" w:hAnsi="Times New Roman"/>
          <w:color w:val="000000"/>
          <w:sz w:val="28"/>
          <w:szCs w:val="28"/>
          <w:lang w:eastAsia="ru-RU"/>
        </w:rPr>
        <w:t xml:space="preserve">      </w:t>
      </w:r>
      <w:r w:rsidRPr="00111786">
        <w:rPr>
          <w:rFonts w:ascii="Times New Roman" w:eastAsia="Times New Roman" w:hAnsi="Times New Roman"/>
          <w:color w:val="000000"/>
          <w:sz w:val="28"/>
          <w:szCs w:val="28"/>
          <w:lang w:eastAsia="ru-RU"/>
        </w:rPr>
        <w:tab/>
      </w:r>
      <w:r w:rsidRPr="00B52906">
        <w:rPr>
          <w:rFonts w:ascii="Times New Roman" w:eastAsia="Times New Roman" w:hAnsi="Times New Roman"/>
          <w:color w:val="000000"/>
          <w:sz w:val="28"/>
          <w:szCs w:val="28"/>
          <w:lang w:val="en-US" w:eastAsia="ru-RU"/>
        </w:rPr>
        <w:t>American</w:t>
      </w:r>
      <w:r w:rsidRPr="00111786">
        <w:rPr>
          <w:rFonts w:ascii="Times New Roman" w:eastAsia="Times New Roman" w:hAnsi="Times New Roman"/>
          <w:color w:val="000000"/>
          <w:sz w:val="28"/>
          <w:szCs w:val="28"/>
          <w:lang w:eastAsia="ru-RU"/>
        </w:rPr>
        <w:t xml:space="preserve"> </w:t>
      </w:r>
      <w:r w:rsidRPr="00B52906">
        <w:rPr>
          <w:rFonts w:ascii="Times New Roman" w:eastAsia="Times New Roman" w:hAnsi="Times New Roman"/>
          <w:color w:val="000000"/>
          <w:sz w:val="28"/>
          <w:szCs w:val="28"/>
          <w:lang w:val="en-US" w:eastAsia="ru-RU"/>
        </w:rPr>
        <w:t>College</w:t>
      </w:r>
      <w:r w:rsidRPr="00111786">
        <w:rPr>
          <w:rFonts w:ascii="Times New Roman" w:eastAsia="Times New Roman" w:hAnsi="Times New Roman"/>
          <w:color w:val="000000"/>
          <w:sz w:val="28"/>
          <w:szCs w:val="28"/>
          <w:lang w:eastAsia="ru-RU"/>
        </w:rPr>
        <w:t xml:space="preserve"> </w:t>
      </w:r>
      <w:r w:rsidRPr="00B52906">
        <w:rPr>
          <w:rFonts w:ascii="Times New Roman" w:eastAsia="Times New Roman" w:hAnsi="Times New Roman"/>
          <w:color w:val="000000"/>
          <w:sz w:val="28"/>
          <w:szCs w:val="28"/>
          <w:lang w:val="en-US" w:eastAsia="ru-RU"/>
        </w:rPr>
        <w:t>of</w:t>
      </w:r>
      <w:r w:rsidRPr="00111786">
        <w:rPr>
          <w:rFonts w:ascii="Times New Roman" w:eastAsia="Times New Roman" w:hAnsi="Times New Roman"/>
          <w:color w:val="000000"/>
          <w:sz w:val="28"/>
          <w:szCs w:val="28"/>
          <w:lang w:eastAsia="ru-RU"/>
        </w:rPr>
        <w:t xml:space="preserve"> </w:t>
      </w:r>
      <w:r w:rsidRPr="00B52906">
        <w:rPr>
          <w:rFonts w:ascii="Times New Roman" w:eastAsia="Times New Roman" w:hAnsi="Times New Roman"/>
          <w:color w:val="000000"/>
          <w:sz w:val="28"/>
          <w:szCs w:val="28"/>
          <w:lang w:val="en-US" w:eastAsia="ru-RU"/>
        </w:rPr>
        <w:t>Rheumatology</w:t>
      </w:r>
      <w:r w:rsidRPr="0011178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(Американская</w:t>
      </w:r>
      <w:r w:rsidRPr="00111786">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коллегия</w:t>
      </w:r>
      <w:r w:rsidRPr="0011178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ревматологов</w:t>
      </w:r>
      <w:proofErr w:type="gramEnd"/>
      <w:r>
        <w:rPr>
          <w:rFonts w:ascii="Times New Roman" w:eastAsia="Times New Roman" w:hAnsi="Times New Roman"/>
          <w:color w:val="000000"/>
          <w:sz w:val="28"/>
          <w:szCs w:val="28"/>
          <w:lang w:eastAsia="ru-RU"/>
        </w:rPr>
        <w:t>)</w:t>
      </w:r>
    </w:p>
    <w:p w:rsidR="00097064" w:rsidRPr="005358C3" w:rsidRDefault="00097064" w:rsidP="00097064">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B</w:t>
      </w:r>
      <w:r w:rsidRPr="004E4C5C">
        <w:rPr>
          <w:rFonts w:ascii="Times New Roman" w:eastAsia="Times New Roman" w:hAnsi="Times New Roman"/>
          <w:color w:val="000000"/>
          <w:sz w:val="28"/>
          <w:szCs w:val="28"/>
          <w:lang w:eastAsia="ru-RU"/>
        </w:rPr>
        <w:t>МС</w:t>
      </w:r>
      <w:r w:rsidRPr="005358C3">
        <w:rPr>
          <w:rFonts w:ascii="Times New Roman" w:eastAsia="Times New Roman" w:hAnsi="Times New Roman"/>
          <w:color w:val="000000"/>
          <w:sz w:val="28"/>
          <w:szCs w:val="28"/>
          <w:lang w:eastAsia="ru-RU"/>
        </w:rPr>
        <w:t xml:space="preserve">   </w:t>
      </w:r>
      <w:r w:rsidRPr="005358C3">
        <w:rPr>
          <w:rFonts w:ascii="Times New Roman" w:eastAsia="Times New Roman" w:hAnsi="Times New Roman"/>
          <w:color w:val="000000"/>
          <w:sz w:val="28"/>
          <w:szCs w:val="28"/>
          <w:lang w:eastAsia="ru-RU"/>
        </w:rPr>
        <w:tab/>
      </w:r>
      <w:r w:rsidRPr="005358C3">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val="en-US" w:eastAsia="ru-RU"/>
        </w:rPr>
        <w:t>B</w:t>
      </w:r>
      <w:r w:rsidRPr="004E4C5C">
        <w:rPr>
          <w:rFonts w:ascii="Times New Roman" w:eastAsia="Times New Roman" w:hAnsi="Times New Roman"/>
          <w:color w:val="000000"/>
          <w:sz w:val="28"/>
          <w:szCs w:val="28"/>
          <w:lang w:val="en-US" w:eastAsia="ru-RU"/>
        </w:rPr>
        <w:t>one</w:t>
      </w:r>
      <w:r w:rsidRPr="005358C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M</w:t>
      </w:r>
      <w:r w:rsidRPr="004E4C5C">
        <w:rPr>
          <w:rFonts w:ascii="Times New Roman" w:eastAsia="Times New Roman" w:hAnsi="Times New Roman"/>
          <w:color w:val="000000"/>
          <w:sz w:val="28"/>
          <w:szCs w:val="28"/>
          <w:lang w:val="en-US" w:eastAsia="ru-RU"/>
        </w:rPr>
        <w:t>ineral</w:t>
      </w:r>
      <w:r w:rsidRPr="005358C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C</w:t>
      </w:r>
      <w:r w:rsidRPr="004E4C5C">
        <w:rPr>
          <w:rFonts w:ascii="Times New Roman" w:eastAsia="Times New Roman" w:hAnsi="Times New Roman"/>
          <w:color w:val="000000"/>
          <w:sz w:val="28"/>
          <w:szCs w:val="28"/>
          <w:lang w:val="en-US" w:eastAsia="ru-RU"/>
        </w:rPr>
        <w:t>ontent</w:t>
      </w:r>
      <w:r w:rsidRPr="005358C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масса</w:t>
      </w:r>
      <w:r w:rsidRPr="005358C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костной</w:t>
      </w:r>
      <w:r w:rsidRPr="005358C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ткани</w:t>
      </w:r>
      <w:r w:rsidRPr="005358C3">
        <w:rPr>
          <w:rFonts w:ascii="Times New Roman" w:eastAsia="Times New Roman" w:hAnsi="Times New Roman"/>
          <w:color w:val="000000"/>
          <w:sz w:val="28"/>
          <w:szCs w:val="28"/>
          <w:lang w:eastAsia="ru-RU"/>
        </w:rPr>
        <w:t>)</w:t>
      </w:r>
    </w:p>
    <w:p w:rsidR="00097064" w:rsidRPr="00B52906" w:rsidRDefault="00097064" w:rsidP="00097064">
      <w:pPr>
        <w:spacing w:after="0" w:line="360" w:lineRule="auto"/>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DAS</w:t>
      </w:r>
      <w:r w:rsidRPr="00B52906">
        <w:rPr>
          <w:rFonts w:ascii="Times New Roman" w:eastAsia="Times New Roman" w:hAnsi="Times New Roman"/>
          <w:color w:val="000000"/>
          <w:sz w:val="28"/>
          <w:szCs w:val="28"/>
          <w:lang w:val="en-US" w:eastAsia="ru-RU"/>
        </w:rPr>
        <w:t xml:space="preserve">         </w:t>
      </w:r>
      <w:r w:rsidRPr="00B52906">
        <w:rPr>
          <w:rFonts w:ascii="Times New Roman" w:eastAsia="Times New Roman" w:hAnsi="Times New Roman"/>
          <w:color w:val="000000"/>
          <w:sz w:val="28"/>
          <w:szCs w:val="28"/>
          <w:lang w:val="en-US" w:eastAsia="ru-RU"/>
        </w:rPr>
        <w:tab/>
      </w:r>
      <w:r w:rsidRPr="00B52906">
        <w:rPr>
          <w:rFonts w:ascii="Times New Roman" w:eastAsia="Times New Roman" w:hAnsi="Times New Roman"/>
          <w:color w:val="000000"/>
          <w:sz w:val="28"/>
          <w:szCs w:val="28"/>
          <w:lang w:val="en-US" w:eastAsia="ru-RU"/>
        </w:rPr>
        <w:tab/>
        <w:t>Disease Activity Score</w:t>
      </w:r>
    </w:p>
    <w:p w:rsidR="00097064" w:rsidRPr="00B52906" w:rsidRDefault="00097064" w:rsidP="00097064">
      <w:pPr>
        <w:spacing w:after="0" w:line="360" w:lineRule="auto"/>
        <w:ind w:left="2124" w:hanging="2124"/>
        <w:rPr>
          <w:rFonts w:ascii="Times New Roman" w:eastAsia="Times New Roman" w:hAnsi="Times New Roman"/>
          <w:sz w:val="28"/>
          <w:szCs w:val="28"/>
          <w:lang w:val="en-US" w:eastAsia="ru-RU"/>
        </w:rPr>
      </w:pPr>
      <w:proofErr w:type="gramStart"/>
      <w:r w:rsidRPr="00B52906">
        <w:rPr>
          <w:rFonts w:ascii="Times New Roman" w:eastAsia="Times New Roman" w:hAnsi="Times New Roman"/>
          <w:sz w:val="28"/>
          <w:szCs w:val="28"/>
          <w:lang w:val="en-US" w:eastAsia="ru-RU"/>
        </w:rPr>
        <w:t xml:space="preserve">EULAR        </w:t>
      </w:r>
      <w:r w:rsidRPr="00B52906">
        <w:rPr>
          <w:rFonts w:ascii="Times New Roman" w:eastAsia="Times New Roman" w:hAnsi="Times New Roman"/>
          <w:sz w:val="28"/>
          <w:szCs w:val="28"/>
          <w:lang w:val="en-US" w:eastAsia="ru-RU"/>
        </w:rPr>
        <w:tab/>
        <w:t>European League Against</w:t>
      </w:r>
      <w:proofErr w:type="gramEnd"/>
      <w:r w:rsidRPr="00B52906">
        <w:rPr>
          <w:rFonts w:ascii="Times New Roman" w:eastAsia="Times New Roman" w:hAnsi="Times New Roman"/>
          <w:sz w:val="28"/>
          <w:szCs w:val="28"/>
          <w:lang w:val="en-US" w:eastAsia="ru-RU"/>
        </w:rPr>
        <w:t xml:space="preserve"> Rheumatism</w:t>
      </w:r>
      <w:r>
        <w:rPr>
          <w:rFonts w:ascii="Times New Roman" w:eastAsia="Times New Roman" w:hAnsi="Times New Roman"/>
          <w:sz w:val="28"/>
          <w:szCs w:val="28"/>
          <w:lang w:val="en-US" w:eastAsia="ru-RU"/>
        </w:rPr>
        <w:t xml:space="preserve"> </w:t>
      </w:r>
      <w:r w:rsidRPr="00E66EA2">
        <w:rPr>
          <w:rFonts w:ascii="Times New Roman" w:eastAsia="Times New Roman" w:hAnsi="Times New Roman"/>
          <w:sz w:val="28"/>
          <w:szCs w:val="28"/>
          <w:lang w:val="en-US" w:eastAsia="ru-RU"/>
        </w:rPr>
        <w:t>(</w:t>
      </w:r>
      <w:r w:rsidRPr="00B52906">
        <w:rPr>
          <w:rFonts w:ascii="Times New Roman" w:eastAsia="Times New Roman" w:hAnsi="Times New Roman"/>
          <w:sz w:val="28"/>
          <w:szCs w:val="28"/>
          <w:lang w:eastAsia="ru-RU"/>
        </w:rPr>
        <w:t>Европейская</w:t>
      </w:r>
      <w:r w:rsidRPr="00B52906">
        <w:rPr>
          <w:rFonts w:ascii="Times New Roman" w:eastAsia="Times New Roman" w:hAnsi="Times New Roman"/>
          <w:sz w:val="28"/>
          <w:szCs w:val="28"/>
          <w:lang w:val="en-US" w:eastAsia="ru-RU"/>
        </w:rPr>
        <w:t xml:space="preserve">   </w:t>
      </w:r>
      <w:r w:rsidRPr="00B52906">
        <w:rPr>
          <w:rFonts w:ascii="Times New Roman" w:eastAsia="Times New Roman" w:hAnsi="Times New Roman"/>
          <w:sz w:val="28"/>
          <w:szCs w:val="28"/>
          <w:lang w:eastAsia="ru-RU"/>
        </w:rPr>
        <w:t>антиревматическая</w:t>
      </w:r>
      <w:r w:rsidRPr="00B52906">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л</w:t>
      </w:r>
      <w:r w:rsidRPr="00B52906">
        <w:rPr>
          <w:rFonts w:ascii="Times New Roman" w:eastAsia="Times New Roman" w:hAnsi="Times New Roman"/>
          <w:sz w:val="28"/>
          <w:szCs w:val="28"/>
          <w:lang w:eastAsia="ru-RU"/>
        </w:rPr>
        <w:t>ига</w:t>
      </w:r>
      <w:r w:rsidRPr="00E66EA2">
        <w:rPr>
          <w:rFonts w:ascii="Times New Roman" w:eastAsia="Times New Roman" w:hAnsi="Times New Roman"/>
          <w:sz w:val="28"/>
          <w:szCs w:val="28"/>
          <w:lang w:val="en-US" w:eastAsia="ru-RU"/>
        </w:rPr>
        <w:t>)</w:t>
      </w:r>
    </w:p>
    <w:p w:rsidR="00097064" w:rsidRDefault="00097064" w:rsidP="00097064">
      <w:pPr>
        <w:spacing w:after="0" w:line="360" w:lineRule="auto"/>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HAQ</w:t>
      </w:r>
      <w:r w:rsidRPr="00B52906">
        <w:rPr>
          <w:rFonts w:ascii="Times New Roman" w:eastAsia="Times New Roman" w:hAnsi="Times New Roman"/>
          <w:color w:val="000000"/>
          <w:sz w:val="28"/>
          <w:szCs w:val="28"/>
          <w:lang w:val="en-US" w:eastAsia="ru-RU"/>
        </w:rPr>
        <w:t xml:space="preserve">   </w:t>
      </w:r>
      <w:r w:rsidRPr="00B52906">
        <w:rPr>
          <w:rFonts w:ascii="Times New Roman" w:eastAsia="Times New Roman" w:hAnsi="Times New Roman"/>
          <w:color w:val="000000"/>
          <w:sz w:val="28"/>
          <w:szCs w:val="28"/>
          <w:lang w:val="en-US" w:eastAsia="ru-RU"/>
        </w:rPr>
        <w:tab/>
      </w:r>
      <w:r w:rsidRPr="00B52906">
        <w:rPr>
          <w:rFonts w:ascii="Times New Roman" w:eastAsia="Times New Roman" w:hAnsi="Times New Roman"/>
          <w:color w:val="000000"/>
          <w:sz w:val="28"/>
          <w:szCs w:val="28"/>
          <w:lang w:val="en-US" w:eastAsia="ru-RU"/>
        </w:rPr>
        <w:tab/>
      </w:r>
      <w:r w:rsidRPr="004E4C5C">
        <w:rPr>
          <w:rFonts w:ascii="Times New Roman" w:eastAsia="Times New Roman" w:hAnsi="Times New Roman"/>
          <w:color w:val="000000"/>
          <w:sz w:val="28"/>
          <w:szCs w:val="28"/>
          <w:lang w:val="en-US" w:eastAsia="ru-RU"/>
        </w:rPr>
        <w:t>Health</w:t>
      </w:r>
      <w:r w:rsidRPr="00B52906">
        <w:rPr>
          <w:rFonts w:ascii="Times New Roman" w:eastAsia="Times New Roman" w:hAnsi="Times New Roman"/>
          <w:color w:val="000000"/>
          <w:sz w:val="28"/>
          <w:szCs w:val="28"/>
          <w:lang w:val="en-US" w:eastAsia="ru-RU"/>
        </w:rPr>
        <w:t xml:space="preserve"> </w:t>
      </w:r>
      <w:r w:rsidRPr="004E4C5C">
        <w:rPr>
          <w:rFonts w:ascii="Times New Roman" w:eastAsia="Times New Roman" w:hAnsi="Times New Roman"/>
          <w:color w:val="000000"/>
          <w:sz w:val="28"/>
          <w:szCs w:val="28"/>
          <w:lang w:val="en-US" w:eastAsia="ru-RU"/>
        </w:rPr>
        <w:t>Assessment</w:t>
      </w:r>
      <w:r w:rsidRPr="00B52906">
        <w:rPr>
          <w:rFonts w:ascii="Times New Roman" w:eastAsia="Times New Roman" w:hAnsi="Times New Roman"/>
          <w:color w:val="000000"/>
          <w:sz w:val="28"/>
          <w:szCs w:val="28"/>
          <w:lang w:val="en-US" w:eastAsia="ru-RU"/>
        </w:rPr>
        <w:t xml:space="preserve"> </w:t>
      </w:r>
      <w:r w:rsidRPr="004E4C5C">
        <w:rPr>
          <w:rFonts w:ascii="Times New Roman" w:eastAsia="Times New Roman" w:hAnsi="Times New Roman"/>
          <w:color w:val="000000"/>
          <w:sz w:val="28"/>
          <w:szCs w:val="28"/>
          <w:lang w:val="en-US" w:eastAsia="ru-RU"/>
        </w:rPr>
        <w:t>Questionnaire</w:t>
      </w:r>
    </w:p>
    <w:p w:rsidR="00097064" w:rsidRPr="00B52906" w:rsidRDefault="00097064" w:rsidP="00097064">
      <w:pPr>
        <w:spacing w:after="0" w:line="360" w:lineRule="auto"/>
        <w:ind w:left="1134" w:hanging="1134"/>
        <w:rPr>
          <w:rFonts w:ascii="Times New Roman" w:eastAsia="Times New Roman" w:hAnsi="Times New Roman"/>
          <w:sz w:val="28"/>
          <w:szCs w:val="28"/>
          <w:lang w:val="en-US" w:eastAsia="ru-RU"/>
        </w:rPr>
      </w:pPr>
      <w:proofErr w:type="gramStart"/>
      <w:r w:rsidRPr="00B52906">
        <w:rPr>
          <w:rFonts w:ascii="Times New Roman" w:eastAsia="Times New Roman" w:hAnsi="Times New Roman"/>
          <w:sz w:val="28"/>
          <w:szCs w:val="28"/>
          <w:lang w:eastAsia="ru-RU"/>
        </w:rPr>
        <w:t>О</w:t>
      </w:r>
      <w:proofErr w:type="gramEnd"/>
      <w:r w:rsidRPr="00111786">
        <w:rPr>
          <w:rFonts w:ascii="Times New Roman" w:eastAsia="Times New Roman" w:hAnsi="Times New Roman"/>
          <w:sz w:val="28"/>
          <w:szCs w:val="28"/>
          <w:lang w:val="en-US" w:eastAsia="ru-RU"/>
        </w:rPr>
        <w:t xml:space="preserve">PG              </w:t>
      </w:r>
      <w:r w:rsidRPr="00111786">
        <w:rPr>
          <w:rFonts w:ascii="Times New Roman" w:eastAsia="Times New Roman" w:hAnsi="Times New Roman"/>
          <w:sz w:val="28"/>
          <w:szCs w:val="28"/>
          <w:lang w:val="en-US" w:eastAsia="ru-RU"/>
        </w:rPr>
        <w:tab/>
      </w:r>
      <w:r>
        <w:rPr>
          <w:rFonts w:ascii="Times New Roman" w:eastAsia="Times New Roman" w:hAnsi="Times New Roman"/>
          <w:sz w:val="28"/>
          <w:szCs w:val="28"/>
          <w:lang w:eastAsia="ru-RU"/>
        </w:rPr>
        <w:t>остеопротегерин</w:t>
      </w:r>
    </w:p>
    <w:p w:rsidR="00097064" w:rsidRPr="005358C3" w:rsidRDefault="00097064" w:rsidP="00097064">
      <w:pPr>
        <w:spacing w:after="0" w:line="360" w:lineRule="auto"/>
        <w:ind w:left="1134" w:hanging="1134"/>
        <w:rPr>
          <w:rFonts w:ascii="Times New Roman" w:eastAsia="Times New Roman" w:hAnsi="Times New Roman"/>
          <w:sz w:val="28"/>
          <w:szCs w:val="28"/>
          <w:lang w:val="en-US" w:eastAsia="ru-RU"/>
        </w:rPr>
      </w:pPr>
      <w:r w:rsidRPr="00B52906">
        <w:rPr>
          <w:rFonts w:ascii="Times New Roman" w:eastAsia="Times New Roman" w:hAnsi="Times New Roman"/>
          <w:sz w:val="28"/>
          <w:szCs w:val="28"/>
          <w:lang w:val="en-US" w:eastAsia="ru-RU"/>
        </w:rPr>
        <w:t>SD</w:t>
      </w:r>
      <w:r w:rsidRPr="005358C3">
        <w:rPr>
          <w:rFonts w:ascii="Times New Roman" w:eastAsia="Times New Roman" w:hAnsi="Times New Roman"/>
          <w:sz w:val="28"/>
          <w:szCs w:val="28"/>
          <w:lang w:val="en-US" w:eastAsia="ru-RU"/>
        </w:rPr>
        <w:t xml:space="preserve">                 </w:t>
      </w:r>
      <w:r w:rsidRPr="005358C3">
        <w:rPr>
          <w:rFonts w:ascii="Times New Roman" w:eastAsia="Times New Roman" w:hAnsi="Times New Roman"/>
          <w:sz w:val="28"/>
          <w:szCs w:val="28"/>
          <w:lang w:val="en-US" w:eastAsia="ru-RU"/>
        </w:rPr>
        <w:tab/>
      </w:r>
      <w:r w:rsidRPr="00B52906">
        <w:rPr>
          <w:rFonts w:ascii="Times New Roman" w:eastAsia="Times New Roman" w:hAnsi="Times New Roman"/>
          <w:sz w:val="28"/>
          <w:szCs w:val="28"/>
          <w:lang w:eastAsia="ru-RU"/>
        </w:rPr>
        <w:t>стандартное</w:t>
      </w:r>
      <w:r w:rsidRPr="005358C3">
        <w:rPr>
          <w:rFonts w:ascii="Times New Roman" w:eastAsia="Times New Roman" w:hAnsi="Times New Roman"/>
          <w:sz w:val="28"/>
          <w:szCs w:val="28"/>
          <w:lang w:val="en-US" w:eastAsia="ru-RU"/>
        </w:rPr>
        <w:t xml:space="preserve"> </w:t>
      </w:r>
      <w:r w:rsidRPr="00B52906">
        <w:rPr>
          <w:rFonts w:ascii="Times New Roman" w:eastAsia="Times New Roman" w:hAnsi="Times New Roman"/>
          <w:sz w:val="28"/>
          <w:szCs w:val="28"/>
          <w:lang w:eastAsia="ru-RU"/>
        </w:rPr>
        <w:t>отклонение</w:t>
      </w:r>
    </w:p>
    <w:p w:rsidR="00097064" w:rsidRPr="00F71B34" w:rsidRDefault="00097064" w:rsidP="00097064">
      <w:pPr>
        <w:spacing w:after="0" w:line="360" w:lineRule="auto"/>
        <w:ind w:left="1134" w:hanging="1134"/>
        <w:rPr>
          <w:rFonts w:ascii="Times New Roman" w:eastAsia="Times New Roman" w:hAnsi="Times New Roman"/>
          <w:sz w:val="28"/>
          <w:szCs w:val="28"/>
          <w:lang w:eastAsia="ru-RU"/>
        </w:rPr>
      </w:pPr>
      <w:proofErr w:type="gramStart"/>
      <w:r w:rsidRPr="00F71B34">
        <w:rPr>
          <w:rFonts w:ascii="Times New Roman" w:eastAsia="Times New Roman" w:hAnsi="Times New Roman"/>
          <w:sz w:val="28"/>
          <w:szCs w:val="28"/>
          <w:lang w:eastAsia="ru-RU"/>
        </w:rPr>
        <w:t>ВАШ</w:t>
      </w:r>
      <w:proofErr w:type="gramEnd"/>
      <w:r w:rsidRPr="00F71B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F71B34">
        <w:rPr>
          <w:rFonts w:ascii="Times New Roman" w:eastAsia="Times New Roman" w:hAnsi="Times New Roman"/>
          <w:sz w:val="28"/>
          <w:szCs w:val="28"/>
          <w:lang w:eastAsia="ru-RU"/>
        </w:rPr>
        <w:t>визуальная аналоговая шкала</w:t>
      </w:r>
    </w:p>
    <w:p w:rsidR="00097064" w:rsidRPr="00B52906" w:rsidRDefault="00097064" w:rsidP="00097064">
      <w:pPr>
        <w:spacing w:after="0" w:line="360" w:lineRule="auto"/>
        <w:ind w:left="1843" w:hanging="1843"/>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ВОЗ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Всемирная организация здравоохранения</w:t>
      </w:r>
    </w:p>
    <w:p w:rsidR="00097064" w:rsidRDefault="00097064" w:rsidP="00097064">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ГИБП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генно-инженерные биологические препараты</w:t>
      </w:r>
    </w:p>
    <w:p w:rsidR="00097064" w:rsidRDefault="00097064" w:rsidP="00097064">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ГК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глюкокортикоиды</w:t>
      </w:r>
    </w:p>
    <w:p w:rsidR="00097064" w:rsidRDefault="00097064" w:rsidP="00097064">
      <w:pPr>
        <w:spacing w:after="0" w:line="360" w:lineRule="auto"/>
        <w:ind w:left="1134" w:hanging="1134"/>
        <w:rPr>
          <w:rFonts w:ascii="Times New Roman" w:eastAsia="Times New Roman" w:hAnsi="Times New Roman"/>
          <w:color w:val="000000"/>
          <w:sz w:val="28"/>
          <w:szCs w:val="28"/>
          <w:lang w:eastAsia="ru-RU"/>
        </w:rPr>
      </w:pPr>
      <w:r w:rsidRPr="00B52906">
        <w:rPr>
          <w:rFonts w:ascii="Times New Roman" w:eastAsia="Times New Roman" w:hAnsi="Times New Roman"/>
          <w:sz w:val="28"/>
          <w:szCs w:val="28"/>
          <w:lang w:eastAsia="ru-RU"/>
        </w:rPr>
        <w:t xml:space="preserve">ИБС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ишемическая болез</w:t>
      </w:r>
      <w:r>
        <w:rPr>
          <w:rFonts w:ascii="Times New Roman" w:eastAsia="Times New Roman" w:hAnsi="Times New Roman"/>
          <w:color w:val="000000"/>
          <w:sz w:val="28"/>
          <w:szCs w:val="28"/>
          <w:lang w:eastAsia="ru-RU"/>
        </w:rPr>
        <w:t>нь сердца</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ИЛ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интерлейкин</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ИМТ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индекс массы тела</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ИФ</w:t>
      </w:r>
      <w:r>
        <w:rPr>
          <w:rFonts w:ascii="Times New Roman" w:eastAsia="Times New Roman" w:hAnsi="Times New Roman"/>
          <w:sz w:val="28"/>
          <w:szCs w:val="28"/>
          <w:lang w:eastAsia="ru-RU"/>
        </w:rPr>
        <w:t>Н</w:t>
      </w:r>
      <w:r w:rsidRPr="00B529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интерферон</w:t>
      </w:r>
    </w:p>
    <w:p w:rsidR="00097064" w:rsidRDefault="00097064" w:rsidP="00097064">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КЖ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качество жизни</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МПК  (BMD)</w:t>
      </w:r>
      <w:r>
        <w:rPr>
          <w:rFonts w:ascii="Times New Roman" w:eastAsia="Times New Roman" w:hAnsi="Times New Roman"/>
          <w:sz w:val="28"/>
          <w:szCs w:val="28"/>
          <w:lang w:eastAsia="ru-RU"/>
        </w:rPr>
        <w:t xml:space="preserve">        </w:t>
      </w:r>
      <w:r w:rsidRPr="00B52906">
        <w:rPr>
          <w:rFonts w:ascii="Times New Roman" w:eastAsia="Times New Roman" w:hAnsi="Times New Roman"/>
          <w:sz w:val="28"/>
          <w:szCs w:val="28"/>
          <w:lang w:eastAsia="ru-RU"/>
        </w:rPr>
        <w:t xml:space="preserve">минеральная плотность кости </w:t>
      </w:r>
    </w:p>
    <w:p w:rsidR="00097064" w:rsidRDefault="00097064" w:rsidP="00097064">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МТХ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метотрексат</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НПВП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 xml:space="preserve">нестероидные противовоспалительные препараты </w:t>
      </w:r>
    </w:p>
    <w:p w:rsidR="00097064" w:rsidRDefault="00097064" w:rsidP="00097064">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остеобласты</w:t>
      </w:r>
    </w:p>
    <w:p w:rsidR="00097064" w:rsidRDefault="00097064" w:rsidP="00097064">
      <w:pPr>
        <w:spacing w:after="0" w:line="36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ОК</w:t>
      </w:r>
      <w:proofErr w:type="gramEnd"/>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остеокласты</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ОП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остеопороз</w:t>
      </w:r>
    </w:p>
    <w:p w:rsidR="00097064" w:rsidRPr="00B52906" w:rsidRDefault="00097064" w:rsidP="00097064">
      <w:pPr>
        <w:spacing w:after="0" w:line="360" w:lineRule="auto"/>
        <w:ind w:left="1701" w:hanging="1701"/>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ОПе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остеопения</w:t>
      </w:r>
    </w:p>
    <w:p w:rsidR="00097064" w:rsidRPr="00B52906" w:rsidRDefault="00097064" w:rsidP="00097064">
      <w:pPr>
        <w:spacing w:after="0" w:line="360" w:lineRule="auto"/>
        <w:ind w:left="1701" w:hanging="170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ОПС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остеопенический синдром</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РА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ревматоидный артрит</w:t>
      </w:r>
    </w:p>
    <w:p w:rsidR="00097064" w:rsidRDefault="00097064" w:rsidP="00097064">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РТМ             </w:t>
      </w:r>
      <w:r>
        <w:rPr>
          <w:rFonts w:ascii="Times New Roman" w:eastAsia="Times New Roman" w:hAnsi="Times New Roman"/>
          <w:color w:val="000000"/>
          <w:sz w:val="28"/>
          <w:szCs w:val="28"/>
          <w:lang w:eastAsia="ru-RU"/>
        </w:rPr>
        <w:tab/>
        <w:t>ритуксимаб</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lastRenderedPageBreak/>
        <w:t xml:space="preserve">РФ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ревматоидный фактор</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СД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сахарный диабет</w:t>
      </w:r>
    </w:p>
    <w:p w:rsidR="00097064" w:rsidRPr="00B52906" w:rsidRDefault="00097064" w:rsidP="00097064">
      <w:pPr>
        <w:spacing w:after="0" w:line="360" w:lineRule="auto"/>
        <w:ind w:left="1560" w:hanging="1560"/>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СОЭ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скорость оседания эритроцитов</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СРБ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proofErr w:type="gramStart"/>
      <w:r w:rsidRPr="00B52906">
        <w:rPr>
          <w:rFonts w:ascii="Times New Roman" w:eastAsia="Times New Roman" w:hAnsi="Times New Roman"/>
          <w:sz w:val="28"/>
          <w:szCs w:val="28"/>
          <w:lang w:eastAsia="ru-RU"/>
        </w:rPr>
        <w:t>С-реактивный</w:t>
      </w:r>
      <w:proofErr w:type="gramEnd"/>
      <w:r w:rsidRPr="00B52906">
        <w:rPr>
          <w:rFonts w:ascii="Times New Roman" w:eastAsia="Times New Roman" w:hAnsi="Times New Roman"/>
          <w:sz w:val="28"/>
          <w:szCs w:val="28"/>
          <w:lang w:eastAsia="ru-RU"/>
        </w:rPr>
        <w:t xml:space="preserve"> белок</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 xml:space="preserve">ФК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функциональный класс</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sidRPr="00B52906">
        <w:rPr>
          <w:rFonts w:ascii="Times New Roman" w:eastAsia="Times New Roman" w:hAnsi="Times New Roman"/>
          <w:sz w:val="28"/>
          <w:szCs w:val="28"/>
          <w:lang w:eastAsia="ru-RU"/>
        </w:rPr>
        <w:t>ФН</w:t>
      </w:r>
      <w:proofErr w:type="gramStart"/>
      <w:r w:rsidRPr="00B52906">
        <w:rPr>
          <w:rFonts w:ascii="Times New Roman" w:eastAsia="Times New Roman" w:hAnsi="Times New Roman"/>
          <w:sz w:val="28"/>
          <w:szCs w:val="28"/>
          <w:lang w:eastAsia="ru-RU"/>
        </w:rPr>
        <w:t>О-</w:t>
      </w:r>
      <w:proofErr w:type="gramEnd"/>
      <w:r w:rsidRPr="00B52906">
        <w:rPr>
          <w:rFonts w:ascii="Times New Roman" w:eastAsia="Times New Roman" w:hAnsi="Times New Roman"/>
          <w:sz w:val="28"/>
          <w:szCs w:val="28"/>
          <w:lang w:eastAsia="ru-RU"/>
        </w:rPr>
        <w:t xml:space="preserve">α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фактор некроза опухоли</w:t>
      </w:r>
      <w:r>
        <w:rPr>
          <w:rFonts w:ascii="Times New Roman" w:eastAsia="Times New Roman" w:hAnsi="Times New Roman"/>
          <w:sz w:val="28"/>
          <w:szCs w:val="28"/>
          <w:lang w:eastAsia="ru-RU"/>
        </w:rPr>
        <w:t>-</w:t>
      </w:r>
      <w:r w:rsidRPr="00B52906">
        <w:rPr>
          <w:rFonts w:ascii="Times New Roman" w:eastAsia="Times New Roman" w:hAnsi="Times New Roman"/>
          <w:sz w:val="28"/>
          <w:szCs w:val="28"/>
          <w:lang w:eastAsia="ru-RU"/>
        </w:rPr>
        <w:t>α</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proofErr w:type="gramStart"/>
      <w:r w:rsidRPr="00B52906">
        <w:rPr>
          <w:rFonts w:ascii="Times New Roman" w:eastAsia="Times New Roman" w:hAnsi="Times New Roman"/>
          <w:sz w:val="28"/>
          <w:szCs w:val="28"/>
          <w:lang w:eastAsia="ru-RU"/>
        </w:rPr>
        <w:t>ФР</w:t>
      </w:r>
      <w:proofErr w:type="gramEnd"/>
      <w:r w:rsidRPr="00B529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529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фактор риска</w:t>
      </w:r>
    </w:p>
    <w:p w:rsidR="00097064" w:rsidRPr="00B52906" w:rsidRDefault="00097064" w:rsidP="00097064">
      <w:pPr>
        <w:spacing w:after="0" w:line="360" w:lineRule="auto"/>
        <w:ind w:left="1134" w:hanging="11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ХПН               </w:t>
      </w:r>
      <w:r w:rsidRPr="00B529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B52906">
        <w:rPr>
          <w:rFonts w:ascii="Times New Roman" w:eastAsia="Times New Roman" w:hAnsi="Times New Roman"/>
          <w:sz w:val="28"/>
          <w:szCs w:val="28"/>
          <w:lang w:eastAsia="ru-RU"/>
        </w:rPr>
        <w:t>хроническая почечная недостаточность</w:t>
      </w:r>
    </w:p>
    <w:p w:rsidR="00097064" w:rsidRDefault="00097064" w:rsidP="00097064">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ЧБС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число болезненных суставов</w:t>
      </w:r>
    </w:p>
    <w:p w:rsidR="00097064" w:rsidRDefault="00097064" w:rsidP="00097064">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ЧПС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число припухших суставов</w:t>
      </w: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097064" w:rsidRDefault="00097064" w:rsidP="00800CFB">
      <w:pPr>
        <w:spacing w:after="0" w:line="360" w:lineRule="auto"/>
        <w:jc w:val="center"/>
        <w:rPr>
          <w:rFonts w:ascii="Times New Roman" w:hAnsi="Times New Roman"/>
          <w:b/>
          <w:sz w:val="28"/>
          <w:szCs w:val="28"/>
        </w:rPr>
      </w:pPr>
    </w:p>
    <w:p w:rsidR="009D7C22" w:rsidRDefault="009D7C22" w:rsidP="00800CFB">
      <w:pPr>
        <w:spacing w:after="0" w:line="360" w:lineRule="auto"/>
        <w:jc w:val="center"/>
        <w:rPr>
          <w:rFonts w:ascii="Times New Roman" w:hAnsi="Times New Roman"/>
          <w:b/>
          <w:sz w:val="28"/>
          <w:szCs w:val="28"/>
        </w:rPr>
      </w:pPr>
      <w:r w:rsidRPr="00F71B34">
        <w:rPr>
          <w:rFonts w:ascii="Times New Roman" w:hAnsi="Times New Roman"/>
          <w:b/>
          <w:sz w:val="28"/>
          <w:szCs w:val="28"/>
        </w:rPr>
        <w:lastRenderedPageBreak/>
        <w:t>ВВЕДЕНИЕ</w:t>
      </w:r>
    </w:p>
    <w:p w:rsidR="002230F3" w:rsidRDefault="002230F3" w:rsidP="00800CFB">
      <w:pPr>
        <w:spacing w:after="0" w:line="360" w:lineRule="auto"/>
        <w:jc w:val="center"/>
        <w:rPr>
          <w:rFonts w:ascii="Times New Roman" w:hAnsi="Times New Roman"/>
          <w:b/>
          <w:sz w:val="28"/>
          <w:szCs w:val="28"/>
        </w:rPr>
      </w:pPr>
    </w:p>
    <w:p w:rsidR="002230F3" w:rsidRPr="00F71B34" w:rsidRDefault="002230F3" w:rsidP="00800CFB">
      <w:pPr>
        <w:spacing w:after="0" w:line="360" w:lineRule="auto"/>
        <w:jc w:val="center"/>
        <w:rPr>
          <w:rFonts w:ascii="Times New Roman" w:hAnsi="Times New Roman"/>
          <w:b/>
          <w:sz w:val="28"/>
          <w:szCs w:val="28"/>
        </w:rPr>
      </w:pPr>
    </w:p>
    <w:p w:rsidR="00761509" w:rsidRPr="009114DF" w:rsidRDefault="00097064" w:rsidP="00097064">
      <w:pPr>
        <w:tabs>
          <w:tab w:val="left" w:pos="360"/>
        </w:tabs>
        <w:spacing w:after="0" w:line="360" w:lineRule="auto"/>
        <w:jc w:val="both"/>
        <w:rPr>
          <w:rFonts w:ascii="Times New Roman" w:eastAsia="Times New Roman" w:hAnsi="Times New Roman"/>
          <w:kern w:val="2"/>
          <w:sz w:val="28"/>
          <w:szCs w:val="28"/>
          <w:lang w:eastAsia="ko-KR"/>
        </w:rPr>
      </w:pPr>
      <w:r>
        <w:rPr>
          <w:rFonts w:ascii="Times New Roman" w:eastAsia="Times New Roman" w:hAnsi="Times New Roman"/>
          <w:b/>
          <w:sz w:val="28"/>
          <w:szCs w:val="28"/>
        </w:rPr>
        <w:tab/>
      </w:r>
      <w:r>
        <w:rPr>
          <w:rFonts w:ascii="Times New Roman" w:eastAsia="Times New Roman" w:hAnsi="Times New Roman"/>
          <w:b/>
          <w:sz w:val="28"/>
          <w:szCs w:val="28"/>
        </w:rPr>
        <w:tab/>
      </w:r>
      <w:r w:rsidR="00761509" w:rsidRPr="009114DF">
        <w:rPr>
          <w:rFonts w:ascii="Times New Roman" w:eastAsia="Times New Roman" w:hAnsi="Times New Roman"/>
          <w:sz w:val="28"/>
          <w:szCs w:val="28"/>
        </w:rPr>
        <w:t xml:space="preserve"> </w:t>
      </w:r>
      <w:r w:rsidR="00761509" w:rsidRPr="009114DF">
        <w:rPr>
          <w:rFonts w:ascii="Times New Roman" w:eastAsia="Times New Roman" w:hAnsi="Times New Roman"/>
          <w:kern w:val="2"/>
          <w:sz w:val="28"/>
          <w:szCs w:val="28"/>
          <w:lang w:eastAsia="ko-KR"/>
        </w:rPr>
        <w:t>Ревматоидный артрит</w:t>
      </w:r>
      <w:r w:rsidR="00CD2EDC" w:rsidRPr="009114DF">
        <w:rPr>
          <w:rFonts w:ascii="Times New Roman" w:eastAsia="Times New Roman" w:hAnsi="Times New Roman"/>
          <w:kern w:val="2"/>
          <w:sz w:val="28"/>
          <w:szCs w:val="28"/>
          <w:lang w:eastAsia="ko-KR"/>
        </w:rPr>
        <w:t xml:space="preserve"> – </w:t>
      </w:r>
      <w:r w:rsidR="00761509" w:rsidRPr="009114DF">
        <w:rPr>
          <w:rFonts w:ascii="Times New Roman" w:eastAsia="Times New Roman" w:hAnsi="Times New Roman"/>
          <w:kern w:val="2"/>
          <w:sz w:val="28"/>
          <w:szCs w:val="28"/>
          <w:lang w:eastAsia="ko-KR"/>
        </w:rPr>
        <w:t>хроническое аутоиммунное заболевание, которое характеризуется не только воспалением синовиальной оболочки суставов, но и разрушением костной ткани. Распространенность РА в п</w:t>
      </w:r>
      <w:proofErr w:type="gramStart"/>
      <w:r w:rsidR="004437A5" w:rsidRPr="009114DF">
        <w:rPr>
          <w:rFonts w:ascii="Times New Roman" w:eastAsia="Times New Roman" w:hAnsi="Times New Roman"/>
          <w:kern w:val="2"/>
          <w:sz w:val="28"/>
          <w:szCs w:val="28"/>
          <w:lang w:val="en-US" w:eastAsia="ko-KR"/>
        </w:rPr>
        <w:t>o</w:t>
      </w:r>
      <w:proofErr w:type="gramEnd"/>
      <w:r w:rsidR="00761509" w:rsidRPr="009114DF">
        <w:rPr>
          <w:rFonts w:ascii="Times New Roman" w:eastAsia="Times New Roman" w:hAnsi="Times New Roman"/>
          <w:kern w:val="2"/>
          <w:sz w:val="28"/>
          <w:szCs w:val="28"/>
          <w:lang w:eastAsia="ko-KR"/>
        </w:rPr>
        <w:t>пуляци</w:t>
      </w:r>
      <w:r w:rsidR="000E152B" w:rsidRPr="009114DF">
        <w:rPr>
          <w:rFonts w:ascii="Times New Roman" w:eastAsia="Times New Roman" w:hAnsi="Times New Roman"/>
          <w:kern w:val="2"/>
          <w:sz w:val="28"/>
          <w:szCs w:val="28"/>
          <w:lang w:eastAsia="ko-KR"/>
        </w:rPr>
        <w:t>и кол</w:t>
      </w:r>
      <w:r w:rsidR="004437A5" w:rsidRPr="009114DF">
        <w:rPr>
          <w:rFonts w:ascii="Times New Roman" w:eastAsia="Times New Roman" w:hAnsi="Times New Roman"/>
          <w:kern w:val="2"/>
          <w:sz w:val="28"/>
          <w:szCs w:val="28"/>
          <w:lang w:val="en-US" w:eastAsia="ko-KR"/>
        </w:rPr>
        <w:t>e</w:t>
      </w:r>
      <w:r w:rsidR="000E152B" w:rsidRPr="009114DF">
        <w:rPr>
          <w:rFonts w:ascii="Times New Roman" w:eastAsia="Times New Roman" w:hAnsi="Times New Roman"/>
          <w:kern w:val="2"/>
          <w:sz w:val="28"/>
          <w:szCs w:val="28"/>
          <w:lang w:eastAsia="ko-KR"/>
        </w:rPr>
        <w:t>бл</w:t>
      </w:r>
      <w:r w:rsidR="004437A5" w:rsidRPr="009114DF">
        <w:rPr>
          <w:rFonts w:ascii="Times New Roman" w:eastAsia="Times New Roman" w:hAnsi="Times New Roman"/>
          <w:kern w:val="2"/>
          <w:sz w:val="28"/>
          <w:szCs w:val="28"/>
          <w:lang w:val="en-US" w:eastAsia="ko-KR"/>
        </w:rPr>
        <w:t>e</w:t>
      </w:r>
      <w:r w:rsidR="000E152B" w:rsidRPr="009114DF">
        <w:rPr>
          <w:rFonts w:ascii="Times New Roman" w:eastAsia="Times New Roman" w:hAnsi="Times New Roman"/>
          <w:kern w:val="2"/>
          <w:sz w:val="28"/>
          <w:szCs w:val="28"/>
          <w:lang w:eastAsia="ko-KR"/>
        </w:rPr>
        <w:t>тся от 0,5 до 1,0% [52</w:t>
      </w:r>
      <w:r w:rsidR="00761509" w:rsidRPr="009114DF">
        <w:rPr>
          <w:rFonts w:ascii="Times New Roman" w:eastAsia="Times New Roman" w:hAnsi="Times New Roman"/>
          <w:kern w:val="2"/>
          <w:sz w:val="28"/>
          <w:szCs w:val="28"/>
          <w:lang w:eastAsia="ko-KR"/>
        </w:rPr>
        <w:t>], а первичная заболев</w:t>
      </w:r>
      <w:r w:rsidR="000E152B" w:rsidRPr="009114DF">
        <w:rPr>
          <w:rFonts w:ascii="Times New Roman" w:eastAsia="Times New Roman" w:hAnsi="Times New Roman"/>
          <w:kern w:val="2"/>
          <w:sz w:val="28"/>
          <w:szCs w:val="28"/>
          <w:lang w:eastAsia="ko-KR"/>
        </w:rPr>
        <w:t>аемость д</w:t>
      </w:r>
      <w:r w:rsidR="004437A5" w:rsidRPr="009114DF">
        <w:rPr>
          <w:rFonts w:ascii="Times New Roman" w:eastAsia="Times New Roman" w:hAnsi="Times New Roman"/>
          <w:kern w:val="2"/>
          <w:sz w:val="28"/>
          <w:szCs w:val="28"/>
          <w:lang w:val="en-US" w:eastAsia="ko-KR"/>
        </w:rPr>
        <w:t>o</w:t>
      </w:r>
      <w:r w:rsidR="00C41C66" w:rsidRPr="009114DF">
        <w:rPr>
          <w:rFonts w:ascii="Times New Roman" w:eastAsia="Times New Roman" w:hAnsi="Times New Roman"/>
          <w:kern w:val="2"/>
          <w:sz w:val="28"/>
          <w:szCs w:val="28"/>
          <w:lang w:eastAsia="ko-KR"/>
        </w:rPr>
        <w:t>стигает 0,02% [84</w:t>
      </w:r>
      <w:r w:rsidR="00761509" w:rsidRPr="009114DF">
        <w:rPr>
          <w:rFonts w:ascii="Times New Roman" w:eastAsia="Times New Roman" w:hAnsi="Times New Roman"/>
          <w:kern w:val="2"/>
          <w:sz w:val="28"/>
          <w:szCs w:val="28"/>
          <w:lang w:eastAsia="ko-KR"/>
        </w:rPr>
        <w:t xml:space="preserve">]. </w:t>
      </w:r>
    </w:p>
    <w:p w:rsidR="00761509" w:rsidRPr="009114DF" w:rsidRDefault="00761509" w:rsidP="00761509">
      <w:pPr>
        <w:tabs>
          <w:tab w:val="left" w:pos="360"/>
        </w:tabs>
        <w:spacing w:after="0" w:line="360" w:lineRule="auto"/>
        <w:ind w:firstLine="709"/>
        <w:jc w:val="both"/>
        <w:rPr>
          <w:rFonts w:ascii="Times New Roman" w:eastAsia="Times New Roman" w:hAnsi="Times New Roman"/>
          <w:kern w:val="2"/>
          <w:sz w:val="28"/>
          <w:szCs w:val="28"/>
          <w:lang w:eastAsia="ko-KR"/>
        </w:rPr>
      </w:pPr>
      <w:r w:rsidRPr="009114DF">
        <w:rPr>
          <w:rFonts w:ascii="Times New Roman" w:eastAsia="Times New Roman" w:hAnsi="Times New Roman"/>
          <w:kern w:val="2"/>
          <w:sz w:val="28"/>
          <w:szCs w:val="28"/>
          <w:lang w:eastAsia="ko-KR"/>
        </w:rPr>
        <w:t>Ревматоидный артрит занимает одно из ведущих мест в спектре терапевтической патологии, ассоциирующе</w:t>
      </w:r>
      <w:r w:rsidR="000E152B" w:rsidRPr="009114DF">
        <w:rPr>
          <w:rFonts w:ascii="Times New Roman" w:eastAsia="Times New Roman" w:hAnsi="Times New Roman"/>
          <w:kern w:val="2"/>
          <w:sz w:val="28"/>
          <w:szCs w:val="28"/>
          <w:lang w:eastAsia="ko-KR"/>
        </w:rPr>
        <w:t xml:space="preserve">йся </w:t>
      </w:r>
      <w:proofErr w:type="gramStart"/>
      <w:r w:rsidR="000E152B" w:rsidRPr="009114DF">
        <w:rPr>
          <w:rFonts w:ascii="Times New Roman" w:eastAsia="Times New Roman" w:hAnsi="Times New Roman"/>
          <w:kern w:val="2"/>
          <w:sz w:val="28"/>
          <w:szCs w:val="28"/>
          <w:lang w:eastAsia="ko-KR"/>
        </w:rPr>
        <w:t>с</w:t>
      </w:r>
      <w:r w:rsidR="00CD2EDC" w:rsidRPr="009114DF">
        <w:rPr>
          <w:rFonts w:ascii="Times New Roman" w:eastAsia="Times New Roman" w:hAnsi="Times New Roman"/>
          <w:kern w:val="2"/>
          <w:sz w:val="28"/>
          <w:szCs w:val="28"/>
          <w:lang w:eastAsia="ko-KR"/>
        </w:rPr>
        <w:t>о</w:t>
      </w:r>
      <w:proofErr w:type="gramEnd"/>
      <w:r w:rsidR="000E152B" w:rsidRPr="009114DF">
        <w:rPr>
          <w:rFonts w:ascii="Times New Roman" w:eastAsia="Times New Roman" w:hAnsi="Times New Roman"/>
          <w:kern w:val="2"/>
          <w:sz w:val="28"/>
          <w:szCs w:val="28"/>
          <w:lang w:eastAsia="ko-KR"/>
        </w:rPr>
        <w:t xml:space="preserve"> вторичным остеопорозом [26</w:t>
      </w:r>
      <w:r w:rsidRPr="009114DF">
        <w:rPr>
          <w:rFonts w:ascii="Times New Roman" w:eastAsia="Times New Roman" w:hAnsi="Times New Roman"/>
          <w:kern w:val="2"/>
          <w:sz w:val="28"/>
          <w:szCs w:val="28"/>
          <w:lang w:eastAsia="ko-KR"/>
        </w:rPr>
        <w:t xml:space="preserve">]. </w:t>
      </w:r>
      <w:r w:rsidRPr="009114DF">
        <w:rPr>
          <w:rFonts w:ascii="Times New Roman" w:eastAsia="Times New Roman" w:hAnsi="Times New Roman"/>
          <w:sz w:val="28"/>
          <w:szCs w:val="28"/>
          <w:lang w:eastAsia="ru-RU"/>
        </w:rPr>
        <w:t xml:space="preserve">Считается доказанным, что минеральная плотность кости больных ревматоидным артритом достоверно отличается от минеральной плотности кости </w:t>
      </w:r>
      <w:r w:rsidR="00CD2EDC" w:rsidRPr="009114DF">
        <w:rPr>
          <w:rFonts w:ascii="Times New Roman" w:eastAsia="Times New Roman" w:hAnsi="Times New Roman"/>
          <w:sz w:val="28"/>
          <w:szCs w:val="28"/>
          <w:lang w:eastAsia="ru-RU"/>
        </w:rPr>
        <w:t xml:space="preserve">представителя </w:t>
      </w:r>
      <w:r w:rsidRPr="009114DF">
        <w:rPr>
          <w:rFonts w:ascii="Times New Roman" w:eastAsia="Times New Roman" w:hAnsi="Times New Roman"/>
          <w:sz w:val="28"/>
          <w:szCs w:val="28"/>
          <w:lang w:eastAsia="ru-RU"/>
        </w:rPr>
        <w:t>здоровой популяции. Социальная значимость остеопороза определяется его последствиями – переломами позвонков и костей периферического скелета, обусловливающими значительный подъем заболеваемости, инвалидности и смертности</w:t>
      </w:r>
      <w:r w:rsidR="00CD2EDC"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и, соответственно, большими материальными затратами в области здравоохранения </w:t>
      </w:r>
      <w:r w:rsidRPr="009114DF">
        <w:rPr>
          <w:rFonts w:ascii="Times New Roman" w:eastAsia="Times New Roman" w:hAnsi="Times New Roman"/>
          <w:kern w:val="2"/>
          <w:sz w:val="28"/>
          <w:szCs w:val="28"/>
          <w:lang w:eastAsia="ko-KR"/>
        </w:rPr>
        <w:t>[</w:t>
      </w:r>
      <w:r w:rsidR="00F94DB5" w:rsidRPr="009114DF">
        <w:rPr>
          <w:rFonts w:ascii="Times New Roman" w:eastAsia="Times New Roman" w:hAnsi="Times New Roman"/>
          <w:kern w:val="2"/>
          <w:sz w:val="28"/>
          <w:szCs w:val="28"/>
          <w:lang w:eastAsia="ko-KR"/>
        </w:rPr>
        <w:t>36</w:t>
      </w:r>
      <w:r w:rsidRPr="009114DF">
        <w:rPr>
          <w:rFonts w:ascii="Times New Roman" w:eastAsia="Times New Roman" w:hAnsi="Times New Roman"/>
          <w:kern w:val="2"/>
          <w:sz w:val="28"/>
          <w:szCs w:val="28"/>
          <w:lang w:eastAsia="ko-KR"/>
        </w:rPr>
        <w:t>]</w:t>
      </w:r>
      <w:r w:rsidRPr="009114DF">
        <w:rPr>
          <w:rFonts w:ascii="Times New Roman" w:eastAsia="Times New Roman" w:hAnsi="Times New Roman"/>
          <w:sz w:val="28"/>
          <w:szCs w:val="28"/>
          <w:lang w:eastAsia="ru-RU"/>
        </w:rPr>
        <w:t xml:space="preserve">. Полагают, что </w:t>
      </w:r>
      <w:r w:rsidR="00AD54C8" w:rsidRPr="009114DF">
        <w:rPr>
          <w:rFonts w:ascii="Times New Roman" w:eastAsia="Times New Roman" w:hAnsi="Times New Roman"/>
          <w:sz w:val="28"/>
          <w:szCs w:val="28"/>
          <w:lang w:eastAsia="ru-RU"/>
        </w:rPr>
        <w:t>воспалительный процесс</w:t>
      </w:r>
      <w:r w:rsidRPr="009114DF">
        <w:rPr>
          <w:rFonts w:ascii="Times New Roman" w:eastAsia="Times New Roman" w:hAnsi="Times New Roman"/>
          <w:sz w:val="28"/>
          <w:szCs w:val="28"/>
          <w:lang w:eastAsia="ru-RU"/>
        </w:rPr>
        <w:t xml:space="preserve">, </w:t>
      </w:r>
      <w:r w:rsidR="00AD54C8" w:rsidRPr="009114DF">
        <w:rPr>
          <w:rFonts w:ascii="Times New Roman" w:eastAsia="Times New Roman" w:hAnsi="Times New Roman"/>
          <w:sz w:val="28"/>
          <w:szCs w:val="28"/>
          <w:lang w:eastAsia="ru-RU"/>
        </w:rPr>
        <w:t>лежащий</w:t>
      </w:r>
      <w:r w:rsidRPr="009114DF">
        <w:rPr>
          <w:rFonts w:ascii="Times New Roman" w:eastAsia="Times New Roman" w:hAnsi="Times New Roman"/>
          <w:sz w:val="28"/>
          <w:szCs w:val="28"/>
          <w:lang w:eastAsia="ru-RU"/>
        </w:rPr>
        <w:t xml:space="preserve"> в основе патогенеза большинства ревматических </w:t>
      </w:r>
      <w:r w:rsidR="00AD54C8" w:rsidRPr="009114DF">
        <w:rPr>
          <w:rFonts w:ascii="Times New Roman" w:eastAsia="Times New Roman" w:hAnsi="Times New Roman"/>
          <w:sz w:val="28"/>
          <w:szCs w:val="28"/>
          <w:lang w:eastAsia="ru-RU"/>
        </w:rPr>
        <w:t>заболеваний</w:t>
      </w:r>
      <w:r w:rsidRPr="009114DF">
        <w:rPr>
          <w:rFonts w:ascii="Times New Roman" w:eastAsia="Times New Roman" w:hAnsi="Times New Roman"/>
          <w:sz w:val="28"/>
          <w:szCs w:val="28"/>
          <w:lang w:eastAsia="ru-RU"/>
        </w:rPr>
        <w:t xml:space="preserve">, увеличивает риск развития остеопороза и может рассматриваться как своеобразный показатель активности воспаления </w:t>
      </w:r>
      <w:r w:rsidRPr="009114DF">
        <w:rPr>
          <w:rFonts w:ascii="Times New Roman" w:eastAsia="Times New Roman" w:hAnsi="Times New Roman"/>
          <w:bCs/>
          <w:iCs/>
          <w:sz w:val="28"/>
          <w:szCs w:val="28"/>
          <w:lang w:eastAsia="ru-RU"/>
        </w:rPr>
        <w:t>[</w:t>
      </w:r>
      <w:r w:rsidR="00266791" w:rsidRPr="009114DF">
        <w:rPr>
          <w:rFonts w:ascii="Times New Roman" w:eastAsia="Times New Roman" w:hAnsi="Times New Roman"/>
          <w:sz w:val="28"/>
          <w:szCs w:val="28"/>
          <w:lang w:eastAsia="ru-RU"/>
        </w:rPr>
        <w:t>129</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 xml:space="preserve">. </w:t>
      </w:r>
    </w:p>
    <w:p w:rsidR="00761509" w:rsidRPr="009114DF" w:rsidRDefault="00761509" w:rsidP="00761509">
      <w:pPr>
        <w:autoSpaceDE w:val="0"/>
        <w:autoSpaceDN w:val="0"/>
        <w:spacing w:after="0" w:line="360" w:lineRule="auto"/>
        <w:ind w:firstLine="708"/>
        <w:jc w:val="both"/>
        <w:rPr>
          <w:rFonts w:ascii="Times New Roman" w:eastAsia="Times New Roman" w:hAnsi="Times New Roman"/>
          <w:kern w:val="2"/>
          <w:sz w:val="28"/>
          <w:szCs w:val="28"/>
          <w:lang w:eastAsia="ko-KR"/>
        </w:rPr>
      </w:pPr>
      <w:r w:rsidRPr="009114DF">
        <w:rPr>
          <w:rFonts w:ascii="Times New Roman" w:eastAsia="Times New Roman" w:hAnsi="Times New Roman"/>
          <w:kern w:val="2"/>
          <w:sz w:val="28"/>
          <w:szCs w:val="28"/>
          <w:lang w:eastAsia="ko-KR"/>
        </w:rPr>
        <w:t xml:space="preserve">Развитие остеопороза и суставной деструкции при </w:t>
      </w:r>
      <w:r w:rsidR="00AD54C8" w:rsidRPr="009114DF">
        <w:rPr>
          <w:rFonts w:ascii="Times New Roman" w:eastAsia="Times New Roman" w:hAnsi="Times New Roman"/>
          <w:kern w:val="2"/>
          <w:sz w:val="28"/>
          <w:szCs w:val="28"/>
          <w:lang w:eastAsia="ko-KR"/>
        </w:rPr>
        <w:t>ревматоидном артрите</w:t>
      </w:r>
      <w:r w:rsidRPr="009114DF">
        <w:rPr>
          <w:rFonts w:ascii="Times New Roman" w:eastAsia="Times New Roman" w:hAnsi="Times New Roman"/>
          <w:kern w:val="2"/>
          <w:sz w:val="28"/>
          <w:szCs w:val="28"/>
          <w:lang w:eastAsia="ko-KR"/>
        </w:rPr>
        <w:t xml:space="preserve"> имеет общие патогенетические механизмы развития и связано с активацией системы иммунитета, гиперпр</w:t>
      </w:r>
      <w:proofErr w:type="gramStart"/>
      <w:r w:rsidR="004437A5" w:rsidRPr="009114DF">
        <w:rPr>
          <w:rFonts w:ascii="Times New Roman" w:eastAsia="Times New Roman" w:hAnsi="Times New Roman"/>
          <w:kern w:val="2"/>
          <w:sz w:val="28"/>
          <w:szCs w:val="28"/>
          <w:lang w:val="en-US" w:eastAsia="ko-KR"/>
        </w:rPr>
        <w:t>o</w:t>
      </w:r>
      <w:proofErr w:type="gramEnd"/>
      <w:r w:rsidRPr="009114DF">
        <w:rPr>
          <w:rFonts w:ascii="Times New Roman" w:eastAsia="Times New Roman" w:hAnsi="Times New Roman"/>
          <w:kern w:val="2"/>
          <w:sz w:val="28"/>
          <w:szCs w:val="28"/>
          <w:lang w:eastAsia="ko-KR"/>
        </w:rPr>
        <w:t>дукци</w:t>
      </w:r>
      <w:r w:rsidR="004437A5" w:rsidRPr="009114DF">
        <w:rPr>
          <w:rFonts w:ascii="Times New Roman" w:eastAsia="Times New Roman" w:hAnsi="Times New Roman"/>
          <w:kern w:val="2"/>
          <w:sz w:val="28"/>
          <w:szCs w:val="28"/>
          <w:lang w:val="en-US" w:eastAsia="ko-KR"/>
        </w:rPr>
        <w:t>e</w:t>
      </w:r>
      <w:r w:rsidRPr="009114DF">
        <w:rPr>
          <w:rFonts w:ascii="Times New Roman" w:eastAsia="Times New Roman" w:hAnsi="Times New Roman"/>
          <w:kern w:val="2"/>
          <w:sz w:val="28"/>
          <w:szCs w:val="28"/>
          <w:lang w:eastAsia="ko-KR"/>
        </w:rPr>
        <w:t>й «пров</w:t>
      </w:r>
      <w:r w:rsidR="004437A5" w:rsidRPr="009114DF">
        <w:rPr>
          <w:rFonts w:ascii="Times New Roman" w:eastAsia="Times New Roman" w:hAnsi="Times New Roman"/>
          <w:kern w:val="2"/>
          <w:sz w:val="28"/>
          <w:szCs w:val="28"/>
          <w:lang w:val="en-US" w:eastAsia="ko-KR"/>
        </w:rPr>
        <w:t>o</w:t>
      </w:r>
      <w:r w:rsidRPr="009114DF">
        <w:rPr>
          <w:rFonts w:ascii="Times New Roman" w:eastAsia="Times New Roman" w:hAnsi="Times New Roman"/>
          <w:kern w:val="2"/>
          <w:sz w:val="28"/>
          <w:szCs w:val="28"/>
          <w:lang w:eastAsia="ko-KR"/>
        </w:rPr>
        <w:t>спалит</w:t>
      </w:r>
      <w:r w:rsidR="004437A5" w:rsidRPr="009114DF">
        <w:rPr>
          <w:rFonts w:ascii="Times New Roman" w:eastAsia="Times New Roman" w:hAnsi="Times New Roman"/>
          <w:kern w:val="2"/>
          <w:sz w:val="28"/>
          <w:szCs w:val="28"/>
          <w:lang w:val="en-US" w:eastAsia="ko-KR"/>
        </w:rPr>
        <w:t>e</w:t>
      </w:r>
      <w:r w:rsidRPr="009114DF">
        <w:rPr>
          <w:rFonts w:ascii="Times New Roman" w:eastAsia="Times New Roman" w:hAnsi="Times New Roman"/>
          <w:kern w:val="2"/>
          <w:sz w:val="28"/>
          <w:szCs w:val="28"/>
          <w:lang w:eastAsia="ko-KR"/>
        </w:rPr>
        <w:t>льных» и недостаточным синтезом «антив</w:t>
      </w:r>
      <w:r w:rsidR="004437A5" w:rsidRPr="009114DF">
        <w:rPr>
          <w:rFonts w:ascii="Times New Roman" w:eastAsia="Times New Roman" w:hAnsi="Times New Roman"/>
          <w:kern w:val="2"/>
          <w:sz w:val="28"/>
          <w:szCs w:val="28"/>
          <w:lang w:val="en-US" w:eastAsia="ko-KR"/>
        </w:rPr>
        <w:t>o</w:t>
      </w:r>
      <w:r w:rsidRPr="009114DF">
        <w:rPr>
          <w:rFonts w:ascii="Times New Roman" w:eastAsia="Times New Roman" w:hAnsi="Times New Roman"/>
          <w:kern w:val="2"/>
          <w:sz w:val="28"/>
          <w:szCs w:val="28"/>
          <w:lang w:eastAsia="ko-KR"/>
        </w:rPr>
        <w:t>спалит</w:t>
      </w:r>
      <w:r w:rsidR="004437A5" w:rsidRPr="009114DF">
        <w:rPr>
          <w:rFonts w:ascii="Times New Roman" w:eastAsia="Times New Roman" w:hAnsi="Times New Roman"/>
          <w:kern w:val="2"/>
          <w:sz w:val="28"/>
          <w:szCs w:val="28"/>
          <w:lang w:val="en-US" w:eastAsia="ko-KR"/>
        </w:rPr>
        <w:t>e</w:t>
      </w:r>
      <w:r w:rsidRPr="009114DF">
        <w:rPr>
          <w:rFonts w:ascii="Times New Roman" w:eastAsia="Times New Roman" w:hAnsi="Times New Roman"/>
          <w:kern w:val="2"/>
          <w:sz w:val="28"/>
          <w:szCs w:val="28"/>
          <w:lang w:eastAsia="ko-KR"/>
        </w:rPr>
        <w:t xml:space="preserve">льных» цитокинов, дисбалансом в системе </w:t>
      </w:r>
      <w:r w:rsidRPr="009114DF">
        <w:rPr>
          <w:rFonts w:ascii="Times New Roman" w:eastAsia="Times New Roman" w:hAnsi="Times New Roman"/>
          <w:kern w:val="2"/>
          <w:sz w:val="28"/>
          <w:szCs w:val="28"/>
          <w:lang w:val="en-US" w:eastAsia="ko-KR"/>
        </w:rPr>
        <w:t>R</w:t>
      </w:r>
      <w:r w:rsidR="004437A5" w:rsidRPr="009114DF">
        <w:rPr>
          <w:rFonts w:ascii="Times New Roman" w:eastAsia="Times New Roman" w:hAnsi="Times New Roman"/>
          <w:kern w:val="2"/>
          <w:sz w:val="28"/>
          <w:szCs w:val="28"/>
          <w:lang w:eastAsia="ko-KR"/>
        </w:rPr>
        <w:t>А</w:t>
      </w:r>
      <w:r w:rsidRPr="009114DF">
        <w:rPr>
          <w:rFonts w:ascii="Times New Roman" w:eastAsia="Times New Roman" w:hAnsi="Times New Roman"/>
          <w:kern w:val="2"/>
          <w:sz w:val="28"/>
          <w:szCs w:val="28"/>
          <w:lang w:val="en-US" w:eastAsia="ko-KR"/>
        </w:rPr>
        <w:t>NKL</w:t>
      </w:r>
      <w:r w:rsidRPr="009114DF">
        <w:rPr>
          <w:rFonts w:ascii="Times New Roman" w:eastAsia="Times New Roman" w:hAnsi="Times New Roman"/>
          <w:kern w:val="2"/>
          <w:sz w:val="28"/>
          <w:szCs w:val="28"/>
          <w:lang w:eastAsia="ko-KR"/>
        </w:rPr>
        <w:t>/</w:t>
      </w:r>
      <w:r w:rsidRPr="009114DF">
        <w:rPr>
          <w:rFonts w:ascii="Times New Roman" w:eastAsia="Times New Roman" w:hAnsi="Times New Roman"/>
          <w:kern w:val="2"/>
          <w:sz w:val="28"/>
          <w:szCs w:val="28"/>
          <w:lang w:val="en-US" w:eastAsia="ko-KR"/>
        </w:rPr>
        <w:t>R</w:t>
      </w:r>
      <w:r w:rsidR="004437A5" w:rsidRPr="009114DF">
        <w:rPr>
          <w:rFonts w:ascii="Times New Roman" w:eastAsia="Times New Roman" w:hAnsi="Times New Roman"/>
          <w:kern w:val="2"/>
          <w:sz w:val="28"/>
          <w:szCs w:val="28"/>
          <w:lang w:eastAsia="ko-KR"/>
        </w:rPr>
        <w:t>А</w:t>
      </w:r>
      <w:r w:rsidRPr="009114DF">
        <w:rPr>
          <w:rFonts w:ascii="Times New Roman" w:eastAsia="Times New Roman" w:hAnsi="Times New Roman"/>
          <w:kern w:val="2"/>
          <w:sz w:val="28"/>
          <w:szCs w:val="28"/>
          <w:lang w:val="en-US" w:eastAsia="ko-KR"/>
        </w:rPr>
        <w:t>NK</w:t>
      </w:r>
      <w:r w:rsidRPr="009114DF">
        <w:rPr>
          <w:rFonts w:ascii="Times New Roman" w:eastAsia="Times New Roman" w:hAnsi="Times New Roman"/>
          <w:kern w:val="2"/>
          <w:sz w:val="28"/>
          <w:szCs w:val="28"/>
          <w:lang w:eastAsia="ko-KR"/>
        </w:rPr>
        <w:t>/</w:t>
      </w:r>
      <w:r w:rsidR="004437A5" w:rsidRPr="009114DF">
        <w:rPr>
          <w:rFonts w:ascii="Times New Roman" w:eastAsia="Times New Roman" w:hAnsi="Times New Roman"/>
          <w:kern w:val="2"/>
          <w:sz w:val="28"/>
          <w:szCs w:val="28"/>
          <w:lang w:eastAsia="ko-KR"/>
        </w:rPr>
        <w:t>О</w:t>
      </w:r>
      <w:r w:rsidRPr="009114DF">
        <w:rPr>
          <w:rFonts w:ascii="Times New Roman" w:eastAsia="Times New Roman" w:hAnsi="Times New Roman"/>
          <w:kern w:val="2"/>
          <w:sz w:val="28"/>
          <w:szCs w:val="28"/>
          <w:lang w:val="en-US" w:eastAsia="ko-KR"/>
        </w:rPr>
        <w:t>PG</w:t>
      </w:r>
      <w:r w:rsidRPr="009114DF">
        <w:rPr>
          <w:rFonts w:ascii="Times New Roman" w:eastAsia="Times New Roman" w:hAnsi="Times New Roman"/>
          <w:kern w:val="2"/>
          <w:sz w:val="28"/>
          <w:szCs w:val="28"/>
          <w:lang w:eastAsia="ko-KR"/>
        </w:rPr>
        <w:t>, приводящими к активации осте</w:t>
      </w:r>
      <w:r w:rsidR="004437A5" w:rsidRPr="009114DF">
        <w:rPr>
          <w:rFonts w:ascii="Times New Roman" w:eastAsia="Times New Roman" w:hAnsi="Times New Roman"/>
          <w:kern w:val="2"/>
          <w:sz w:val="28"/>
          <w:szCs w:val="28"/>
          <w:lang w:val="en-US" w:eastAsia="ko-KR"/>
        </w:rPr>
        <w:t>o</w:t>
      </w:r>
      <w:r w:rsidRPr="009114DF">
        <w:rPr>
          <w:rFonts w:ascii="Times New Roman" w:eastAsia="Times New Roman" w:hAnsi="Times New Roman"/>
          <w:kern w:val="2"/>
          <w:sz w:val="28"/>
          <w:szCs w:val="28"/>
          <w:lang w:eastAsia="ko-KR"/>
        </w:rPr>
        <w:t>кластог</w:t>
      </w:r>
      <w:r w:rsidR="004437A5" w:rsidRPr="009114DF">
        <w:rPr>
          <w:rFonts w:ascii="Times New Roman" w:eastAsia="Times New Roman" w:hAnsi="Times New Roman"/>
          <w:kern w:val="2"/>
          <w:sz w:val="28"/>
          <w:szCs w:val="28"/>
          <w:lang w:val="en-US" w:eastAsia="ko-KR"/>
        </w:rPr>
        <w:t>e</w:t>
      </w:r>
      <w:r w:rsidRPr="009114DF">
        <w:rPr>
          <w:rFonts w:ascii="Times New Roman" w:eastAsia="Times New Roman" w:hAnsi="Times New Roman"/>
          <w:kern w:val="2"/>
          <w:sz w:val="28"/>
          <w:szCs w:val="28"/>
          <w:lang w:eastAsia="ko-KR"/>
        </w:rPr>
        <w:t>неза и повышению костной резорбции [</w:t>
      </w:r>
      <w:r w:rsidR="00243567" w:rsidRPr="009114DF">
        <w:rPr>
          <w:rFonts w:ascii="Times New Roman" w:eastAsia="Times New Roman" w:hAnsi="Times New Roman"/>
          <w:kern w:val="2"/>
          <w:sz w:val="28"/>
          <w:szCs w:val="28"/>
          <w:lang w:eastAsia="ko-KR"/>
        </w:rPr>
        <w:t>124</w:t>
      </w:r>
      <w:r w:rsidRPr="009114DF">
        <w:rPr>
          <w:rFonts w:ascii="Times New Roman" w:eastAsia="Times New Roman" w:hAnsi="Times New Roman"/>
          <w:kern w:val="2"/>
          <w:sz w:val="28"/>
          <w:szCs w:val="28"/>
          <w:lang w:eastAsia="ko-KR"/>
        </w:rPr>
        <w:t xml:space="preserve">, </w:t>
      </w:r>
      <w:r w:rsidR="00EC4BD2" w:rsidRPr="009114DF">
        <w:rPr>
          <w:rFonts w:ascii="Times New Roman" w:eastAsia="Times New Roman" w:hAnsi="Times New Roman"/>
          <w:kern w:val="2"/>
          <w:sz w:val="28"/>
          <w:szCs w:val="28"/>
          <w:lang w:eastAsia="ko-KR"/>
        </w:rPr>
        <w:t>206</w:t>
      </w:r>
      <w:r w:rsidRPr="009114DF">
        <w:rPr>
          <w:rFonts w:ascii="Times New Roman" w:eastAsia="Times New Roman" w:hAnsi="Times New Roman"/>
          <w:kern w:val="2"/>
          <w:sz w:val="28"/>
          <w:szCs w:val="28"/>
          <w:lang w:eastAsia="ko-KR"/>
        </w:rPr>
        <w:t xml:space="preserve">]. </w:t>
      </w:r>
    </w:p>
    <w:p w:rsidR="00761509" w:rsidRPr="009114DF" w:rsidRDefault="00C24B1B" w:rsidP="00761509">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Традиционная</w:t>
      </w:r>
      <w:r w:rsidR="00761509" w:rsidRPr="009114DF">
        <w:rPr>
          <w:rFonts w:ascii="Times New Roman" w:eastAsia="Times New Roman" w:hAnsi="Times New Roman"/>
          <w:sz w:val="28"/>
          <w:szCs w:val="28"/>
          <w:lang w:eastAsia="ru-RU"/>
        </w:rPr>
        <w:t xml:space="preserve"> противовоспалительн</w:t>
      </w:r>
      <w:r w:rsidRPr="009114DF">
        <w:rPr>
          <w:rFonts w:ascii="Times New Roman" w:eastAsia="Times New Roman" w:hAnsi="Times New Roman"/>
          <w:sz w:val="28"/>
          <w:szCs w:val="28"/>
          <w:lang w:eastAsia="ru-RU"/>
        </w:rPr>
        <w:t>ая терапия</w:t>
      </w:r>
      <w:r w:rsidR="00761509" w:rsidRPr="009114DF">
        <w:rPr>
          <w:rFonts w:ascii="Times New Roman" w:eastAsia="Times New Roman" w:hAnsi="Times New Roman"/>
          <w:sz w:val="28"/>
          <w:szCs w:val="28"/>
          <w:lang w:eastAsia="ru-RU"/>
        </w:rPr>
        <w:t xml:space="preserve"> может оказывать как негативное, так и позитивное воздействие на метаболизм костной ткани. Влияние базисных препаратов, в первую очередь метотрексата, на костную ткань </w:t>
      </w:r>
      <w:r w:rsidR="00761509" w:rsidRPr="009114DF">
        <w:rPr>
          <w:rFonts w:ascii="Times New Roman" w:eastAsia="Times New Roman" w:hAnsi="Times New Roman"/>
          <w:sz w:val="28"/>
          <w:szCs w:val="28"/>
          <w:lang w:eastAsia="ru-RU"/>
        </w:rPr>
        <w:lastRenderedPageBreak/>
        <w:t xml:space="preserve">определяется не только подавлением воспаления и, как следствие, уменьшением резорбции костной ткани, но и изменением скорости костного ремоделирования. </w:t>
      </w:r>
    </w:p>
    <w:p w:rsidR="00761509" w:rsidRPr="009114DF" w:rsidRDefault="00761509" w:rsidP="00761509">
      <w:pPr>
        <w:spacing w:after="0" w:line="360" w:lineRule="auto"/>
        <w:ind w:firstLine="708"/>
        <w:jc w:val="both"/>
        <w:rPr>
          <w:rFonts w:ascii="Times New Roman" w:eastAsia="Times New Roman" w:hAnsi="Times New Roman"/>
          <w:sz w:val="28"/>
          <w:szCs w:val="28"/>
        </w:rPr>
      </w:pPr>
      <w:r w:rsidRPr="009114DF">
        <w:rPr>
          <w:rFonts w:ascii="Times New Roman" w:eastAsia="Times New Roman" w:hAnsi="Times New Roman"/>
          <w:kern w:val="2"/>
          <w:sz w:val="28"/>
          <w:szCs w:val="28"/>
          <w:lang w:eastAsia="ko-KR"/>
        </w:rPr>
        <w:t>Прогресс в лечении ревматоидного артрита связан с расширением возможностей ранней диагностики ревматоидного артрита, позволяющей проводить активную</w:t>
      </w:r>
      <w:r w:rsidR="00AD54C8" w:rsidRPr="009114DF">
        <w:rPr>
          <w:rFonts w:ascii="Times New Roman" w:eastAsia="Times New Roman" w:hAnsi="Times New Roman"/>
          <w:kern w:val="2"/>
          <w:sz w:val="28"/>
          <w:szCs w:val="28"/>
          <w:lang w:eastAsia="ko-KR"/>
        </w:rPr>
        <w:t xml:space="preserve"> </w:t>
      </w:r>
      <w:r w:rsidRPr="009114DF">
        <w:rPr>
          <w:rFonts w:ascii="Times New Roman" w:eastAsia="Times New Roman" w:hAnsi="Times New Roman"/>
          <w:kern w:val="2"/>
          <w:sz w:val="28"/>
          <w:szCs w:val="28"/>
          <w:lang w:eastAsia="ko-KR"/>
        </w:rPr>
        <w:t xml:space="preserve">терапию базисными противовоспалительными препаратами, в </w:t>
      </w:r>
      <w:r w:rsidR="00AD54C8" w:rsidRPr="009114DF">
        <w:rPr>
          <w:rFonts w:ascii="Times New Roman" w:eastAsia="Times New Roman" w:hAnsi="Times New Roman"/>
          <w:kern w:val="2"/>
          <w:sz w:val="28"/>
          <w:szCs w:val="28"/>
          <w:lang w:eastAsia="ko-KR"/>
        </w:rPr>
        <w:t>том числе</w:t>
      </w:r>
      <w:r w:rsidRPr="009114DF">
        <w:rPr>
          <w:rFonts w:ascii="Times New Roman" w:eastAsia="Times New Roman" w:hAnsi="Times New Roman"/>
          <w:kern w:val="2"/>
          <w:sz w:val="28"/>
          <w:szCs w:val="28"/>
          <w:lang w:eastAsia="ko-KR"/>
        </w:rPr>
        <w:t xml:space="preserve"> метотрексатом</w:t>
      </w:r>
      <w:r w:rsidR="00840140" w:rsidRPr="009114DF">
        <w:rPr>
          <w:rFonts w:ascii="Times New Roman" w:eastAsia="Times New Roman" w:hAnsi="Times New Roman"/>
          <w:kern w:val="2"/>
          <w:sz w:val="28"/>
          <w:szCs w:val="28"/>
          <w:lang w:eastAsia="ko-KR"/>
        </w:rPr>
        <w:t>,</w:t>
      </w:r>
      <w:r w:rsidR="00AD54C8" w:rsidRPr="009114DF">
        <w:rPr>
          <w:rFonts w:ascii="Times New Roman" w:eastAsia="Times New Roman" w:hAnsi="Times New Roman"/>
          <w:kern w:val="2"/>
          <w:sz w:val="28"/>
          <w:szCs w:val="28"/>
          <w:lang w:eastAsia="ko-KR"/>
        </w:rPr>
        <w:t xml:space="preserve"> и</w:t>
      </w:r>
      <w:r w:rsidRPr="009114DF">
        <w:rPr>
          <w:rFonts w:ascii="Times New Roman" w:eastAsia="Times New Roman" w:hAnsi="Times New Roman"/>
          <w:kern w:val="2"/>
          <w:sz w:val="28"/>
          <w:szCs w:val="28"/>
          <w:lang w:eastAsia="ko-KR"/>
        </w:rPr>
        <w:t xml:space="preserve"> с </w:t>
      </w:r>
      <w:r w:rsidR="00AD54C8" w:rsidRPr="009114DF">
        <w:rPr>
          <w:rFonts w:ascii="Times New Roman" w:eastAsia="Times New Roman" w:hAnsi="Times New Roman"/>
          <w:kern w:val="2"/>
          <w:sz w:val="28"/>
          <w:szCs w:val="28"/>
          <w:lang w:eastAsia="ko-KR"/>
        </w:rPr>
        <w:t>внедрением</w:t>
      </w:r>
      <w:r w:rsidRPr="009114DF">
        <w:rPr>
          <w:rFonts w:ascii="Times New Roman" w:eastAsia="Times New Roman" w:hAnsi="Times New Roman"/>
          <w:kern w:val="2"/>
          <w:sz w:val="28"/>
          <w:szCs w:val="28"/>
          <w:lang w:eastAsia="ko-KR"/>
        </w:rPr>
        <w:t xml:space="preserve"> нового класса противовоспалительных средств</w:t>
      </w:r>
      <w:r w:rsidR="00CD2EDC" w:rsidRPr="009114DF">
        <w:rPr>
          <w:rFonts w:ascii="Times New Roman" w:eastAsia="Times New Roman" w:hAnsi="Times New Roman"/>
          <w:kern w:val="2"/>
          <w:sz w:val="28"/>
          <w:szCs w:val="28"/>
          <w:lang w:eastAsia="ko-KR"/>
        </w:rPr>
        <w:t xml:space="preserve"> – </w:t>
      </w:r>
      <w:r w:rsidRPr="009114DF">
        <w:rPr>
          <w:rFonts w:ascii="Times New Roman" w:eastAsia="Times New Roman" w:hAnsi="Times New Roman"/>
          <w:kern w:val="2"/>
          <w:sz w:val="28"/>
          <w:szCs w:val="28"/>
          <w:lang w:eastAsia="ko-KR"/>
        </w:rPr>
        <w:t xml:space="preserve"> генно-инженерных биологических препаратов </w:t>
      </w:r>
      <w:r w:rsidRPr="009114DF">
        <w:rPr>
          <w:rFonts w:ascii="Times New Roman" w:eastAsia="Times New Roman" w:hAnsi="Times New Roman"/>
          <w:kern w:val="2"/>
          <w:sz w:val="28"/>
          <w:szCs w:val="28"/>
          <w:lang w:val="x-none" w:eastAsia="ko-KR"/>
        </w:rPr>
        <w:t>[</w:t>
      </w:r>
      <w:r w:rsidR="00DB4CFA" w:rsidRPr="009114DF">
        <w:rPr>
          <w:rFonts w:ascii="Times New Roman" w:eastAsia="Times New Roman" w:hAnsi="Times New Roman"/>
          <w:kern w:val="2"/>
          <w:sz w:val="28"/>
          <w:szCs w:val="28"/>
          <w:lang w:eastAsia="ko-KR"/>
        </w:rPr>
        <w:t>10</w:t>
      </w:r>
      <w:r w:rsidRPr="009114DF">
        <w:rPr>
          <w:rFonts w:ascii="Times New Roman" w:eastAsia="Times New Roman" w:hAnsi="Times New Roman"/>
          <w:kern w:val="2"/>
          <w:sz w:val="28"/>
          <w:szCs w:val="28"/>
          <w:lang w:val="x-none" w:eastAsia="ko-KR"/>
        </w:rPr>
        <w:t>]</w:t>
      </w:r>
      <w:r w:rsidRPr="009114DF">
        <w:rPr>
          <w:rFonts w:ascii="Times New Roman" w:eastAsia="Times New Roman" w:hAnsi="Times New Roman"/>
          <w:kern w:val="2"/>
          <w:sz w:val="28"/>
          <w:szCs w:val="28"/>
          <w:lang w:eastAsia="ko-KR"/>
        </w:rPr>
        <w:t>.</w:t>
      </w:r>
      <w:r w:rsidRPr="009114DF">
        <w:rPr>
          <w:rFonts w:ascii="Times New Roman" w:eastAsia="Times New Roman" w:hAnsi="Times New Roman"/>
          <w:sz w:val="28"/>
          <w:szCs w:val="28"/>
        </w:rPr>
        <w:t xml:space="preserve"> </w:t>
      </w:r>
      <w:r w:rsidRPr="009114DF">
        <w:rPr>
          <w:rFonts w:ascii="Times New Roman" w:eastAsia="Times New Roman" w:hAnsi="Times New Roman"/>
          <w:sz w:val="28"/>
          <w:szCs w:val="28"/>
          <w:lang w:eastAsia="ru-RU"/>
        </w:rPr>
        <w:t xml:space="preserve"> </w:t>
      </w:r>
      <w:r w:rsidR="00EB63F8" w:rsidRPr="009114DF">
        <w:rPr>
          <w:rFonts w:ascii="Times New Roman" w:eastAsia="Times New Roman" w:hAnsi="Times New Roman"/>
          <w:sz w:val="28"/>
          <w:szCs w:val="28"/>
          <w:lang w:eastAsia="ru-RU"/>
        </w:rPr>
        <w:t>Т</w:t>
      </w:r>
      <w:r w:rsidRPr="009114DF">
        <w:rPr>
          <w:rFonts w:ascii="Times New Roman" w:eastAsia="Times New Roman" w:hAnsi="Times New Roman"/>
          <w:sz w:val="28"/>
          <w:szCs w:val="28"/>
        </w:rPr>
        <w:t xml:space="preserve">ерапевтический эффект того или иного генно-инженерного биологического препарата связан с избирательностью его действия на определенный, свойственный только этому препарату, патогенетический механизм, что подтверждает гетерогенность ревматоидного артрита. </w:t>
      </w:r>
    </w:p>
    <w:p w:rsidR="004437A5" w:rsidRPr="009114DF" w:rsidRDefault="00761509" w:rsidP="00225925">
      <w:pPr>
        <w:spacing w:after="0" w:line="360" w:lineRule="auto"/>
        <w:ind w:firstLine="708"/>
        <w:jc w:val="both"/>
        <w:rPr>
          <w:rFonts w:ascii="Times New Roman" w:eastAsia="Times New Roman" w:hAnsi="Times New Roman"/>
          <w:bCs/>
          <w:kern w:val="2"/>
          <w:sz w:val="28"/>
          <w:szCs w:val="28"/>
          <w:lang w:eastAsia="ko-KR"/>
        </w:rPr>
      </w:pPr>
      <w:r w:rsidRPr="009114DF">
        <w:rPr>
          <w:rFonts w:ascii="Times New Roman" w:eastAsia="Times New Roman" w:hAnsi="Times New Roman"/>
          <w:sz w:val="28"/>
          <w:szCs w:val="28"/>
        </w:rPr>
        <w:t xml:space="preserve">Клинический эффект и антидеструктивное действие биологических препаратов далеко не всегда совпадают. Возможно, это связано с тем, что разрушение костных структур и воспалительный процесс в синовиальной оболочке реализуются за счет различных механизмов. </w:t>
      </w:r>
      <w:r w:rsidRPr="009114DF">
        <w:rPr>
          <w:rFonts w:ascii="Times New Roman" w:eastAsia="Times New Roman" w:hAnsi="Times New Roman"/>
          <w:sz w:val="28"/>
          <w:szCs w:val="28"/>
          <w:lang w:eastAsia="ru-RU"/>
        </w:rPr>
        <w:t xml:space="preserve">Остеотропные эффекты генно-инженерных биологических препаратов  изучены недостаточно и представляют самостоятельный интерес. </w:t>
      </w:r>
      <w:proofErr w:type="gramStart"/>
      <w:r w:rsidRPr="009114DF">
        <w:rPr>
          <w:rFonts w:ascii="Times New Roman" w:eastAsia="Times New Roman" w:hAnsi="Times New Roman"/>
          <w:bCs/>
          <w:kern w:val="2"/>
          <w:sz w:val="28"/>
          <w:szCs w:val="28"/>
          <w:lang w:eastAsia="ko-KR"/>
        </w:rPr>
        <w:t>Однако исследования, оценивающие влияние генно-инженерных биологических препаратов и</w:t>
      </w:r>
      <w:r w:rsidR="00CD2EDC" w:rsidRPr="009114DF">
        <w:rPr>
          <w:rFonts w:ascii="Times New Roman" w:eastAsia="Times New Roman" w:hAnsi="Times New Roman"/>
          <w:bCs/>
          <w:kern w:val="2"/>
          <w:sz w:val="28"/>
          <w:szCs w:val="28"/>
          <w:lang w:eastAsia="ko-KR"/>
        </w:rPr>
        <w:t>,</w:t>
      </w:r>
      <w:r w:rsidRPr="009114DF">
        <w:rPr>
          <w:rFonts w:ascii="Times New Roman" w:eastAsia="Times New Roman" w:hAnsi="Times New Roman"/>
          <w:bCs/>
          <w:kern w:val="2"/>
          <w:sz w:val="28"/>
          <w:szCs w:val="28"/>
          <w:lang w:eastAsia="ko-KR"/>
        </w:rPr>
        <w:t xml:space="preserve"> в частности</w:t>
      </w:r>
      <w:r w:rsidR="00CD2EDC" w:rsidRPr="009114DF">
        <w:rPr>
          <w:rFonts w:ascii="Times New Roman" w:eastAsia="Times New Roman" w:hAnsi="Times New Roman"/>
          <w:bCs/>
          <w:kern w:val="2"/>
          <w:sz w:val="28"/>
          <w:szCs w:val="28"/>
          <w:lang w:eastAsia="ko-KR"/>
        </w:rPr>
        <w:t>,</w:t>
      </w:r>
      <w:r w:rsidRPr="009114DF">
        <w:rPr>
          <w:rFonts w:ascii="Times New Roman" w:eastAsia="Times New Roman" w:hAnsi="Times New Roman"/>
          <w:bCs/>
          <w:kern w:val="2"/>
          <w:sz w:val="28"/>
          <w:szCs w:val="28"/>
          <w:lang w:eastAsia="ko-KR"/>
        </w:rPr>
        <w:t xml:space="preserve"> ритуксимаба на системное ремоделирование костной ткани, единичны. </w:t>
      </w:r>
      <w:proofErr w:type="gramEnd"/>
    </w:p>
    <w:p w:rsidR="00761509" w:rsidRPr="009114DF" w:rsidRDefault="002230F3" w:rsidP="002230F3">
      <w:pPr>
        <w:spacing w:before="200" w:after="0" w:line="360" w:lineRule="auto"/>
        <w:ind w:firstLine="709"/>
        <w:jc w:val="center"/>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Цель исследования</w:t>
      </w:r>
    </w:p>
    <w:p w:rsidR="002A4224" w:rsidRPr="009114DF" w:rsidRDefault="0041341A" w:rsidP="00372B3C">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В ходе длительного проспективного наблюдения за женщинами в постменопаузе, страдающими </w:t>
      </w:r>
      <w:r w:rsidR="00F33EAE">
        <w:rPr>
          <w:rFonts w:ascii="Times New Roman" w:eastAsia="Times New Roman" w:hAnsi="Times New Roman"/>
          <w:sz w:val="28"/>
          <w:szCs w:val="28"/>
          <w:lang w:eastAsia="ru-RU"/>
        </w:rPr>
        <w:t>ревматоидным</w:t>
      </w:r>
      <w:r w:rsidR="00062EB1">
        <w:rPr>
          <w:rFonts w:ascii="Times New Roman" w:eastAsia="Times New Roman" w:hAnsi="Times New Roman"/>
          <w:sz w:val="28"/>
          <w:szCs w:val="28"/>
          <w:lang w:eastAsia="ru-RU"/>
        </w:rPr>
        <w:t xml:space="preserve"> артритом,</w:t>
      </w:r>
      <w:r w:rsidRPr="009114DF">
        <w:rPr>
          <w:rFonts w:ascii="Times New Roman" w:eastAsia="Times New Roman" w:hAnsi="Times New Roman"/>
          <w:sz w:val="28"/>
          <w:szCs w:val="28"/>
          <w:lang w:eastAsia="ru-RU"/>
        </w:rPr>
        <w:t xml:space="preserve"> </w:t>
      </w:r>
      <w:r w:rsidR="00C46536" w:rsidRPr="009114DF">
        <w:rPr>
          <w:rFonts w:ascii="Times New Roman" w:eastAsia="Times New Roman" w:hAnsi="Times New Roman"/>
          <w:sz w:val="28"/>
          <w:szCs w:val="28"/>
          <w:lang w:eastAsia="ru-RU"/>
        </w:rPr>
        <w:t>и</w:t>
      </w:r>
      <w:r w:rsidRPr="009114DF">
        <w:rPr>
          <w:rFonts w:ascii="Times New Roman" w:eastAsia="Times New Roman" w:hAnsi="Times New Roman"/>
          <w:sz w:val="28"/>
          <w:szCs w:val="28"/>
          <w:lang w:eastAsia="ru-RU"/>
        </w:rPr>
        <w:t xml:space="preserve">зучить </w:t>
      </w:r>
      <w:r w:rsidR="00C46536" w:rsidRPr="009114DF">
        <w:rPr>
          <w:rFonts w:ascii="Times New Roman" w:eastAsia="Times New Roman" w:hAnsi="Times New Roman"/>
          <w:sz w:val="28"/>
          <w:szCs w:val="28"/>
          <w:lang w:eastAsia="ru-RU"/>
        </w:rPr>
        <w:t xml:space="preserve">динамику минеральной плотности кости на фоне комбинированной терапии </w:t>
      </w:r>
      <w:r w:rsidRPr="009114DF">
        <w:rPr>
          <w:rFonts w:ascii="Times New Roman" w:eastAsia="Times New Roman" w:hAnsi="Times New Roman"/>
          <w:sz w:val="28"/>
          <w:szCs w:val="28"/>
          <w:lang w:eastAsia="ru-RU"/>
        </w:rPr>
        <w:t xml:space="preserve"> ритуксимабом</w:t>
      </w:r>
      <w:r w:rsidR="00C46536" w:rsidRPr="009114DF">
        <w:rPr>
          <w:rFonts w:ascii="Times New Roman" w:eastAsia="Times New Roman" w:hAnsi="Times New Roman"/>
          <w:sz w:val="28"/>
          <w:szCs w:val="28"/>
          <w:lang w:eastAsia="ru-RU"/>
        </w:rPr>
        <w:t xml:space="preserve"> и метотрексатом в сопоставлении с монотерапией метотрексатом</w:t>
      </w:r>
      <w:r w:rsidRPr="009114DF">
        <w:rPr>
          <w:rFonts w:ascii="Times New Roman" w:eastAsia="Times New Roman" w:hAnsi="Times New Roman"/>
          <w:sz w:val="28"/>
          <w:szCs w:val="28"/>
          <w:lang w:eastAsia="ru-RU"/>
        </w:rPr>
        <w:t xml:space="preserve"> </w:t>
      </w:r>
      <w:r w:rsidR="00C46536" w:rsidRPr="009114DF">
        <w:rPr>
          <w:rFonts w:ascii="Times New Roman" w:eastAsia="Times New Roman" w:hAnsi="Times New Roman"/>
          <w:sz w:val="28"/>
          <w:szCs w:val="28"/>
          <w:lang w:eastAsia="ru-RU"/>
        </w:rPr>
        <w:t>и</w:t>
      </w:r>
      <w:r w:rsidRPr="009114DF">
        <w:rPr>
          <w:rFonts w:ascii="Times New Roman" w:eastAsia="Times New Roman" w:hAnsi="Times New Roman"/>
          <w:sz w:val="28"/>
          <w:szCs w:val="28"/>
          <w:lang w:eastAsia="ru-RU"/>
        </w:rPr>
        <w:t xml:space="preserve"> учетом показателей клинической эффективности терапии</w:t>
      </w:r>
      <w:r w:rsidR="002043FE">
        <w:rPr>
          <w:rFonts w:ascii="Times New Roman" w:eastAsia="Times New Roman" w:hAnsi="Times New Roman"/>
          <w:sz w:val="28"/>
          <w:szCs w:val="28"/>
          <w:lang w:eastAsia="ru-RU"/>
        </w:rPr>
        <w:t>.</w:t>
      </w:r>
      <w:r w:rsidR="00372B3C" w:rsidRPr="009114DF">
        <w:rPr>
          <w:rFonts w:ascii="Times New Roman" w:eastAsia="Times New Roman" w:hAnsi="Times New Roman"/>
          <w:sz w:val="28"/>
          <w:szCs w:val="28"/>
          <w:lang w:eastAsia="ru-RU"/>
        </w:rPr>
        <w:t xml:space="preserve"> </w:t>
      </w:r>
    </w:p>
    <w:p w:rsidR="00761509" w:rsidRPr="009114DF" w:rsidRDefault="002230F3" w:rsidP="002230F3">
      <w:pPr>
        <w:spacing w:before="200" w:after="0" w:line="360" w:lineRule="auto"/>
        <w:ind w:firstLine="709"/>
        <w:jc w:val="center"/>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Задачи исследования</w:t>
      </w:r>
    </w:p>
    <w:p w:rsidR="00EF0476" w:rsidRPr="009114DF" w:rsidRDefault="00EF0476" w:rsidP="00EF0476">
      <w:pPr>
        <w:pStyle w:val="ad"/>
        <w:numPr>
          <w:ilvl w:val="0"/>
          <w:numId w:val="13"/>
        </w:numPr>
        <w:spacing w:after="0" w:line="360" w:lineRule="auto"/>
        <w:contextualSpacing/>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Оценить денситометрические показатели шейки бедра и поясничного отдела позвоночника женщин с ревматоидным артритом в постменопаузе на </w:t>
      </w:r>
      <w:r w:rsidRPr="009114DF">
        <w:rPr>
          <w:rFonts w:ascii="Times New Roman" w:eastAsia="Times New Roman" w:hAnsi="Times New Roman"/>
          <w:sz w:val="28"/>
          <w:szCs w:val="28"/>
          <w:lang w:eastAsia="ru-RU"/>
        </w:rPr>
        <w:lastRenderedPageBreak/>
        <w:t>фоне четырехлетней терапии комбинации ритуксимаба и метотрексата в сопоставлении с монотерапией метотрексатом</w:t>
      </w:r>
      <w:r w:rsidR="00A83739" w:rsidRPr="009114DF">
        <w:rPr>
          <w:rFonts w:ascii="Times New Roman" w:eastAsia="Times New Roman" w:hAnsi="Times New Roman"/>
          <w:sz w:val="28"/>
          <w:szCs w:val="28"/>
          <w:lang w:eastAsia="ru-RU"/>
        </w:rPr>
        <w:t xml:space="preserve"> в реальной клинической практике</w:t>
      </w:r>
      <w:r w:rsidRPr="009114DF">
        <w:rPr>
          <w:rFonts w:ascii="Times New Roman" w:eastAsia="Times New Roman" w:hAnsi="Times New Roman"/>
          <w:sz w:val="28"/>
          <w:szCs w:val="28"/>
          <w:lang w:eastAsia="ru-RU"/>
        </w:rPr>
        <w:t xml:space="preserve">. </w:t>
      </w:r>
    </w:p>
    <w:p w:rsidR="00820D21" w:rsidRPr="009114DF" w:rsidRDefault="00820D21" w:rsidP="00C24B1B">
      <w:pPr>
        <w:pStyle w:val="ad"/>
        <w:numPr>
          <w:ilvl w:val="0"/>
          <w:numId w:val="13"/>
        </w:numPr>
        <w:spacing w:after="0" w:line="360" w:lineRule="auto"/>
        <w:contextualSpacing/>
        <w:jc w:val="both"/>
        <w:rPr>
          <w:rFonts w:ascii="Times New Roman" w:eastAsia="Times New Roman" w:hAnsi="Times New Roman"/>
          <w:sz w:val="28"/>
          <w:szCs w:val="28"/>
        </w:rPr>
      </w:pPr>
      <w:r w:rsidRPr="009114DF">
        <w:rPr>
          <w:rFonts w:ascii="Times New Roman" w:eastAsia="Times New Roman" w:hAnsi="Times New Roman"/>
          <w:sz w:val="28"/>
          <w:szCs w:val="28"/>
        </w:rPr>
        <w:t xml:space="preserve">Проанализировать динамику </w:t>
      </w:r>
      <w:r w:rsidR="00C24B1B" w:rsidRPr="009114DF">
        <w:rPr>
          <w:rFonts w:ascii="Times New Roman" w:eastAsia="Times New Roman" w:hAnsi="Times New Roman"/>
          <w:sz w:val="28"/>
          <w:szCs w:val="28"/>
          <w:lang w:eastAsia="ru-RU"/>
        </w:rPr>
        <w:t>минеральной плотности кости шейки бедра и поясничного отдела позвоночника</w:t>
      </w:r>
      <w:r w:rsidR="00C24B1B" w:rsidRPr="009114DF">
        <w:rPr>
          <w:rFonts w:ascii="Times New Roman" w:eastAsia="Times New Roman" w:hAnsi="Times New Roman"/>
          <w:sz w:val="28"/>
          <w:szCs w:val="28"/>
        </w:rPr>
        <w:t xml:space="preserve"> </w:t>
      </w:r>
      <w:r w:rsidRPr="009114DF">
        <w:rPr>
          <w:rFonts w:ascii="Times New Roman" w:eastAsia="Times New Roman" w:hAnsi="Times New Roman"/>
          <w:sz w:val="28"/>
          <w:szCs w:val="28"/>
        </w:rPr>
        <w:t xml:space="preserve">на фоне изучаемой терапии в зависимости от исходной клинической, рентгенологической и лабораторной характеристики женщин в постменопаузе, страдающих </w:t>
      </w:r>
      <w:r w:rsidR="005358C3" w:rsidRPr="009114DF">
        <w:rPr>
          <w:rFonts w:ascii="Times New Roman" w:eastAsia="Times New Roman" w:hAnsi="Times New Roman"/>
          <w:sz w:val="28"/>
          <w:szCs w:val="28"/>
        </w:rPr>
        <w:t>ревматоидным артритом</w:t>
      </w:r>
      <w:r w:rsidRPr="009114DF">
        <w:rPr>
          <w:rFonts w:ascii="Times New Roman" w:eastAsia="Times New Roman" w:hAnsi="Times New Roman"/>
          <w:sz w:val="28"/>
          <w:szCs w:val="28"/>
        </w:rPr>
        <w:t>.</w:t>
      </w:r>
    </w:p>
    <w:p w:rsidR="00761509" w:rsidRPr="009114DF" w:rsidRDefault="00345F57" w:rsidP="00761509">
      <w:pPr>
        <w:numPr>
          <w:ilvl w:val="0"/>
          <w:numId w:val="13"/>
        </w:numPr>
        <w:spacing w:after="0" w:line="360" w:lineRule="auto"/>
        <w:contextualSpacing/>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Определить</w:t>
      </w:r>
      <w:r w:rsidR="00761509"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клиническую эффективность</w:t>
      </w:r>
      <w:r w:rsidR="00761509" w:rsidRPr="009114DF">
        <w:rPr>
          <w:rFonts w:ascii="Times New Roman" w:eastAsia="Times New Roman" w:hAnsi="Times New Roman"/>
          <w:sz w:val="28"/>
          <w:szCs w:val="28"/>
          <w:lang w:eastAsia="ru-RU"/>
        </w:rPr>
        <w:t xml:space="preserve"> комбинированной терапии ритуксимабом и метотрексатом </w:t>
      </w:r>
      <w:r w:rsidR="004E77E9" w:rsidRPr="009114DF">
        <w:rPr>
          <w:rFonts w:ascii="Times New Roman" w:eastAsia="Times New Roman" w:hAnsi="Times New Roman"/>
          <w:sz w:val="28"/>
          <w:szCs w:val="28"/>
          <w:lang w:eastAsia="ru-RU"/>
        </w:rPr>
        <w:t xml:space="preserve">в сопоставлении с монотерапией метотрексатом в реальной клинической практике </w:t>
      </w:r>
      <w:r w:rsidR="00761509" w:rsidRPr="009114DF">
        <w:rPr>
          <w:rFonts w:ascii="Times New Roman" w:eastAsia="Times New Roman" w:hAnsi="Times New Roman"/>
          <w:sz w:val="28"/>
          <w:szCs w:val="28"/>
          <w:lang w:eastAsia="ru-RU"/>
        </w:rPr>
        <w:t>у</w:t>
      </w:r>
      <w:r w:rsidR="004E77E9" w:rsidRPr="009114DF">
        <w:rPr>
          <w:rFonts w:ascii="Times New Roman" w:eastAsia="Times New Roman" w:hAnsi="Times New Roman"/>
          <w:sz w:val="28"/>
          <w:szCs w:val="28"/>
          <w:lang w:eastAsia="ru-RU"/>
        </w:rPr>
        <w:t xml:space="preserve"> женщин с ревматоидным артритом в постменопаузе при</w:t>
      </w:r>
      <w:r w:rsidR="00761509" w:rsidRPr="009114DF">
        <w:rPr>
          <w:rFonts w:ascii="Times New Roman" w:eastAsia="Times New Roman" w:hAnsi="Times New Roman"/>
          <w:sz w:val="28"/>
          <w:szCs w:val="28"/>
          <w:lang w:eastAsia="ru-RU"/>
        </w:rPr>
        <w:t xml:space="preserve"> проспективно</w:t>
      </w:r>
      <w:r w:rsidR="004E77E9" w:rsidRPr="009114DF">
        <w:rPr>
          <w:rFonts w:ascii="Times New Roman" w:eastAsia="Times New Roman" w:hAnsi="Times New Roman"/>
          <w:sz w:val="28"/>
          <w:szCs w:val="28"/>
          <w:lang w:eastAsia="ru-RU"/>
        </w:rPr>
        <w:t>м четырехлетнем</w:t>
      </w:r>
      <w:r w:rsidR="00761509" w:rsidRPr="009114DF">
        <w:rPr>
          <w:rFonts w:ascii="Times New Roman" w:eastAsia="Times New Roman" w:hAnsi="Times New Roman"/>
          <w:sz w:val="28"/>
          <w:szCs w:val="28"/>
          <w:lang w:eastAsia="ru-RU"/>
        </w:rPr>
        <w:t xml:space="preserve"> наблюдени</w:t>
      </w:r>
      <w:r w:rsidR="004E77E9" w:rsidRPr="009114DF">
        <w:rPr>
          <w:rFonts w:ascii="Times New Roman" w:eastAsia="Times New Roman" w:hAnsi="Times New Roman"/>
          <w:sz w:val="28"/>
          <w:szCs w:val="28"/>
          <w:lang w:eastAsia="ru-RU"/>
        </w:rPr>
        <w:t>и</w:t>
      </w:r>
      <w:r w:rsidR="00761509" w:rsidRPr="009114DF">
        <w:rPr>
          <w:rFonts w:ascii="Times New Roman" w:eastAsia="Times New Roman" w:hAnsi="Times New Roman"/>
          <w:sz w:val="28"/>
          <w:szCs w:val="28"/>
          <w:lang w:eastAsia="ru-RU"/>
        </w:rPr>
        <w:t>.</w:t>
      </w:r>
    </w:p>
    <w:p w:rsidR="00345F57" w:rsidRPr="009114DF" w:rsidRDefault="004C1C02" w:rsidP="00ED5086">
      <w:pPr>
        <w:numPr>
          <w:ilvl w:val="0"/>
          <w:numId w:val="13"/>
        </w:numPr>
        <w:spacing w:before="240" w:line="360" w:lineRule="auto"/>
        <w:ind w:left="714" w:hanging="357"/>
        <w:contextualSpacing/>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Оценить  динамику </w:t>
      </w:r>
      <w:r w:rsidR="00C24B1B" w:rsidRPr="009114DF">
        <w:rPr>
          <w:rFonts w:ascii="Times New Roman" w:eastAsia="Times New Roman" w:hAnsi="Times New Roman"/>
          <w:sz w:val="28"/>
          <w:szCs w:val="28"/>
          <w:lang w:eastAsia="ru-RU"/>
        </w:rPr>
        <w:t xml:space="preserve">минеральной плотности кости шейки бедра и поясничного отдела позвоночника </w:t>
      </w:r>
      <w:r w:rsidRPr="009114DF">
        <w:rPr>
          <w:rFonts w:ascii="Times New Roman" w:eastAsia="Times New Roman" w:hAnsi="Times New Roman"/>
          <w:sz w:val="28"/>
          <w:szCs w:val="28"/>
          <w:lang w:eastAsia="ru-RU"/>
        </w:rPr>
        <w:t xml:space="preserve">с учетом показателей клинической эффективности изучаемой терапии у женщин в постменопаузе, страдающих </w:t>
      </w:r>
      <w:r w:rsidR="005358C3" w:rsidRPr="009114DF">
        <w:rPr>
          <w:rFonts w:ascii="Times New Roman" w:eastAsia="Times New Roman" w:hAnsi="Times New Roman"/>
          <w:sz w:val="28"/>
          <w:szCs w:val="28"/>
          <w:lang w:eastAsia="ru-RU"/>
        </w:rPr>
        <w:t>ревматоидным артритом</w:t>
      </w:r>
      <w:r w:rsidRPr="009114DF">
        <w:rPr>
          <w:rFonts w:ascii="Times New Roman" w:eastAsia="Times New Roman" w:hAnsi="Times New Roman"/>
          <w:sz w:val="28"/>
          <w:szCs w:val="28"/>
          <w:lang w:eastAsia="ru-RU"/>
        </w:rPr>
        <w:t>.</w:t>
      </w:r>
    </w:p>
    <w:p w:rsidR="00ED5086" w:rsidRPr="009114DF" w:rsidRDefault="00ED5086" w:rsidP="00ED5086">
      <w:pPr>
        <w:spacing w:before="240" w:line="360" w:lineRule="auto"/>
        <w:ind w:left="714"/>
        <w:contextualSpacing/>
        <w:jc w:val="both"/>
        <w:rPr>
          <w:rFonts w:ascii="Times New Roman" w:eastAsia="Times New Roman" w:hAnsi="Times New Roman"/>
          <w:sz w:val="14"/>
          <w:szCs w:val="28"/>
          <w:lang w:eastAsia="ru-RU"/>
        </w:rPr>
      </w:pPr>
    </w:p>
    <w:p w:rsidR="00345F57" w:rsidRPr="009114DF" w:rsidRDefault="00761509" w:rsidP="002230F3">
      <w:pPr>
        <w:spacing w:before="120" w:after="0" w:line="360" w:lineRule="auto"/>
        <w:ind w:firstLine="709"/>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Научная новизна</w:t>
      </w:r>
      <w:r w:rsidR="00345F57" w:rsidRPr="009114DF">
        <w:rPr>
          <w:rFonts w:ascii="Times New Roman" w:eastAsia="Times New Roman" w:hAnsi="Times New Roman"/>
          <w:b/>
          <w:sz w:val="28"/>
          <w:szCs w:val="28"/>
          <w:lang w:eastAsia="ru-RU"/>
        </w:rPr>
        <w:t xml:space="preserve"> </w:t>
      </w:r>
    </w:p>
    <w:p w:rsidR="00761509" w:rsidRPr="009114DF" w:rsidRDefault="00345F57" w:rsidP="00357842">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w:t>
      </w:r>
      <w:r w:rsidR="00761509" w:rsidRPr="009114DF">
        <w:rPr>
          <w:rFonts w:ascii="Times New Roman" w:eastAsia="Times New Roman" w:hAnsi="Times New Roman"/>
          <w:sz w:val="28"/>
          <w:szCs w:val="28"/>
          <w:lang w:eastAsia="ru-RU"/>
        </w:rPr>
        <w:t xml:space="preserve">первые установлено, что </w:t>
      </w:r>
      <w:r w:rsidR="00357842" w:rsidRPr="009114DF">
        <w:rPr>
          <w:rFonts w:ascii="Times New Roman" w:eastAsia="Times New Roman" w:hAnsi="Times New Roman"/>
          <w:sz w:val="28"/>
          <w:szCs w:val="28"/>
          <w:lang w:eastAsia="ru-RU"/>
        </w:rPr>
        <w:t xml:space="preserve">у женщин с ревматоидным артритом в постменопаузе </w:t>
      </w:r>
      <w:r w:rsidR="00357842" w:rsidRPr="009114DF">
        <w:rPr>
          <w:rFonts w:ascii="Times New Roman" w:eastAsia="Times New Roman" w:hAnsi="Times New Roman"/>
          <w:spacing w:val="3"/>
          <w:sz w:val="28"/>
          <w:szCs w:val="28"/>
        </w:rPr>
        <w:t xml:space="preserve">на фоне комбинированной терапии ритуксимабом и метотрексатом, начиная с 36-го месяца лечения и до окончания наблюдения (48 месяцев) зарегистрирована положительная динамика минеральной плотности кости шейки бедра. </w:t>
      </w:r>
      <w:r w:rsidR="00761509" w:rsidRPr="009114DF">
        <w:rPr>
          <w:rFonts w:ascii="Times New Roman" w:eastAsia="Times New Roman" w:hAnsi="Times New Roman"/>
          <w:sz w:val="28"/>
          <w:szCs w:val="28"/>
          <w:lang w:eastAsia="ru-RU"/>
        </w:rPr>
        <w:t xml:space="preserve"> </w:t>
      </w:r>
    </w:p>
    <w:p w:rsidR="00761509" w:rsidRPr="009114DF" w:rsidRDefault="00761509" w:rsidP="00C26102">
      <w:pPr>
        <w:spacing w:after="0" w:line="360" w:lineRule="auto"/>
        <w:ind w:firstLine="708"/>
        <w:contextualSpacing/>
        <w:jc w:val="both"/>
        <w:rPr>
          <w:rFonts w:ascii="Times New Roman" w:eastAsia="Times New Roman" w:hAnsi="Times New Roman"/>
          <w:sz w:val="28"/>
          <w:szCs w:val="28"/>
        </w:rPr>
      </w:pPr>
      <w:r w:rsidRPr="009114DF">
        <w:rPr>
          <w:rFonts w:ascii="Times New Roman" w:eastAsia="Times New Roman" w:hAnsi="Times New Roman"/>
          <w:sz w:val="28"/>
          <w:szCs w:val="28"/>
          <w:lang w:eastAsia="ru-RU"/>
        </w:rPr>
        <w:t xml:space="preserve">Впервые определена </w:t>
      </w:r>
      <w:r w:rsidR="00FA7FF8" w:rsidRPr="009114DF">
        <w:rPr>
          <w:rFonts w:ascii="Times New Roman" w:eastAsia="Times New Roman" w:hAnsi="Times New Roman"/>
          <w:sz w:val="28"/>
          <w:szCs w:val="28"/>
          <w:lang w:eastAsia="ru-RU"/>
        </w:rPr>
        <w:t xml:space="preserve">зависимость </w:t>
      </w:r>
      <w:r w:rsidRPr="009114DF">
        <w:rPr>
          <w:rFonts w:ascii="Times New Roman" w:eastAsia="Times New Roman" w:hAnsi="Times New Roman"/>
          <w:sz w:val="28"/>
          <w:szCs w:val="28"/>
          <w:lang w:eastAsia="ru-RU"/>
        </w:rPr>
        <w:t xml:space="preserve">денситометрических показателей </w:t>
      </w:r>
      <w:r w:rsidR="00C26102" w:rsidRPr="009114DF">
        <w:rPr>
          <w:rFonts w:ascii="Times New Roman" w:eastAsia="Times New Roman" w:hAnsi="Times New Roman"/>
          <w:sz w:val="28"/>
          <w:szCs w:val="28"/>
          <w:lang w:eastAsia="ru-RU"/>
        </w:rPr>
        <w:t>от</w:t>
      </w:r>
      <w:r w:rsidR="00FA7FF8"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 </w:t>
      </w:r>
      <w:r w:rsidR="00FA7FF8" w:rsidRPr="009114DF">
        <w:rPr>
          <w:rFonts w:ascii="Times New Roman" w:eastAsia="Times New Roman" w:hAnsi="Times New Roman"/>
          <w:sz w:val="28"/>
          <w:szCs w:val="28"/>
        </w:rPr>
        <w:t xml:space="preserve">исходной клинической, рентгенологической и лабораторной характеристики женщин в постменопаузе, страдающих </w:t>
      </w:r>
      <w:r w:rsidR="00357842" w:rsidRPr="009114DF">
        <w:rPr>
          <w:rFonts w:ascii="Times New Roman" w:eastAsia="Times New Roman" w:hAnsi="Times New Roman"/>
          <w:sz w:val="28"/>
          <w:szCs w:val="28"/>
        </w:rPr>
        <w:t>ревматоидным артритом</w:t>
      </w:r>
      <w:r w:rsidR="00FA7FF8" w:rsidRPr="009114DF">
        <w:rPr>
          <w:rFonts w:ascii="Times New Roman" w:eastAsia="Times New Roman" w:hAnsi="Times New Roman"/>
          <w:sz w:val="28"/>
          <w:szCs w:val="28"/>
        </w:rPr>
        <w:t xml:space="preserve"> </w:t>
      </w:r>
      <w:r w:rsidRPr="009114DF">
        <w:rPr>
          <w:rFonts w:ascii="Times New Roman" w:eastAsia="Times New Roman" w:hAnsi="Times New Roman"/>
          <w:sz w:val="28"/>
          <w:szCs w:val="28"/>
          <w:lang w:eastAsia="ru-RU"/>
        </w:rPr>
        <w:t xml:space="preserve">на фоне четырехлетней терапии </w:t>
      </w:r>
      <w:r w:rsidR="00FA7FF8" w:rsidRPr="009114DF">
        <w:rPr>
          <w:rFonts w:ascii="Times New Roman" w:eastAsia="Times New Roman" w:hAnsi="Times New Roman"/>
          <w:sz w:val="28"/>
          <w:szCs w:val="28"/>
          <w:lang w:eastAsia="ru-RU"/>
        </w:rPr>
        <w:t>комбинации ритуксимаба</w:t>
      </w:r>
      <w:r w:rsidRPr="009114DF">
        <w:rPr>
          <w:rFonts w:ascii="Times New Roman" w:eastAsia="Times New Roman" w:hAnsi="Times New Roman"/>
          <w:sz w:val="28"/>
          <w:szCs w:val="28"/>
          <w:lang w:eastAsia="ru-RU"/>
        </w:rPr>
        <w:t xml:space="preserve"> и метотрексат</w:t>
      </w:r>
      <w:r w:rsidR="00FA7FF8" w:rsidRPr="009114DF">
        <w:rPr>
          <w:rFonts w:ascii="Times New Roman" w:eastAsia="Times New Roman" w:hAnsi="Times New Roman"/>
          <w:sz w:val="28"/>
          <w:szCs w:val="28"/>
          <w:lang w:eastAsia="ru-RU"/>
        </w:rPr>
        <w:t>а и монотерапии метотр</w:t>
      </w:r>
      <w:r w:rsidR="00F73CC0">
        <w:rPr>
          <w:rFonts w:ascii="Times New Roman" w:eastAsia="Times New Roman" w:hAnsi="Times New Roman"/>
          <w:sz w:val="28"/>
          <w:szCs w:val="28"/>
          <w:lang w:eastAsia="ru-RU"/>
        </w:rPr>
        <w:t>е</w:t>
      </w:r>
      <w:r w:rsidR="00FA7FF8" w:rsidRPr="009114DF">
        <w:rPr>
          <w:rFonts w:ascii="Times New Roman" w:eastAsia="Times New Roman" w:hAnsi="Times New Roman"/>
          <w:sz w:val="28"/>
          <w:szCs w:val="28"/>
          <w:lang w:eastAsia="ru-RU"/>
        </w:rPr>
        <w:t>ксата</w:t>
      </w:r>
      <w:r w:rsidRPr="009114DF">
        <w:rPr>
          <w:rFonts w:ascii="Times New Roman" w:eastAsia="Times New Roman" w:hAnsi="Times New Roman"/>
          <w:sz w:val="28"/>
          <w:szCs w:val="28"/>
          <w:lang w:eastAsia="ru-RU"/>
        </w:rPr>
        <w:t xml:space="preserve">. </w:t>
      </w:r>
      <w:r w:rsidR="0043706D" w:rsidRPr="009114DF">
        <w:rPr>
          <w:rFonts w:ascii="Times New Roman" w:eastAsia="Times New Roman" w:hAnsi="Times New Roman"/>
          <w:sz w:val="28"/>
          <w:szCs w:val="28"/>
          <w:lang w:eastAsia="ru-RU"/>
        </w:rPr>
        <w:t>Прогрессирование суставной деструкции и высокая исходная активность заболевания сопровождаются снижением</w:t>
      </w:r>
      <w:r w:rsidRPr="009114DF">
        <w:rPr>
          <w:rFonts w:ascii="Times New Roman" w:eastAsia="Times New Roman" w:hAnsi="Times New Roman"/>
          <w:sz w:val="28"/>
          <w:szCs w:val="28"/>
          <w:lang w:eastAsia="ru-RU"/>
        </w:rPr>
        <w:t xml:space="preserve"> минеральной плотности </w:t>
      </w:r>
      <w:r w:rsidRPr="009114DF">
        <w:rPr>
          <w:rFonts w:ascii="Times New Roman" w:eastAsia="Times New Roman" w:hAnsi="Times New Roman"/>
          <w:sz w:val="28"/>
          <w:szCs w:val="28"/>
          <w:lang w:eastAsia="ru-RU"/>
        </w:rPr>
        <w:lastRenderedPageBreak/>
        <w:t xml:space="preserve">кости и Т-критерия шейки бедра у </w:t>
      </w:r>
      <w:r w:rsidR="00C26102" w:rsidRPr="009114DF">
        <w:rPr>
          <w:rFonts w:ascii="Times New Roman" w:eastAsia="Times New Roman" w:hAnsi="Times New Roman"/>
          <w:sz w:val="28"/>
          <w:szCs w:val="28"/>
          <w:lang w:eastAsia="ru-RU"/>
        </w:rPr>
        <w:t>женщин с</w:t>
      </w:r>
      <w:r w:rsidRPr="009114DF">
        <w:rPr>
          <w:rFonts w:ascii="Times New Roman" w:eastAsia="Times New Roman" w:hAnsi="Times New Roman"/>
          <w:sz w:val="28"/>
          <w:szCs w:val="28"/>
          <w:lang w:eastAsia="ru-RU"/>
        </w:rPr>
        <w:t xml:space="preserve"> ревматоидным артритом </w:t>
      </w:r>
      <w:r w:rsidR="00C26102" w:rsidRPr="009114DF">
        <w:rPr>
          <w:rFonts w:ascii="Times New Roman" w:eastAsia="Times New Roman" w:hAnsi="Times New Roman"/>
          <w:sz w:val="28"/>
          <w:szCs w:val="28"/>
          <w:lang w:eastAsia="ru-RU"/>
        </w:rPr>
        <w:t>в постменопаузе</w:t>
      </w:r>
      <w:r w:rsidR="0043706D" w:rsidRPr="009114DF">
        <w:rPr>
          <w:rFonts w:ascii="Times New Roman" w:eastAsia="Times New Roman" w:hAnsi="Times New Roman"/>
          <w:sz w:val="28"/>
          <w:szCs w:val="28"/>
          <w:lang w:eastAsia="ru-RU"/>
        </w:rPr>
        <w:t>.</w:t>
      </w:r>
      <w:r w:rsidR="00C26102" w:rsidRPr="009114DF">
        <w:rPr>
          <w:rFonts w:ascii="Times New Roman" w:eastAsia="Times New Roman" w:hAnsi="Times New Roman"/>
          <w:sz w:val="28"/>
          <w:szCs w:val="28"/>
          <w:lang w:eastAsia="ru-RU"/>
        </w:rPr>
        <w:t xml:space="preserve"> </w:t>
      </w:r>
    </w:p>
    <w:p w:rsidR="00FA7FF8" w:rsidRPr="009114DF" w:rsidRDefault="00761509" w:rsidP="00892493">
      <w:pPr>
        <w:spacing w:after="0" w:line="360" w:lineRule="auto"/>
        <w:ind w:firstLine="708"/>
        <w:jc w:val="both"/>
        <w:rPr>
          <w:rFonts w:ascii="Times New Roman" w:eastAsia="Times New Roman" w:hAnsi="Times New Roman"/>
          <w:sz w:val="28"/>
          <w:szCs w:val="28"/>
          <w:lang w:eastAsia="ru-RU"/>
        </w:rPr>
      </w:pPr>
      <w:proofErr w:type="gramStart"/>
      <w:r w:rsidRPr="009114DF">
        <w:rPr>
          <w:rFonts w:ascii="Times New Roman" w:eastAsia="Times New Roman" w:hAnsi="Times New Roman"/>
          <w:sz w:val="28"/>
          <w:szCs w:val="28"/>
          <w:lang w:eastAsia="ru-RU"/>
        </w:rPr>
        <w:t xml:space="preserve">Комбинированная терапия </w:t>
      </w:r>
      <w:r w:rsidR="00345F57" w:rsidRPr="009114DF">
        <w:rPr>
          <w:rFonts w:ascii="Times New Roman" w:eastAsia="Times New Roman" w:hAnsi="Times New Roman"/>
          <w:sz w:val="28"/>
          <w:szCs w:val="28"/>
          <w:lang w:eastAsia="ru-RU"/>
        </w:rPr>
        <w:t>ритуксимабом и метотрексатом</w:t>
      </w:r>
      <w:r w:rsidRPr="009114DF">
        <w:rPr>
          <w:rFonts w:ascii="Times New Roman" w:eastAsia="Times New Roman" w:hAnsi="Times New Roman"/>
          <w:sz w:val="28"/>
          <w:szCs w:val="28"/>
          <w:lang w:eastAsia="ru-RU"/>
        </w:rPr>
        <w:t xml:space="preserve"> характеризуется хорошим клиническим ответом по критериям EULAR </w:t>
      </w:r>
      <w:r w:rsidR="00CD7B9A" w:rsidRPr="009114DF">
        <w:rPr>
          <w:rFonts w:ascii="Times New Roman" w:eastAsia="Times New Roman" w:hAnsi="Times New Roman"/>
          <w:sz w:val="28"/>
          <w:szCs w:val="28"/>
          <w:lang w:eastAsia="ru-RU"/>
        </w:rPr>
        <w:t xml:space="preserve">через 12 месяцев лечения у </w:t>
      </w:r>
      <w:r w:rsidR="00A470C4" w:rsidRPr="009114DF">
        <w:rPr>
          <w:rFonts w:ascii="Times New Roman" w:eastAsia="Times New Roman" w:hAnsi="Times New Roman"/>
          <w:sz w:val="28"/>
          <w:szCs w:val="28"/>
          <w:lang w:eastAsia="ru-RU"/>
        </w:rPr>
        <w:t>38,6</w:t>
      </w:r>
      <w:r w:rsidR="00CD7B9A" w:rsidRPr="009114DF">
        <w:rPr>
          <w:rFonts w:ascii="Times New Roman" w:eastAsia="Times New Roman" w:hAnsi="Times New Roman"/>
          <w:sz w:val="28"/>
          <w:szCs w:val="28"/>
          <w:lang w:eastAsia="ru-RU"/>
        </w:rPr>
        <w:t xml:space="preserve">%,  через 24 месяца </w:t>
      </w:r>
      <w:r w:rsidR="00CD2EDC" w:rsidRPr="009114DF">
        <w:rPr>
          <w:rFonts w:ascii="Times New Roman" w:eastAsia="Times New Roman" w:hAnsi="Times New Roman"/>
          <w:sz w:val="28"/>
          <w:szCs w:val="28"/>
          <w:lang w:eastAsia="ru-RU"/>
        </w:rPr>
        <w:t xml:space="preserve"> – </w:t>
      </w:r>
      <w:r w:rsidR="00CD7B9A" w:rsidRPr="009114DF">
        <w:rPr>
          <w:rFonts w:ascii="Times New Roman" w:eastAsia="Times New Roman" w:hAnsi="Times New Roman"/>
          <w:sz w:val="28"/>
          <w:szCs w:val="28"/>
          <w:lang w:eastAsia="ru-RU"/>
        </w:rPr>
        <w:t xml:space="preserve">у </w:t>
      </w:r>
      <w:r w:rsidR="00A470C4" w:rsidRPr="009114DF">
        <w:rPr>
          <w:rFonts w:ascii="Times New Roman" w:eastAsia="Times New Roman" w:hAnsi="Times New Roman"/>
          <w:sz w:val="28"/>
          <w:szCs w:val="28"/>
          <w:lang w:eastAsia="ru-RU"/>
        </w:rPr>
        <w:t>40,9</w:t>
      </w:r>
      <w:r w:rsidR="00CD7B9A" w:rsidRPr="009114DF">
        <w:rPr>
          <w:rFonts w:ascii="Times New Roman" w:eastAsia="Times New Roman" w:hAnsi="Times New Roman"/>
          <w:sz w:val="28"/>
          <w:szCs w:val="28"/>
          <w:lang w:eastAsia="ru-RU"/>
        </w:rPr>
        <w:t xml:space="preserve">%, через 36 месяцев – </w:t>
      </w:r>
      <w:r w:rsidR="00153AE7" w:rsidRPr="009114DF">
        <w:rPr>
          <w:rFonts w:ascii="Times New Roman" w:eastAsia="Times New Roman" w:hAnsi="Times New Roman"/>
          <w:sz w:val="28"/>
          <w:szCs w:val="28"/>
          <w:lang w:eastAsia="ru-RU"/>
        </w:rPr>
        <w:t xml:space="preserve">у </w:t>
      </w:r>
      <w:r w:rsidR="00A470C4" w:rsidRPr="009114DF">
        <w:rPr>
          <w:rFonts w:ascii="Times New Roman" w:eastAsia="Times New Roman" w:hAnsi="Times New Roman"/>
          <w:sz w:val="28"/>
          <w:szCs w:val="28"/>
          <w:lang w:eastAsia="ru-RU"/>
        </w:rPr>
        <w:t>3</w:t>
      </w:r>
      <w:r w:rsidR="00153AE7" w:rsidRPr="009114DF">
        <w:rPr>
          <w:rFonts w:ascii="Times New Roman" w:eastAsia="Times New Roman" w:hAnsi="Times New Roman"/>
          <w:sz w:val="28"/>
          <w:szCs w:val="28"/>
          <w:lang w:eastAsia="ru-RU"/>
        </w:rPr>
        <w:t>4</w:t>
      </w:r>
      <w:r w:rsidR="00A470C4" w:rsidRPr="009114DF">
        <w:rPr>
          <w:rFonts w:ascii="Times New Roman" w:eastAsia="Times New Roman" w:hAnsi="Times New Roman"/>
          <w:sz w:val="28"/>
          <w:szCs w:val="28"/>
          <w:lang w:eastAsia="ru-RU"/>
        </w:rPr>
        <w:t>,1</w:t>
      </w:r>
      <w:r w:rsidR="00CD7B9A" w:rsidRPr="009114DF">
        <w:rPr>
          <w:rFonts w:ascii="Times New Roman" w:eastAsia="Times New Roman" w:hAnsi="Times New Roman"/>
          <w:sz w:val="28"/>
          <w:szCs w:val="28"/>
          <w:lang w:eastAsia="ru-RU"/>
        </w:rPr>
        <w:t xml:space="preserve">%, через 48 месяцев – у </w:t>
      </w:r>
      <w:r w:rsidR="00A470C4" w:rsidRPr="009114DF">
        <w:rPr>
          <w:rFonts w:ascii="Times New Roman" w:eastAsia="Times New Roman" w:hAnsi="Times New Roman"/>
          <w:sz w:val="28"/>
          <w:szCs w:val="28"/>
          <w:lang w:eastAsia="ru-RU"/>
        </w:rPr>
        <w:t>25,0</w:t>
      </w:r>
      <w:r w:rsidR="00CD7B9A" w:rsidRPr="009114DF">
        <w:rPr>
          <w:rFonts w:ascii="Times New Roman" w:eastAsia="Times New Roman" w:hAnsi="Times New Roman"/>
          <w:sz w:val="28"/>
          <w:szCs w:val="28"/>
          <w:lang w:eastAsia="ru-RU"/>
        </w:rPr>
        <w:t>% пациентов.</w:t>
      </w:r>
      <w:proofErr w:type="gramEnd"/>
    </w:p>
    <w:p w:rsidR="00357842" w:rsidRPr="009114DF" w:rsidRDefault="00FA3122" w:rsidP="00357842">
      <w:pPr>
        <w:spacing w:after="0" w:line="360" w:lineRule="auto"/>
        <w:ind w:firstLine="708"/>
        <w:jc w:val="both"/>
        <w:rPr>
          <w:rFonts w:ascii="Times New Roman" w:eastAsia="Times New Roman" w:hAnsi="Times New Roman"/>
          <w:b/>
          <w:sz w:val="28"/>
          <w:szCs w:val="28"/>
          <w:lang w:eastAsia="ru-RU"/>
        </w:rPr>
      </w:pPr>
      <w:r w:rsidRPr="009114DF">
        <w:rPr>
          <w:rFonts w:ascii="Times New Roman" w:eastAsia="Times New Roman" w:hAnsi="Times New Roman"/>
          <w:sz w:val="28"/>
          <w:szCs w:val="28"/>
          <w:lang w:eastAsia="ru-RU"/>
        </w:rPr>
        <w:t>Впервые</w:t>
      </w:r>
      <w:r w:rsidR="00892493" w:rsidRPr="009114DF">
        <w:rPr>
          <w:rFonts w:ascii="Times New Roman" w:eastAsia="Times New Roman" w:hAnsi="Times New Roman"/>
          <w:sz w:val="28"/>
          <w:szCs w:val="28"/>
          <w:lang w:eastAsia="ru-RU"/>
        </w:rPr>
        <w:t xml:space="preserve"> установлено, что у бол</w:t>
      </w:r>
      <w:r w:rsidR="00357842" w:rsidRPr="009114DF">
        <w:rPr>
          <w:rFonts w:ascii="Times New Roman" w:eastAsia="Times New Roman" w:hAnsi="Times New Roman"/>
          <w:sz w:val="28"/>
          <w:szCs w:val="28"/>
          <w:lang w:eastAsia="ru-RU"/>
        </w:rPr>
        <w:t xml:space="preserve">ьных с комбинированной терапией ритуксимабом и метотрексатом в подгруппе «ответчиков» положительная динамика минеральной плотности кости шейки бедра зарегистрирована к 12-му месяцу наблюдения, тогда как в подгруппе «неответчиков» – к 36-му месяцу лечения. </w:t>
      </w:r>
    </w:p>
    <w:p w:rsidR="00761509" w:rsidRPr="009114DF" w:rsidRDefault="00761509" w:rsidP="00357842">
      <w:pPr>
        <w:pStyle w:val="ad"/>
        <w:spacing w:after="0" w:line="360" w:lineRule="auto"/>
        <w:ind w:left="720"/>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Практическая значимость</w:t>
      </w:r>
    </w:p>
    <w:p w:rsidR="00761509" w:rsidRPr="009114DF" w:rsidRDefault="00345F57" w:rsidP="00761509">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Больным</w:t>
      </w:r>
      <w:r w:rsidR="00761509" w:rsidRPr="009114DF">
        <w:rPr>
          <w:rFonts w:ascii="Times New Roman" w:eastAsia="Times New Roman" w:hAnsi="Times New Roman"/>
          <w:sz w:val="28"/>
          <w:szCs w:val="28"/>
          <w:lang w:eastAsia="ru-RU"/>
        </w:rPr>
        <w:t xml:space="preserve"> ревматоидным артритом с остеопеническим синдромом и высоким риском возникновения остеопоротических переломов показано назначение комбинированной терапии ритуксимабом и метотрексатом</w:t>
      </w:r>
      <w:r w:rsidR="00B412B0" w:rsidRPr="009114DF">
        <w:rPr>
          <w:rFonts w:ascii="Times New Roman" w:eastAsia="Times New Roman" w:hAnsi="Times New Roman"/>
          <w:sz w:val="28"/>
          <w:szCs w:val="28"/>
          <w:lang w:eastAsia="ru-RU"/>
        </w:rPr>
        <w:t xml:space="preserve"> как с целью лечения ревматоидного артрита, так и </w:t>
      </w:r>
      <w:r w:rsidR="00761509" w:rsidRPr="009114DF">
        <w:rPr>
          <w:rFonts w:ascii="Times New Roman" w:eastAsia="Times New Roman" w:hAnsi="Times New Roman"/>
          <w:sz w:val="28"/>
          <w:szCs w:val="28"/>
          <w:lang w:eastAsia="ru-RU"/>
        </w:rPr>
        <w:t xml:space="preserve">для профилактики дальнейшего снижения минеральной плотности кости. </w:t>
      </w:r>
    </w:p>
    <w:p w:rsidR="00B412B0" w:rsidRPr="009114DF" w:rsidRDefault="00345F57" w:rsidP="000A5DE8">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Рекомендованы</w:t>
      </w:r>
      <w:r w:rsidR="00761509" w:rsidRPr="009114DF">
        <w:rPr>
          <w:rFonts w:ascii="Times New Roman" w:eastAsia="Times New Roman" w:hAnsi="Times New Roman"/>
          <w:sz w:val="28"/>
          <w:szCs w:val="28"/>
          <w:lang w:eastAsia="ru-RU"/>
        </w:rPr>
        <w:t xml:space="preserve"> комплексное исследование клинико-лабораторных параметров через 24 месяца терапии ритуксимабом и метотрексатом для оценки эффективности проводимого лечения и персонифицированный подход  к выбору дальнейшей тактики ведения больных.</w:t>
      </w:r>
    </w:p>
    <w:p w:rsidR="00761509" w:rsidRPr="009114DF" w:rsidRDefault="00761509" w:rsidP="002230F3">
      <w:pPr>
        <w:tabs>
          <w:tab w:val="left" w:pos="709"/>
        </w:tabs>
        <w:suppressAutoHyphens/>
        <w:spacing w:before="100" w:beforeAutospacing="1" w:after="0" w:line="360" w:lineRule="auto"/>
        <w:jc w:val="center"/>
        <w:rPr>
          <w:rFonts w:ascii="Times New Roman" w:eastAsia="Times New Roman" w:hAnsi="Times New Roman"/>
          <w:b/>
          <w:sz w:val="28"/>
          <w:szCs w:val="28"/>
        </w:rPr>
      </w:pPr>
      <w:r w:rsidRPr="009114DF">
        <w:rPr>
          <w:rFonts w:ascii="Times New Roman" w:eastAsia="Times New Roman" w:hAnsi="Times New Roman"/>
          <w:b/>
          <w:sz w:val="28"/>
          <w:szCs w:val="28"/>
        </w:rPr>
        <w:t>Основные положения, выносимые на защиту</w:t>
      </w:r>
    </w:p>
    <w:p w:rsidR="00234B6E" w:rsidRPr="009114DF" w:rsidRDefault="00761509" w:rsidP="00761509">
      <w:pPr>
        <w:numPr>
          <w:ilvl w:val="0"/>
          <w:numId w:val="14"/>
        </w:numPr>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На фоне терапии ритуксимабом и метотрексатом</w:t>
      </w:r>
      <w:r w:rsidR="00357842"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w:t>
      </w:r>
      <w:r w:rsidR="00357842" w:rsidRPr="009114DF">
        <w:rPr>
          <w:rFonts w:ascii="Times New Roman" w:eastAsia="Times New Roman" w:hAnsi="Times New Roman"/>
          <w:spacing w:val="3"/>
          <w:sz w:val="28"/>
          <w:szCs w:val="28"/>
        </w:rPr>
        <w:t>начиная с 36-го месяца лечения и до окончания наблюдения (48 месяцев)</w:t>
      </w:r>
      <w:r w:rsidR="00234B6E" w:rsidRPr="009114DF">
        <w:rPr>
          <w:rFonts w:ascii="Times New Roman" w:eastAsia="Times New Roman" w:hAnsi="Times New Roman"/>
          <w:spacing w:val="3"/>
          <w:sz w:val="28"/>
          <w:szCs w:val="28"/>
        </w:rPr>
        <w:t>,</w:t>
      </w:r>
      <w:r w:rsidR="00357842" w:rsidRPr="009114DF">
        <w:rPr>
          <w:rFonts w:ascii="Times New Roman" w:eastAsia="Times New Roman" w:hAnsi="Times New Roman"/>
          <w:spacing w:val="3"/>
          <w:sz w:val="28"/>
          <w:szCs w:val="28"/>
        </w:rPr>
        <w:t xml:space="preserve"> зарегистрирована положительная динамика минеральной плотности кости шейки бедра</w:t>
      </w:r>
      <w:r w:rsidR="00357842" w:rsidRPr="009114DF">
        <w:rPr>
          <w:rFonts w:ascii="Times New Roman" w:eastAsia="Times New Roman" w:hAnsi="Times New Roman"/>
          <w:sz w:val="28"/>
          <w:szCs w:val="28"/>
          <w:lang w:eastAsia="ru-RU"/>
        </w:rPr>
        <w:t xml:space="preserve"> </w:t>
      </w:r>
      <w:r w:rsidR="00234B6E" w:rsidRPr="009114DF">
        <w:rPr>
          <w:rFonts w:ascii="Times New Roman" w:eastAsia="Times New Roman" w:hAnsi="Times New Roman"/>
          <w:sz w:val="28"/>
          <w:szCs w:val="28"/>
          <w:lang w:eastAsia="ru-RU"/>
        </w:rPr>
        <w:t xml:space="preserve">и </w:t>
      </w:r>
      <w:r w:rsidRPr="009114DF">
        <w:rPr>
          <w:rFonts w:ascii="Times New Roman" w:eastAsia="Times New Roman" w:hAnsi="Times New Roman"/>
          <w:sz w:val="28"/>
          <w:szCs w:val="28"/>
          <w:lang w:eastAsia="ru-RU"/>
        </w:rPr>
        <w:t xml:space="preserve">стабилизация </w:t>
      </w:r>
      <w:r w:rsidR="00234B6E" w:rsidRPr="009114DF">
        <w:rPr>
          <w:rFonts w:ascii="Times New Roman" w:eastAsia="Times New Roman" w:hAnsi="Times New Roman"/>
          <w:sz w:val="28"/>
          <w:szCs w:val="28"/>
          <w:lang w:eastAsia="ru-RU"/>
        </w:rPr>
        <w:t>данного</w:t>
      </w:r>
      <w:r w:rsidRPr="009114DF">
        <w:rPr>
          <w:rFonts w:ascii="Times New Roman" w:eastAsia="Times New Roman" w:hAnsi="Times New Roman"/>
          <w:sz w:val="28"/>
          <w:szCs w:val="28"/>
          <w:lang w:eastAsia="ru-RU"/>
        </w:rPr>
        <w:t xml:space="preserve"> показател</w:t>
      </w:r>
      <w:r w:rsidR="00234B6E" w:rsidRPr="009114DF">
        <w:rPr>
          <w:rFonts w:ascii="Times New Roman" w:eastAsia="Times New Roman" w:hAnsi="Times New Roman"/>
          <w:sz w:val="28"/>
          <w:szCs w:val="28"/>
          <w:lang w:eastAsia="ru-RU"/>
        </w:rPr>
        <w:t>я</w:t>
      </w:r>
      <w:r w:rsidRPr="009114DF">
        <w:rPr>
          <w:rFonts w:ascii="Times New Roman" w:eastAsia="Times New Roman" w:hAnsi="Times New Roman"/>
          <w:sz w:val="28"/>
          <w:szCs w:val="28"/>
          <w:lang w:eastAsia="ru-RU"/>
        </w:rPr>
        <w:t xml:space="preserve"> в поясничном отделе позвоночника</w:t>
      </w:r>
      <w:r w:rsidR="00234B6E" w:rsidRPr="009114DF">
        <w:rPr>
          <w:rFonts w:ascii="Times New Roman" w:eastAsia="Times New Roman" w:hAnsi="Times New Roman"/>
          <w:sz w:val="28"/>
          <w:szCs w:val="28"/>
          <w:lang w:eastAsia="ru-RU"/>
        </w:rPr>
        <w:t xml:space="preserve"> по результатам 48-месячного наблюдения</w:t>
      </w:r>
      <w:r w:rsidRPr="009114DF">
        <w:rPr>
          <w:rFonts w:ascii="Times New Roman" w:eastAsia="Times New Roman" w:hAnsi="Times New Roman"/>
          <w:sz w:val="28"/>
          <w:szCs w:val="28"/>
          <w:lang w:eastAsia="ru-RU"/>
        </w:rPr>
        <w:t xml:space="preserve">. </w:t>
      </w:r>
    </w:p>
    <w:p w:rsidR="00234B6E" w:rsidRPr="009114DF" w:rsidRDefault="00234B6E" w:rsidP="00234B6E">
      <w:pPr>
        <w:numPr>
          <w:ilvl w:val="0"/>
          <w:numId w:val="14"/>
        </w:numPr>
        <w:spacing w:after="0" w:line="360" w:lineRule="auto"/>
        <w:ind w:left="714" w:hanging="357"/>
        <w:jc w:val="both"/>
        <w:rPr>
          <w:rFonts w:ascii="Times New Roman" w:eastAsia="Times New Roman" w:hAnsi="Times New Roman"/>
          <w:spacing w:val="3"/>
          <w:sz w:val="28"/>
          <w:szCs w:val="28"/>
        </w:rPr>
      </w:pPr>
      <w:r w:rsidRPr="009114DF">
        <w:rPr>
          <w:rFonts w:ascii="Times New Roman" w:eastAsia="Times New Roman" w:hAnsi="Times New Roman"/>
          <w:spacing w:val="3"/>
          <w:sz w:val="28"/>
          <w:szCs w:val="28"/>
        </w:rPr>
        <w:t xml:space="preserve">Прогрессирование суставной деструкции и высокая исходная активность заболевания сопровождаются снижением денситометрических </w:t>
      </w:r>
      <w:r w:rsidRPr="009114DF">
        <w:rPr>
          <w:rFonts w:ascii="Times New Roman" w:eastAsia="Times New Roman" w:hAnsi="Times New Roman"/>
          <w:spacing w:val="3"/>
          <w:sz w:val="28"/>
          <w:szCs w:val="28"/>
        </w:rPr>
        <w:lastRenderedPageBreak/>
        <w:t>показателей шейки бедра у женщин с ревматоидным артритом в постменопаузе.</w:t>
      </w:r>
    </w:p>
    <w:p w:rsidR="00A470C4" w:rsidRPr="009114DF" w:rsidRDefault="00A470C4" w:rsidP="00A470C4">
      <w:pPr>
        <w:pStyle w:val="ad"/>
        <w:numPr>
          <w:ilvl w:val="0"/>
          <w:numId w:val="14"/>
        </w:numPr>
        <w:spacing w:after="0" w:line="360" w:lineRule="auto"/>
        <w:jc w:val="both"/>
        <w:rPr>
          <w:rFonts w:ascii="Times New Roman" w:eastAsia="Times New Roman" w:hAnsi="Times New Roman"/>
          <w:sz w:val="28"/>
          <w:szCs w:val="28"/>
          <w:lang w:eastAsia="ru-RU"/>
        </w:rPr>
      </w:pPr>
      <w:proofErr w:type="gramStart"/>
      <w:r w:rsidRPr="009114DF">
        <w:rPr>
          <w:rFonts w:ascii="Times New Roman" w:eastAsia="Times New Roman" w:hAnsi="Times New Roman"/>
          <w:sz w:val="28"/>
          <w:szCs w:val="28"/>
          <w:lang w:eastAsia="ru-RU"/>
        </w:rPr>
        <w:t xml:space="preserve">Комбинированная терапия ритуксимабом и метотрексатом характеризуется хорошим клиническим ответом по критериям EULAR через 12 месяцев лечения у 38,6%,  через 24 месяца  – у 40,9%, через 36 месяцев – у 34,1%, через 48 месяцев – у 25,0% пациентов. </w:t>
      </w:r>
      <w:proofErr w:type="gramEnd"/>
    </w:p>
    <w:p w:rsidR="00234B6E" w:rsidRPr="009114DF" w:rsidRDefault="00234B6E" w:rsidP="00234B6E">
      <w:pPr>
        <w:pStyle w:val="ad"/>
        <w:numPr>
          <w:ilvl w:val="0"/>
          <w:numId w:val="14"/>
        </w:numPr>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У больных с комбинированной терапией ритуксимабом и метотрексатом в подгруппе «ответчиков» положительная динамика минеральной плотности кости шейки бедра зарегистрирована к 12-му месяцу наблюдения, тогда как в подгруппе «неответчиков» – к 36-му месяцу лечения. </w:t>
      </w:r>
    </w:p>
    <w:p w:rsidR="00097064" w:rsidRPr="009114DF" w:rsidRDefault="00097064" w:rsidP="002230F3">
      <w:pPr>
        <w:spacing w:before="200" w:after="0" w:line="360" w:lineRule="auto"/>
        <w:ind w:firstLine="709"/>
        <w:jc w:val="center"/>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Непосредственное участие автора в получении научных результатов</w:t>
      </w:r>
    </w:p>
    <w:p w:rsidR="009E5179" w:rsidRPr="009114DF" w:rsidRDefault="00ED5086" w:rsidP="009E5179">
      <w:pPr>
        <w:tabs>
          <w:tab w:val="left" w:pos="709"/>
        </w:tabs>
        <w:suppressAutoHyphens/>
        <w:spacing w:before="240" w:line="360" w:lineRule="auto"/>
        <w:contextualSpacing/>
        <w:jc w:val="both"/>
        <w:rPr>
          <w:rFonts w:ascii="Times New Roman" w:hAnsi="Times New Roman"/>
          <w:sz w:val="28"/>
          <w:szCs w:val="28"/>
        </w:rPr>
      </w:pPr>
      <w:r w:rsidRPr="009114DF">
        <w:rPr>
          <w:rFonts w:ascii="Times New Roman" w:hAnsi="Times New Roman"/>
          <w:sz w:val="28"/>
          <w:szCs w:val="28"/>
        </w:rPr>
        <w:tab/>
      </w:r>
      <w:r w:rsidR="00234B6E" w:rsidRPr="009114DF">
        <w:rPr>
          <w:rFonts w:ascii="Times New Roman" w:hAnsi="Times New Roman"/>
          <w:sz w:val="28"/>
          <w:szCs w:val="28"/>
        </w:rPr>
        <w:t xml:space="preserve">Автором проведен анализ данных медицинской литературы, посвященной исследуемой проблеме, подробно изложенный в литературном обзоре. В соответствии с целью работы определены критерии включения, задачи исследования, материалы и необходимые методы исследования. </w:t>
      </w:r>
      <w:r w:rsidR="009E5179" w:rsidRPr="009114DF">
        <w:rPr>
          <w:rFonts w:ascii="Times New Roman" w:hAnsi="Times New Roman"/>
          <w:sz w:val="28"/>
          <w:szCs w:val="28"/>
        </w:rPr>
        <w:t xml:space="preserve">На базе </w:t>
      </w:r>
      <w:r w:rsidR="00234B6E" w:rsidRPr="009114DF">
        <w:rPr>
          <w:rFonts w:ascii="Times New Roman" w:hAnsi="Times New Roman"/>
          <w:sz w:val="28"/>
          <w:szCs w:val="28"/>
        </w:rPr>
        <w:t xml:space="preserve">Областного клинического госпиталя для ветеранов войн </w:t>
      </w:r>
      <w:r w:rsidR="009E5179" w:rsidRPr="009114DF">
        <w:rPr>
          <w:rFonts w:ascii="Times New Roman" w:hAnsi="Times New Roman"/>
          <w:sz w:val="28"/>
          <w:szCs w:val="28"/>
        </w:rPr>
        <w:t>автором проводилось стационарное ведение и амбулаторное консультирование включенных в исследование пациентов с их комплексным ежегодным обследован</w:t>
      </w:r>
      <w:r w:rsidR="00234B6E" w:rsidRPr="009114DF">
        <w:rPr>
          <w:rFonts w:ascii="Times New Roman" w:hAnsi="Times New Roman"/>
          <w:sz w:val="28"/>
          <w:szCs w:val="28"/>
        </w:rPr>
        <w:t>ием, физикальным осмотром, за</w:t>
      </w:r>
      <w:r w:rsidR="009E5179" w:rsidRPr="009114DF">
        <w:rPr>
          <w:rFonts w:ascii="Times New Roman" w:hAnsi="Times New Roman"/>
          <w:sz w:val="28"/>
          <w:szCs w:val="28"/>
        </w:rPr>
        <w:t xml:space="preserve">полнением историй болезней, </w:t>
      </w:r>
      <w:r w:rsidR="00234B6E" w:rsidRPr="009114DF">
        <w:rPr>
          <w:rFonts w:ascii="Times New Roman" w:hAnsi="Times New Roman"/>
          <w:sz w:val="28"/>
          <w:szCs w:val="28"/>
        </w:rPr>
        <w:t>тематических карт, анкетировани</w:t>
      </w:r>
      <w:r w:rsidR="009E5179" w:rsidRPr="009114DF">
        <w:rPr>
          <w:rFonts w:ascii="Times New Roman" w:hAnsi="Times New Roman"/>
          <w:sz w:val="28"/>
          <w:szCs w:val="28"/>
        </w:rPr>
        <w:t xml:space="preserve">ем. </w:t>
      </w:r>
    </w:p>
    <w:p w:rsidR="009E5179" w:rsidRPr="009114DF" w:rsidRDefault="00234B6E" w:rsidP="009E5179">
      <w:pPr>
        <w:tabs>
          <w:tab w:val="left" w:pos="709"/>
        </w:tabs>
        <w:suppressAutoHyphens/>
        <w:spacing w:before="240" w:line="360" w:lineRule="auto"/>
        <w:contextualSpacing/>
        <w:jc w:val="both"/>
        <w:rPr>
          <w:rFonts w:ascii="Times New Roman" w:hAnsi="Times New Roman"/>
          <w:sz w:val="28"/>
          <w:szCs w:val="28"/>
        </w:rPr>
      </w:pPr>
      <w:r w:rsidRPr="009114DF">
        <w:rPr>
          <w:rFonts w:ascii="Times New Roman" w:hAnsi="Times New Roman"/>
          <w:sz w:val="28"/>
          <w:szCs w:val="28"/>
        </w:rPr>
        <w:tab/>
      </w:r>
      <w:r w:rsidR="009E5179" w:rsidRPr="009114DF">
        <w:rPr>
          <w:rFonts w:ascii="Times New Roman" w:hAnsi="Times New Roman"/>
          <w:sz w:val="28"/>
          <w:szCs w:val="28"/>
        </w:rPr>
        <w:t xml:space="preserve">Создана специальная электронная база данных </w:t>
      </w:r>
      <w:r w:rsidRPr="009114DF">
        <w:rPr>
          <w:rFonts w:ascii="Times New Roman" w:hAnsi="Times New Roman"/>
          <w:sz w:val="28"/>
          <w:szCs w:val="28"/>
        </w:rPr>
        <w:t>79</w:t>
      </w:r>
      <w:r w:rsidR="009E5179" w:rsidRPr="009114DF">
        <w:rPr>
          <w:rFonts w:ascii="Times New Roman" w:hAnsi="Times New Roman"/>
          <w:sz w:val="28"/>
          <w:szCs w:val="28"/>
        </w:rPr>
        <w:t xml:space="preserve"> пациентов с основными показателями клинико-лабораторной активности, рентгенологической динамики, функционального статуса и качества жизни больных </w:t>
      </w:r>
      <w:r w:rsidRPr="009114DF">
        <w:rPr>
          <w:rFonts w:ascii="Times New Roman" w:hAnsi="Times New Roman"/>
          <w:sz w:val="28"/>
          <w:szCs w:val="28"/>
        </w:rPr>
        <w:t>по результатам четырехлетнего наблюдения</w:t>
      </w:r>
      <w:r w:rsidR="009E5179" w:rsidRPr="009114DF">
        <w:rPr>
          <w:rFonts w:ascii="Times New Roman" w:hAnsi="Times New Roman"/>
          <w:sz w:val="28"/>
          <w:szCs w:val="28"/>
        </w:rPr>
        <w:t xml:space="preserve">. </w:t>
      </w:r>
    </w:p>
    <w:p w:rsidR="00ED5086" w:rsidRPr="009114DF" w:rsidRDefault="00234B6E" w:rsidP="009E5179">
      <w:pPr>
        <w:tabs>
          <w:tab w:val="left" w:pos="709"/>
        </w:tabs>
        <w:suppressAutoHyphens/>
        <w:spacing w:before="240" w:line="360" w:lineRule="auto"/>
        <w:contextualSpacing/>
        <w:jc w:val="both"/>
        <w:rPr>
          <w:rFonts w:ascii="Times New Roman" w:hAnsi="Times New Roman"/>
          <w:sz w:val="28"/>
          <w:szCs w:val="28"/>
        </w:rPr>
      </w:pPr>
      <w:r w:rsidRPr="009114DF">
        <w:rPr>
          <w:rFonts w:ascii="Times New Roman" w:hAnsi="Times New Roman"/>
          <w:sz w:val="28"/>
          <w:szCs w:val="28"/>
        </w:rPr>
        <w:tab/>
      </w:r>
      <w:r w:rsidR="009E5179" w:rsidRPr="009114DF">
        <w:rPr>
          <w:rFonts w:ascii="Times New Roman" w:hAnsi="Times New Roman"/>
          <w:sz w:val="28"/>
          <w:szCs w:val="28"/>
        </w:rPr>
        <w:t xml:space="preserve">Полученные результаты проанализированы, обсуждены, сопоставлены с данными научной литературы, на основании чего сформулированы выводы и практические рекомендации. Основные результаты исследования обсуждены в публикациях и устных докладах. </w:t>
      </w:r>
    </w:p>
    <w:p w:rsidR="00097064" w:rsidRPr="009114DF" w:rsidRDefault="00ED5086" w:rsidP="00ED5086">
      <w:pPr>
        <w:tabs>
          <w:tab w:val="left" w:pos="709"/>
        </w:tabs>
        <w:suppressAutoHyphens/>
        <w:spacing w:before="100" w:beforeAutospacing="1" w:line="360" w:lineRule="auto"/>
        <w:jc w:val="both"/>
        <w:rPr>
          <w:rFonts w:ascii="Times New Roman" w:hAnsi="Times New Roman"/>
          <w:sz w:val="28"/>
          <w:szCs w:val="28"/>
        </w:rPr>
      </w:pPr>
      <w:r w:rsidRPr="009114DF">
        <w:rPr>
          <w:rFonts w:ascii="Times New Roman" w:hAnsi="Times New Roman"/>
          <w:sz w:val="28"/>
          <w:szCs w:val="28"/>
        </w:rPr>
        <w:lastRenderedPageBreak/>
        <w:tab/>
      </w:r>
      <w:r w:rsidR="00097064" w:rsidRPr="009114DF">
        <w:rPr>
          <w:rFonts w:ascii="Times New Roman" w:hAnsi="Times New Roman"/>
          <w:sz w:val="28"/>
          <w:szCs w:val="28"/>
        </w:rPr>
        <w:t xml:space="preserve">Диссертантом изучены методы параметрической и непараметрической статистики, произведена тщательная статистическая обработка данных с применением программ MS Excel </w:t>
      </w:r>
      <w:r w:rsidR="00234B6E" w:rsidRPr="009114DF">
        <w:rPr>
          <w:rFonts w:ascii="Times New Roman" w:hAnsi="Times New Roman"/>
          <w:sz w:val="28"/>
          <w:szCs w:val="28"/>
        </w:rPr>
        <w:t xml:space="preserve">2010 и </w:t>
      </w:r>
      <w:r w:rsidR="0011783C" w:rsidRPr="009114DF">
        <w:rPr>
          <w:rFonts w:ascii="Times New Roman" w:eastAsia="Times New Roman" w:hAnsi="Times New Roman"/>
          <w:sz w:val="28"/>
          <w:szCs w:val="28"/>
          <w:lang w:eastAsia="ru-RU"/>
        </w:rPr>
        <w:t>Statistica версии 6.1 (StatSoft, США) для Windows.</w:t>
      </w:r>
    </w:p>
    <w:p w:rsidR="00097064" w:rsidRPr="009114DF" w:rsidRDefault="009D7C22" w:rsidP="00ED5086">
      <w:pPr>
        <w:spacing w:before="200" w:after="0" w:line="360" w:lineRule="auto"/>
        <w:ind w:firstLine="709"/>
        <w:jc w:val="center"/>
        <w:rPr>
          <w:rFonts w:ascii="Times New Roman" w:hAnsi="Times New Roman"/>
          <w:b/>
          <w:sz w:val="28"/>
          <w:szCs w:val="28"/>
        </w:rPr>
      </w:pPr>
      <w:r w:rsidRPr="009114DF">
        <w:rPr>
          <w:rFonts w:ascii="Times New Roman" w:hAnsi="Times New Roman"/>
          <w:b/>
          <w:sz w:val="28"/>
          <w:szCs w:val="28"/>
        </w:rPr>
        <w:t>В</w:t>
      </w:r>
      <w:r w:rsidR="00ED5086" w:rsidRPr="009114DF">
        <w:rPr>
          <w:rFonts w:ascii="Times New Roman" w:hAnsi="Times New Roman"/>
          <w:b/>
          <w:sz w:val="28"/>
          <w:szCs w:val="28"/>
        </w:rPr>
        <w:t>недрение результатов в практику</w:t>
      </w:r>
    </w:p>
    <w:p w:rsidR="009D7C22" w:rsidRPr="009114DF" w:rsidRDefault="00ED5086" w:rsidP="00ED5086">
      <w:pPr>
        <w:tabs>
          <w:tab w:val="left" w:pos="709"/>
        </w:tabs>
        <w:suppressAutoHyphens/>
        <w:spacing w:line="360" w:lineRule="auto"/>
        <w:jc w:val="both"/>
        <w:rPr>
          <w:rFonts w:ascii="Times New Roman" w:hAnsi="Times New Roman"/>
          <w:spacing w:val="-4"/>
          <w:sz w:val="28"/>
          <w:szCs w:val="28"/>
        </w:rPr>
      </w:pPr>
      <w:r w:rsidRPr="009114DF">
        <w:rPr>
          <w:rFonts w:ascii="Times New Roman" w:hAnsi="Times New Roman"/>
          <w:sz w:val="28"/>
          <w:szCs w:val="28"/>
        </w:rPr>
        <w:tab/>
      </w:r>
      <w:r w:rsidR="009D7C22" w:rsidRPr="009114DF">
        <w:rPr>
          <w:rFonts w:ascii="Times New Roman" w:hAnsi="Times New Roman"/>
          <w:sz w:val="28"/>
          <w:szCs w:val="28"/>
        </w:rPr>
        <w:t>Основные положения диссертации включены в материалы лекционных курсов и программ семинарских и практических занятий для обучения на циклах общего усовершенствования по специальн</w:t>
      </w:r>
      <w:r w:rsidR="005E26FD" w:rsidRPr="009114DF">
        <w:rPr>
          <w:rFonts w:ascii="Times New Roman" w:hAnsi="Times New Roman"/>
          <w:sz w:val="28"/>
          <w:szCs w:val="28"/>
        </w:rPr>
        <w:t>ост</w:t>
      </w:r>
      <w:r w:rsidR="00CD2EDC" w:rsidRPr="009114DF">
        <w:rPr>
          <w:rFonts w:ascii="Times New Roman" w:hAnsi="Times New Roman"/>
          <w:sz w:val="28"/>
          <w:szCs w:val="28"/>
        </w:rPr>
        <w:t>ям</w:t>
      </w:r>
      <w:r w:rsidR="005E26FD" w:rsidRPr="009114DF">
        <w:rPr>
          <w:rFonts w:ascii="Times New Roman" w:hAnsi="Times New Roman"/>
          <w:sz w:val="28"/>
          <w:szCs w:val="28"/>
        </w:rPr>
        <w:t xml:space="preserve"> «Терапия», «Ревматология», </w:t>
      </w:r>
      <w:r w:rsidR="009D7C22" w:rsidRPr="009114DF">
        <w:rPr>
          <w:rFonts w:ascii="Times New Roman" w:hAnsi="Times New Roman"/>
          <w:sz w:val="28"/>
          <w:szCs w:val="28"/>
        </w:rPr>
        <w:t xml:space="preserve"> профессиональной переподготовки по специальност</w:t>
      </w:r>
      <w:r w:rsidR="00CD2EDC" w:rsidRPr="009114DF">
        <w:rPr>
          <w:rFonts w:ascii="Times New Roman" w:hAnsi="Times New Roman"/>
          <w:sz w:val="28"/>
          <w:szCs w:val="28"/>
        </w:rPr>
        <w:t>ям</w:t>
      </w:r>
      <w:r w:rsidR="009D7C22" w:rsidRPr="009114DF">
        <w:rPr>
          <w:rFonts w:ascii="Times New Roman" w:hAnsi="Times New Roman"/>
          <w:sz w:val="28"/>
          <w:szCs w:val="28"/>
        </w:rPr>
        <w:t xml:space="preserve"> «Терапия», «Ревматология» на кафедре пропедевтики внутренних болезней</w:t>
      </w:r>
      <w:r w:rsidR="005E26FD" w:rsidRPr="009114DF">
        <w:rPr>
          <w:rFonts w:ascii="Times New Roman" w:hAnsi="Times New Roman"/>
          <w:sz w:val="28"/>
          <w:szCs w:val="28"/>
        </w:rPr>
        <w:t xml:space="preserve"> ГБОУ ВПО </w:t>
      </w:r>
      <w:r w:rsidR="00CD2EDC" w:rsidRPr="009114DF">
        <w:rPr>
          <w:rFonts w:ascii="Times New Roman" w:hAnsi="Times New Roman"/>
          <w:spacing w:val="-4"/>
          <w:sz w:val="28"/>
          <w:szCs w:val="28"/>
        </w:rPr>
        <w:t>«</w:t>
      </w:r>
      <w:r w:rsidR="005E26FD" w:rsidRPr="009114DF">
        <w:rPr>
          <w:rFonts w:ascii="Times New Roman" w:hAnsi="Times New Roman"/>
          <w:spacing w:val="-4"/>
          <w:sz w:val="28"/>
          <w:szCs w:val="28"/>
        </w:rPr>
        <w:t>КемГМА</w:t>
      </w:r>
      <w:r w:rsidR="00CD2EDC" w:rsidRPr="009114DF">
        <w:rPr>
          <w:rFonts w:ascii="Times New Roman" w:hAnsi="Times New Roman"/>
          <w:spacing w:val="-4"/>
          <w:sz w:val="28"/>
          <w:szCs w:val="28"/>
        </w:rPr>
        <w:t>»</w:t>
      </w:r>
      <w:r w:rsidR="005E26FD" w:rsidRPr="009114DF">
        <w:rPr>
          <w:rFonts w:ascii="Times New Roman" w:hAnsi="Times New Roman"/>
          <w:spacing w:val="-4"/>
          <w:sz w:val="28"/>
          <w:szCs w:val="28"/>
        </w:rPr>
        <w:t xml:space="preserve"> и</w:t>
      </w:r>
      <w:r w:rsidR="009D7C22" w:rsidRPr="009114DF">
        <w:rPr>
          <w:rFonts w:ascii="Times New Roman" w:hAnsi="Times New Roman"/>
          <w:spacing w:val="-4"/>
          <w:sz w:val="28"/>
          <w:szCs w:val="28"/>
        </w:rPr>
        <w:t xml:space="preserve"> </w:t>
      </w:r>
      <w:r w:rsidR="005E26FD" w:rsidRPr="009114DF">
        <w:rPr>
          <w:rFonts w:ascii="Times New Roman" w:hAnsi="Times New Roman"/>
          <w:spacing w:val="-4"/>
          <w:sz w:val="28"/>
          <w:szCs w:val="28"/>
        </w:rPr>
        <w:t>профессиональной переподготовки по специальности «Терапия»</w:t>
      </w:r>
      <w:r w:rsidR="00B412B0" w:rsidRPr="009114DF">
        <w:rPr>
          <w:rFonts w:ascii="Times New Roman" w:hAnsi="Times New Roman"/>
          <w:spacing w:val="-4"/>
          <w:sz w:val="28"/>
          <w:szCs w:val="28"/>
        </w:rPr>
        <w:t>.</w:t>
      </w:r>
      <w:r w:rsidR="00B412B0" w:rsidRPr="009114DF">
        <w:rPr>
          <w:rFonts w:ascii="Times New Roman" w:hAnsi="Times New Roman"/>
          <w:spacing w:val="-12"/>
          <w:sz w:val="28"/>
          <w:szCs w:val="28"/>
          <w:lang w:eastAsia="ru-RU"/>
        </w:rPr>
        <w:t xml:space="preserve"> </w:t>
      </w:r>
      <w:r w:rsidR="00B412B0" w:rsidRPr="009114DF">
        <w:rPr>
          <w:rFonts w:ascii="Times New Roman" w:hAnsi="Times New Roman"/>
          <w:spacing w:val="-4"/>
          <w:sz w:val="28"/>
          <w:szCs w:val="28"/>
        </w:rPr>
        <w:t xml:space="preserve">Результаты исследования внедрены в работу ГАУЗ </w:t>
      </w:r>
      <w:proofErr w:type="gramStart"/>
      <w:r w:rsidR="00B412B0" w:rsidRPr="009114DF">
        <w:rPr>
          <w:rFonts w:ascii="Times New Roman" w:hAnsi="Times New Roman"/>
          <w:spacing w:val="-4"/>
          <w:sz w:val="28"/>
          <w:szCs w:val="28"/>
        </w:rPr>
        <w:t>КО</w:t>
      </w:r>
      <w:proofErr w:type="gramEnd"/>
      <w:r w:rsidR="00B412B0" w:rsidRPr="009114DF">
        <w:rPr>
          <w:rFonts w:ascii="Times New Roman" w:hAnsi="Times New Roman"/>
          <w:spacing w:val="-4"/>
          <w:sz w:val="28"/>
          <w:szCs w:val="28"/>
        </w:rPr>
        <w:t xml:space="preserve"> «Областной клинический госпиталь для ветеранов войн», г. Кемерово.</w:t>
      </w:r>
    </w:p>
    <w:p w:rsidR="00097064" w:rsidRPr="009114DF" w:rsidRDefault="009D7C22" w:rsidP="00ED5086">
      <w:pPr>
        <w:spacing w:after="0" w:line="360" w:lineRule="auto"/>
        <w:ind w:firstLine="709"/>
        <w:jc w:val="center"/>
        <w:rPr>
          <w:rFonts w:ascii="Times New Roman" w:hAnsi="Times New Roman"/>
          <w:b/>
          <w:sz w:val="28"/>
          <w:szCs w:val="28"/>
        </w:rPr>
      </w:pPr>
      <w:r w:rsidRPr="009114DF">
        <w:rPr>
          <w:rFonts w:ascii="Times New Roman" w:hAnsi="Times New Roman"/>
          <w:b/>
          <w:sz w:val="28"/>
          <w:szCs w:val="28"/>
        </w:rPr>
        <w:t>А</w:t>
      </w:r>
      <w:r w:rsidR="00ED5086" w:rsidRPr="009114DF">
        <w:rPr>
          <w:rFonts w:ascii="Times New Roman" w:hAnsi="Times New Roman"/>
          <w:b/>
          <w:sz w:val="28"/>
          <w:szCs w:val="28"/>
        </w:rPr>
        <w:t>пробация материалов диссертации</w:t>
      </w:r>
    </w:p>
    <w:p w:rsidR="009D7C22" w:rsidRPr="009114DF" w:rsidRDefault="009D7C22" w:rsidP="00ED5086">
      <w:pPr>
        <w:spacing w:line="360" w:lineRule="auto"/>
        <w:ind w:firstLine="709"/>
        <w:jc w:val="both"/>
        <w:rPr>
          <w:rFonts w:ascii="Times New Roman" w:hAnsi="Times New Roman"/>
          <w:spacing w:val="3"/>
          <w:sz w:val="28"/>
          <w:szCs w:val="28"/>
        </w:rPr>
      </w:pPr>
      <w:r w:rsidRPr="009114DF">
        <w:rPr>
          <w:rFonts w:ascii="Times New Roman" w:hAnsi="Times New Roman"/>
          <w:spacing w:val="3"/>
          <w:sz w:val="28"/>
          <w:szCs w:val="28"/>
        </w:rPr>
        <w:t>Результаты исследования доложены на межрегиональных научно-практических конференциях «Проблемы медицины и биологии» (Кемерово, 2011, 2012, 2013, 2014),</w:t>
      </w:r>
      <w:r w:rsidR="00ED5086" w:rsidRPr="009114DF">
        <w:rPr>
          <w:rFonts w:ascii="Times New Roman" w:hAnsi="Times New Roman"/>
          <w:spacing w:val="3"/>
          <w:sz w:val="28"/>
          <w:szCs w:val="28"/>
        </w:rPr>
        <w:t xml:space="preserve"> </w:t>
      </w:r>
      <w:r w:rsidR="00B268CC" w:rsidRPr="009114DF">
        <w:rPr>
          <w:rFonts w:ascii="Times New Roman" w:hAnsi="Times New Roman"/>
          <w:spacing w:val="3"/>
          <w:sz w:val="28"/>
          <w:szCs w:val="28"/>
        </w:rPr>
        <w:t xml:space="preserve">II Всероссийском конгрессе ревматологов России (Ярославль, 2011), </w:t>
      </w:r>
      <w:r w:rsidRPr="009114DF">
        <w:rPr>
          <w:rFonts w:ascii="Times New Roman" w:hAnsi="Times New Roman"/>
          <w:spacing w:val="3"/>
          <w:sz w:val="28"/>
          <w:szCs w:val="28"/>
        </w:rPr>
        <w:t>Евразийском конгрессе ревматологов «APLAR 2012» (Иорда</w:t>
      </w:r>
      <w:r w:rsidR="00800CFB" w:rsidRPr="009114DF">
        <w:rPr>
          <w:rFonts w:ascii="Times New Roman" w:hAnsi="Times New Roman"/>
          <w:spacing w:val="3"/>
          <w:sz w:val="28"/>
          <w:szCs w:val="28"/>
        </w:rPr>
        <w:t>ния, 2012),</w:t>
      </w:r>
      <w:r w:rsidR="00ED5086" w:rsidRPr="009114DF">
        <w:rPr>
          <w:rFonts w:ascii="Times New Roman" w:hAnsi="Times New Roman"/>
          <w:spacing w:val="3"/>
          <w:sz w:val="28"/>
          <w:szCs w:val="28"/>
        </w:rPr>
        <w:t xml:space="preserve"> </w:t>
      </w:r>
      <w:r w:rsidR="00800CFB" w:rsidRPr="009114DF">
        <w:rPr>
          <w:rFonts w:ascii="Times New Roman" w:hAnsi="Times New Roman"/>
          <w:spacing w:val="3"/>
          <w:sz w:val="28"/>
          <w:szCs w:val="28"/>
        </w:rPr>
        <w:t>VII Всероссийской</w:t>
      </w:r>
      <w:r w:rsidRPr="009114DF">
        <w:rPr>
          <w:rFonts w:ascii="Times New Roman" w:hAnsi="Times New Roman"/>
          <w:spacing w:val="3"/>
          <w:sz w:val="28"/>
          <w:szCs w:val="28"/>
        </w:rPr>
        <w:t xml:space="preserve"> конференци</w:t>
      </w:r>
      <w:r w:rsidR="00CD2EDC" w:rsidRPr="009114DF">
        <w:rPr>
          <w:rFonts w:ascii="Times New Roman" w:hAnsi="Times New Roman"/>
          <w:spacing w:val="3"/>
          <w:sz w:val="28"/>
          <w:szCs w:val="28"/>
        </w:rPr>
        <w:t>и</w:t>
      </w:r>
      <w:r w:rsidRPr="009114DF">
        <w:rPr>
          <w:rFonts w:ascii="Times New Roman" w:hAnsi="Times New Roman"/>
          <w:spacing w:val="3"/>
          <w:sz w:val="28"/>
          <w:szCs w:val="28"/>
        </w:rPr>
        <w:t xml:space="preserve"> </w:t>
      </w:r>
      <w:r w:rsidR="00CD2EDC" w:rsidRPr="009114DF">
        <w:rPr>
          <w:rFonts w:ascii="Times New Roman" w:hAnsi="Times New Roman"/>
          <w:spacing w:val="3"/>
          <w:sz w:val="28"/>
          <w:szCs w:val="28"/>
        </w:rPr>
        <w:t>«Р</w:t>
      </w:r>
      <w:r w:rsidRPr="009114DF">
        <w:rPr>
          <w:rFonts w:ascii="Times New Roman" w:hAnsi="Times New Roman"/>
          <w:spacing w:val="3"/>
          <w:sz w:val="28"/>
          <w:szCs w:val="28"/>
        </w:rPr>
        <w:t>евматолог</w:t>
      </w:r>
      <w:r w:rsidR="00CD2EDC" w:rsidRPr="009114DF">
        <w:rPr>
          <w:rFonts w:ascii="Times New Roman" w:hAnsi="Times New Roman"/>
          <w:spacing w:val="3"/>
          <w:sz w:val="28"/>
          <w:szCs w:val="28"/>
        </w:rPr>
        <w:t>ия в реальной клинической практике»</w:t>
      </w:r>
      <w:r w:rsidRPr="009114DF">
        <w:rPr>
          <w:rFonts w:ascii="Times New Roman" w:hAnsi="Times New Roman"/>
          <w:spacing w:val="3"/>
          <w:sz w:val="28"/>
          <w:szCs w:val="28"/>
        </w:rPr>
        <w:t xml:space="preserve"> (Вл</w:t>
      </w:r>
      <w:r w:rsidR="00800CFB" w:rsidRPr="009114DF">
        <w:rPr>
          <w:rFonts w:ascii="Times New Roman" w:hAnsi="Times New Roman"/>
          <w:spacing w:val="3"/>
          <w:sz w:val="28"/>
          <w:szCs w:val="28"/>
        </w:rPr>
        <w:t>адимир, 2012),  I Евразийском</w:t>
      </w:r>
      <w:r w:rsidRPr="009114DF">
        <w:rPr>
          <w:rFonts w:ascii="Times New Roman" w:hAnsi="Times New Roman"/>
          <w:spacing w:val="3"/>
          <w:sz w:val="28"/>
          <w:szCs w:val="28"/>
        </w:rPr>
        <w:t xml:space="preserve"> </w:t>
      </w:r>
      <w:r w:rsidR="00CD2EDC" w:rsidRPr="009114DF">
        <w:rPr>
          <w:rFonts w:ascii="Times New Roman" w:hAnsi="Times New Roman"/>
          <w:spacing w:val="3"/>
          <w:sz w:val="28"/>
          <w:szCs w:val="28"/>
        </w:rPr>
        <w:t>к</w:t>
      </w:r>
      <w:r w:rsidRPr="009114DF">
        <w:rPr>
          <w:rFonts w:ascii="Times New Roman" w:hAnsi="Times New Roman"/>
          <w:spacing w:val="3"/>
          <w:sz w:val="28"/>
          <w:szCs w:val="28"/>
        </w:rPr>
        <w:t>онгресс</w:t>
      </w:r>
      <w:r w:rsidR="00800CFB" w:rsidRPr="009114DF">
        <w:rPr>
          <w:rFonts w:ascii="Times New Roman" w:hAnsi="Times New Roman"/>
          <w:spacing w:val="3"/>
          <w:sz w:val="28"/>
          <w:szCs w:val="28"/>
        </w:rPr>
        <w:t>е</w:t>
      </w:r>
      <w:r w:rsidR="00ED5086" w:rsidRPr="009114DF">
        <w:rPr>
          <w:rFonts w:ascii="Times New Roman" w:hAnsi="Times New Roman"/>
          <w:spacing w:val="3"/>
          <w:sz w:val="28"/>
          <w:szCs w:val="28"/>
        </w:rPr>
        <w:t xml:space="preserve"> </w:t>
      </w:r>
      <w:r w:rsidR="00CD2EDC" w:rsidRPr="009114DF">
        <w:rPr>
          <w:rFonts w:ascii="Times New Roman" w:hAnsi="Times New Roman"/>
          <w:spacing w:val="3"/>
          <w:sz w:val="28"/>
          <w:szCs w:val="28"/>
        </w:rPr>
        <w:t>р</w:t>
      </w:r>
      <w:r w:rsidRPr="009114DF">
        <w:rPr>
          <w:rFonts w:ascii="Times New Roman" w:hAnsi="Times New Roman"/>
          <w:spacing w:val="3"/>
          <w:sz w:val="28"/>
          <w:szCs w:val="28"/>
        </w:rPr>
        <w:t>евматологов (Алматы, 2012)</w:t>
      </w:r>
      <w:r w:rsidR="0058217E" w:rsidRPr="009114DF">
        <w:rPr>
          <w:rFonts w:ascii="Times New Roman" w:hAnsi="Times New Roman"/>
          <w:spacing w:val="3"/>
          <w:sz w:val="28"/>
          <w:szCs w:val="28"/>
        </w:rPr>
        <w:t>,</w:t>
      </w:r>
      <w:r w:rsidRPr="009114DF">
        <w:rPr>
          <w:rFonts w:ascii="Times New Roman" w:hAnsi="Times New Roman"/>
          <w:spacing w:val="3"/>
          <w:sz w:val="28"/>
          <w:szCs w:val="28"/>
        </w:rPr>
        <w:t xml:space="preserve"> VI Съезд</w:t>
      </w:r>
      <w:r w:rsidR="00800CFB" w:rsidRPr="009114DF">
        <w:rPr>
          <w:rFonts w:ascii="Times New Roman" w:hAnsi="Times New Roman"/>
          <w:spacing w:val="3"/>
          <w:sz w:val="28"/>
          <w:szCs w:val="28"/>
        </w:rPr>
        <w:t>е</w:t>
      </w:r>
      <w:r w:rsidRPr="009114DF">
        <w:rPr>
          <w:rFonts w:ascii="Times New Roman" w:hAnsi="Times New Roman"/>
          <w:spacing w:val="3"/>
          <w:sz w:val="28"/>
          <w:szCs w:val="28"/>
        </w:rPr>
        <w:t xml:space="preserve"> ревматологов России (Москва, 2013),</w:t>
      </w:r>
      <w:r w:rsidR="00CD2EDC" w:rsidRPr="009114DF">
        <w:rPr>
          <w:rFonts w:ascii="Times New Roman" w:hAnsi="Times New Roman"/>
          <w:spacing w:val="3"/>
          <w:sz w:val="28"/>
          <w:szCs w:val="28"/>
        </w:rPr>
        <w:br/>
      </w:r>
      <w:r w:rsidRPr="009114DF">
        <w:rPr>
          <w:rFonts w:ascii="Times New Roman" w:hAnsi="Times New Roman"/>
          <w:spacing w:val="3"/>
          <w:sz w:val="28"/>
          <w:szCs w:val="28"/>
        </w:rPr>
        <w:t xml:space="preserve">II </w:t>
      </w:r>
      <w:proofErr w:type="gramStart"/>
      <w:r w:rsidRPr="009114DF">
        <w:rPr>
          <w:rFonts w:ascii="Times New Roman" w:hAnsi="Times New Roman"/>
          <w:spacing w:val="3"/>
          <w:sz w:val="28"/>
          <w:szCs w:val="28"/>
        </w:rPr>
        <w:t>E</w:t>
      </w:r>
      <w:proofErr w:type="gramEnd"/>
      <w:r w:rsidRPr="009114DF">
        <w:rPr>
          <w:rFonts w:ascii="Times New Roman" w:hAnsi="Times New Roman"/>
          <w:spacing w:val="3"/>
          <w:sz w:val="28"/>
          <w:szCs w:val="28"/>
        </w:rPr>
        <w:t>вразийском конгрессе ревматологов (Москва, 2014), Европейском конгрессе по остеопорозу «WCO­IOF</w:t>
      </w:r>
      <w:r w:rsidR="005E26FD" w:rsidRPr="009114DF">
        <w:rPr>
          <w:rFonts w:ascii="Times New Roman" w:hAnsi="Times New Roman"/>
          <w:spacing w:val="3"/>
          <w:sz w:val="28"/>
          <w:szCs w:val="28"/>
        </w:rPr>
        <w:t>-ESCEO 2014» (Севилья, 2014.)</w:t>
      </w:r>
      <w:r w:rsidRPr="009114DF">
        <w:rPr>
          <w:rFonts w:ascii="Times New Roman" w:hAnsi="Times New Roman"/>
          <w:spacing w:val="3"/>
          <w:sz w:val="28"/>
          <w:szCs w:val="28"/>
        </w:rPr>
        <w:t xml:space="preserve"> и </w:t>
      </w:r>
      <w:proofErr w:type="gramStart"/>
      <w:r w:rsidRPr="009114DF">
        <w:rPr>
          <w:rFonts w:ascii="Times New Roman" w:hAnsi="Times New Roman"/>
          <w:spacing w:val="3"/>
          <w:sz w:val="28"/>
          <w:szCs w:val="28"/>
        </w:rPr>
        <w:t>заседании</w:t>
      </w:r>
      <w:proofErr w:type="gramEnd"/>
      <w:r w:rsidRPr="009114DF">
        <w:rPr>
          <w:rFonts w:ascii="Times New Roman" w:hAnsi="Times New Roman"/>
          <w:spacing w:val="3"/>
          <w:sz w:val="28"/>
          <w:szCs w:val="28"/>
        </w:rPr>
        <w:t xml:space="preserve"> проблемной комиссии по внутренним болезням ГБОУ ВПО </w:t>
      </w:r>
      <w:r w:rsidR="00CD2EDC" w:rsidRPr="009114DF">
        <w:rPr>
          <w:rFonts w:ascii="Times New Roman" w:hAnsi="Times New Roman"/>
          <w:spacing w:val="3"/>
          <w:sz w:val="28"/>
          <w:szCs w:val="28"/>
        </w:rPr>
        <w:t>«</w:t>
      </w:r>
      <w:r w:rsidRPr="009114DF">
        <w:rPr>
          <w:rFonts w:ascii="Times New Roman" w:hAnsi="Times New Roman"/>
          <w:spacing w:val="3"/>
          <w:sz w:val="28"/>
          <w:szCs w:val="28"/>
        </w:rPr>
        <w:t>КемГМА</w:t>
      </w:r>
      <w:r w:rsidR="00CD2EDC" w:rsidRPr="009114DF">
        <w:rPr>
          <w:rFonts w:ascii="Times New Roman" w:hAnsi="Times New Roman"/>
          <w:spacing w:val="3"/>
          <w:sz w:val="28"/>
          <w:szCs w:val="28"/>
        </w:rPr>
        <w:t>» (Кемерово, 2015)</w:t>
      </w:r>
      <w:r w:rsidRPr="009114DF">
        <w:rPr>
          <w:rFonts w:ascii="Times New Roman" w:hAnsi="Times New Roman"/>
          <w:spacing w:val="3"/>
          <w:sz w:val="28"/>
          <w:szCs w:val="28"/>
        </w:rPr>
        <w:t>.</w:t>
      </w:r>
    </w:p>
    <w:p w:rsidR="00097064" w:rsidRPr="009114DF" w:rsidRDefault="00ED5086" w:rsidP="00ED5086">
      <w:pPr>
        <w:spacing w:after="0" w:line="360" w:lineRule="auto"/>
        <w:ind w:firstLine="709"/>
        <w:jc w:val="center"/>
        <w:rPr>
          <w:rFonts w:ascii="Times New Roman" w:hAnsi="Times New Roman"/>
          <w:spacing w:val="3"/>
          <w:sz w:val="28"/>
          <w:szCs w:val="28"/>
        </w:rPr>
      </w:pPr>
      <w:r w:rsidRPr="009114DF">
        <w:rPr>
          <w:rFonts w:ascii="Times New Roman" w:hAnsi="Times New Roman"/>
          <w:b/>
          <w:spacing w:val="3"/>
          <w:sz w:val="28"/>
          <w:szCs w:val="28"/>
        </w:rPr>
        <w:t>Публикации</w:t>
      </w:r>
    </w:p>
    <w:p w:rsidR="009D7C22" w:rsidRPr="009114DF" w:rsidRDefault="009D7C22" w:rsidP="00F71B34">
      <w:pPr>
        <w:spacing w:line="360" w:lineRule="auto"/>
        <w:ind w:firstLine="709"/>
        <w:jc w:val="both"/>
        <w:rPr>
          <w:rFonts w:ascii="Times New Roman" w:hAnsi="Times New Roman"/>
          <w:spacing w:val="3"/>
          <w:sz w:val="28"/>
          <w:szCs w:val="28"/>
        </w:rPr>
      </w:pPr>
      <w:r w:rsidRPr="009114DF">
        <w:rPr>
          <w:rFonts w:ascii="Times New Roman" w:hAnsi="Times New Roman"/>
          <w:spacing w:val="3"/>
          <w:sz w:val="28"/>
          <w:szCs w:val="28"/>
        </w:rPr>
        <w:t>По материалам диссертации о</w:t>
      </w:r>
      <w:r w:rsidR="00286B0D">
        <w:rPr>
          <w:rFonts w:ascii="Times New Roman" w:hAnsi="Times New Roman"/>
          <w:spacing w:val="3"/>
          <w:sz w:val="28"/>
          <w:szCs w:val="28"/>
        </w:rPr>
        <w:t>публиковано 5</w:t>
      </w:r>
      <w:r w:rsidRPr="009114DF">
        <w:rPr>
          <w:rFonts w:ascii="Times New Roman" w:hAnsi="Times New Roman"/>
          <w:spacing w:val="3"/>
          <w:sz w:val="28"/>
          <w:szCs w:val="28"/>
        </w:rPr>
        <w:t xml:space="preserve"> стат</w:t>
      </w:r>
      <w:r w:rsidR="00CD2EDC" w:rsidRPr="009114DF">
        <w:rPr>
          <w:rFonts w:ascii="Times New Roman" w:hAnsi="Times New Roman"/>
          <w:spacing w:val="3"/>
          <w:sz w:val="28"/>
          <w:szCs w:val="28"/>
        </w:rPr>
        <w:t>ь</w:t>
      </w:r>
      <w:r w:rsidR="00286B0D">
        <w:rPr>
          <w:rFonts w:ascii="Times New Roman" w:hAnsi="Times New Roman"/>
          <w:spacing w:val="3"/>
          <w:sz w:val="28"/>
          <w:szCs w:val="28"/>
        </w:rPr>
        <w:t>ей,</w:t>
      </w:r>
      <w:r w:rsidRPr="009114DF">
        <w:rPr>
          <w:rFonts w:ascii="Times New Roman" w:hAnsi="Times New Roman"/>
          <w:spacing w:val="3"/>
          <w:sz w:val="28"/>
          <w:szCs w:val="28"/>
        </w:rPr>
        <w:t xml:space="preserve"> из них 3</w:t>
      </w:r>
      <w:r w:rsidR="00CD2EDC" w:rsidRPr="009114DF">
        <w:rPr>
          <w:rFonts w:ascii="Times New Roman" w:hAnsi="Times New Roman"/>
          <w:spacing w:val="3"/>
          <w:sz w:val="28"/>
          <w:szCs w:val="28"/>
        </w:rPr>
        <w:t xml:space="preserve"> – </w:t>
      </w:r>
      <w:r w:rsidRPr="009114DF">
        <w:rPr>
          <w:rFonts w:ascii="Times New Roman" w:hAnsi="Times New Roman"/>
          <w:spacing w:val="3"/>
          <w:sz w:val="28"/>
          <w:szCs w:val="28"/>
        </w:rPr>
        <w:t xml:space="preserve">в журналах, рекомендованных Высшей аттестационной комиссией Российской </w:t>
      </w:r>
      <w:r w:rsidRPr="009114DF">
        <w:rPr>
          <w:rFonts w:ascii="Times New Roman" w:hAnsi="Times New Roman"/>
          <w:spacing w:val="3"/>
          <w:sz w:val="28"/>
          <w:szCs w:val="28"/>
        </w:rPr>
        <w:lastRenderedPageBreak/>
        <w:t>Федерации для публикации материалов диссертаций на соискание ученой степени кандидата наук</w:t>
      </w:r>
      <w:r w:rsidR="0052345F" w:rsidRPr="009114DF">
        <w:rPr>
          <w:rFonts w:ascii="Times New Roman" w:hAnsi="Times New Roman"/>
          <w:spacing w:val="3"/>
          <w:sz w:val="28"/>
          <w:szCs w:val="28"/>
        </w:rPr>
        <w:t>,</w:t>
      </w:r>
      <w:r w:rsidRPr="009114DF">
        <w:rPr>
          <w:rFonts w:ascii="Times New Roman" w:hAnsi="Times New Roman"/>
          <w:spacing w:val="3"/>
          <w:sz w:val="28"/>
          <w:szCs w:val="28"/>
        </w:rPr>
        <w:t xml:space="preserve"> и </w:t>
      </w:r>
      <w:r w:rsidR="00286B0D">
        <w:rPr>
          <w:rFonts w:ascii="Times New Roman" w:hAnsi="Times New Roman"/>
          <w:spacing w:val="3"/>
          <w:sz w:val="28"/>
          <w:szCs w:val="28"/>
        </w:rPr>
        <w:t>20</w:t>
      </w:r>
      <w:r w:rsidR="00670DC6" w:rsidRPr="009114DF">
        <w:rPr>
          <w:rFonts w:ascii="Times New Roman" w:hAnsi="Times New Roman"/>
          <w:spacing w:val="3"/>
          <w:sz w:val="28"/>
          <w:szCs w:val="28"/>
        </w:rPr>
        <w:t xml:space="preserve"> тезис</w:t>
      </w:r>
      <w:r w:rsidR="00286B0D">
        <w:rPr>
          <w:rFonts w:ascii="Times New Roman" w:hAnsi="Times New Roman"/>
          <w:spacing w:val="3"/>
          <w:sz w:val="28"/>
          <w:szCs w:val="28"/>
        </w:rPr>
        <w:t>ов</w:t>
      </w:r>
      <w:r w:rsidR="00E15AC7" w:rsidRPr="009114DF">
        <w:rPr>
          <w:rFonts w:ascii="Times New Roman" w:hAnsi="Times New Roman"/>
          <w:spacing w:val="3"/>
          <w:sz w:val="28"/>
          <w:szCs w:val="28"/>
        </w:rPr>
        <w:t>, из них 9</w:t>
      </w:r>
      <w:r w:rsidR="00CD2EDC" w:rsidRPr="009114DF">
        <w:rPr>
          <w:rFonts w:ascii="Times New Roman" w:hAnsi="Times New Roman"/>
          <w:spacing w:val="3"/>
          <w:sz w:val="28"/>
          <w:szCs w:val="28"/>
        </w:rPr>
        <w:t xml:space="preserve"> – </w:t>
      </w:r>
      <w:r w:rsidR="005E26FD" w:rsidRPr="009114DF">
        <w:rPr>
          <w:rFonts w:ascii="Times New Roman" w:hAnsi="Times New Roman"/>
          <w:spacing w:val="3"/>
          <w:sz w:val="28"/>
          <w:szCs w:val="28"/>
        </w:rPr>
        <w:t>в иностранной печати</w:t>
      </w:r>
      <w:r w:rsidRPr="009114DF">
        <w:rPr>
          <w:rFonts w:ascii="Times New Roman" w:hAnsi="Times New Roman"/>
          <w:spacing w:val="3"/>
          <w:sz w:val="28"/>
          <w:szCs w:val="28"/>
        </w:rPr>
        <w:t>.</w:t>
      </w:r>
    </w:p>
    <w:p w:rsidR="00097064" w:rsidRPr="009114DF" w:rsidRDefault="00ED5086" w:rsidP="00ED5086">
      <w:pPr>
        <w:spacing w:after="0" w:line="360" w:lineRule="auto"/>
        <w:ind w:firstLine="709"/>
        <w:jc w:val="center"/>
        <w:rPr>
          <w:rFonts w:ascii="Times New Roman" w:hAnsi="Times New Roman"/>
          <w:spacing w:val="3"/>
          <w:sz w:val="28"/>
          <w:szCs w:val="28"/>
        </w:rPr>
      </w:pPr>
      <w:r w:rsidRPr="009114DF">
        <w:rPr>
          <w:rFonts w:ascii="Times New Roman" w:hAnsi="Times New Roman"/>
          <w:b/>
          <w:spacing w:val="3"/>
          <w:sz w:val="28"/>
          <w:szCs w:val="28"/>
        </w:rPr>
        <w:t>Объем и структура диссертации</w:t>
      </w:r>
    </w:p>
    <w:p w:rsidR="009D7C22" w:rsidRPr="009114DF" w:rsidRDefault="009D7C22" w:rsidP="00F71B34">
      <w:pPr>
        <w:spacing w:line="360" w:lineRule="auto"/>
        <w:ind w:firstLine="709"/>
        <w:jc w:val="both"/>
        <w:rPr>
          <w:rFonts w:ascii="Times New Roman" w:hAnsi="Times New Roman"/>
          <w:spacing w:val="3"/>
          <w:sz w:val="28"/>
          <w:szCs w:val="28"/>
        </w:rPr>
      </w:pPr>
      <w:r w:rsidRPr="009114DF">
        <w:rPr>
          <w:rFonts w:ascii="Times New Roman" w:hAnsi="Times New Roman"/>
          <w:spacing w:val="3"/>
          <w:sz w:val="28"/>
          <w:szCs w:val="28"/>
        </w:rPr>
        <w:t>Диссертация изложена на</w:t>
      </w:r>
      <w:r w:rsidR="00ED5086" w:rsidRPr="009114DF">
        <w:rPr>
          <w:rFonts w:ascii="Times New Roman" w:hAnsi="Times New Roman"/>
          <w:spacing w:val="3"/>
          <w:sz w:val="28"/>
          <w:szCs w:val="28"/>
        </w:rPr>
        <w:t xml:space="preserve"> </w:t>
      </w:r>
      <w:r w:rsidRPr="009114DF">
        <w:rPr>
          <w:rFonts w:ascii="Times New Roman" w:hAnsi="Times New Roman"/>
          <w:spacing w:val="3"/>
          <w:sz w:val="28"/>
          <w:szCs w:val="28"/>
        </w:rPr>
        <w:t>1</w:t>
      </w:r>
      <w:r w:rsidR="009114DF" w:rsidRPr="009114DF">
        <w:rPr>
          <w:rFonts w:ascii="Times New Roman" w:hAnsi="Times New Roman"/>
          <w:spacing w:val="3"/>
          <w:sz w:val="28"/>
          <w:szCs w:val="28"/>
        </w:rPr>
        <w:t>36</w:t>
      </w:r>
      <w:r w:rsidRPr="009114DF">
        <w:rPr>
          <w:rFonts w:ascii="Times New Roman" w:hAnsi="Times New Roman"/>
          <w:spacing w:val="3"/>
          <w:sz w:val="28"/>
          <w:szCs w:val="28"/>
        </w:rPr>
        <w:t xml:space="preserve"> страницах машинописного текста и состоит из введения, аналитического обзора литературы, собственных исследований и их обсуждения, заключения, выводов, списка цитируемой литературы, включающего </w:t>
      </w:r>
      <w:r w:rsidR="003D3FC0" w:rsidRPr="009114DF">
        <w:rPr>
          <w:rFonts w:ascii="Times New Roman" w:hAnsi="Times New Roman"/>
          <w:spacing w:val="3"/>
          <w:sz w:val="28"/>
          <w:szCs w:val="28"/>
        </w:rPr>
        <w:t>2</w:t>
      </w:r>
      <w:r w:rsidR="000E152B" w:rsidRPr="009114DF">
        <w:rPr>
          <w:rFonts w:ascii="Times New Roman" w:hAnsi="Times New Roman"/>
          <w:spacing w:val="3"/>
          <w:sz w:val="28"/>
          <w:szCs w:val="28"/>
        </w:rPr>
        <w:t>12</w:t>
      </w:r>
      <w:r w:rsidRPr="009114DF">
        <w:rPr>
          <w:rFonts w:ascii="Times New Roman" w:hAnsi="Times New Roman"/>
          <w:spacing w:val="3"/>
          <w:sz w:val="28"/>
          <w:szCs w:val="28"/>
        </w:rPr>
        <w:t xml:space="preserve"> отечественных и</w:t>
      </w:r>
      <w:r w:rsidR="00B268CC" w:rsidRPr="009114DF">
        <w:rPr>
          <w:rFonts w:ascii="Times New Roman" w:hAnsi="Times New Roman"/>
          <w:spacing w:val="3"/>
          <w:sz w:val="28"/>
          <w:szCs w:val="28"/>
        </w:rPr>
        <w:t xml:space="preserve"> зарубежных источников</w:t>
      </w:r>
      <w:r w:rsidRPr="009114DF">
        <w:rPr>
          <w:rFonts w:ascii="Times New Roman" w:hAnsi="Times New Roman"/>
          <w:spacing w:val="3"/>
          <w:sz w:val="28"/>
          <w:szCs w:val="28"/>
        </w:rPr>
        <w:t>. Дис</w:t>
      </w:r>
      <w:r w:rsidR="009114DF" w:rsidRPr="009114DF">
        <w:rPr>
          <w:rFonts w:ascii="Times New Roman" w:hAnsi="Times New Roman"/>
          <w:spacing w:val="3"/>
          <w:sz w:val="28"/>
          <w:szCs w:val="28"/>
        </w:rPr>
        <w:t>сертация содержит 27</w:t>
      </w:r>
      <w:r w:rsidR="003D3FC0" w:rsidRPr="009114DF">
        <w:rPr>
          <w:rFonts w:ascii="Times New Roman" w:hAnsi="Times New Roman"/>
          <w:spacing w:val="3"/>
          <w:sz w:val="28"/>
          <w:szCs w:val="28"/>
        </w:rPr>
        <w:t xml:space="preserve"> таблиц, </w:t>
      </w:r>
      <w:r w:rsidR="00DE5A43" w:rsidRPr="009114DF">
        <w:rPr>
          <w:rFonts w:ascii="Times New Roman" w:hAnsi="Times New Roman"/>
          <w:spacing w:val="3"/>
          <w:sz w:val="28"/>
          <w:szCs w:val="28"/>
        </w:rPr>
        <w:t>1</w:t>
      </w:r>
      <w:r w:rsidR="009114DF" w:rsidRPr="009114DF">
        <w:rPr>
          <w:rFonts w:ascii="Times New Roman" w:hAnsi="Times New Roman"/>
          <w:spacing w:val="3"/>
          <w:sz w:val="28"/>
          <w:szCs w:val="28"/>
        </w:rPr>
        <w:t>7</w:t>
      </w:r>
      <w:r w:rsidRPr="009114DF">
        <w:rPr>
          <w:rFonts w:ascii="Times New Roman" w:hAnsi="Times New Roman"/>
          <w:spacing w:val="3"/>
          <w:sz w:val="28"/>
          <w:szCs w:val="28"/>
        </w:rPr>
        <w:t xml:space="preserve"> рисунков.</w:t>
      </w:r>
    </w:p>
    <w:p w:rsidR="009D7C22" w:rsidRPr="00F71B34" w:rsidRDefault="009D7C22" w:rsidP="00F71B34">
      <w:pPr>
        <w:spacing w:after="0" w:line="360" w:lineRule="auto"/>
        <w:contextualSpacing/>
        <w:jc w:val="both"/>
        <w:rPr>
          <w:rFonts w:ascii="Times New Roman" w:eastAsia="Times New Roman" w:hAnsi="Times New Roman"/>
          <w:b/>
          <w:sz w:val="28"/>
          <w:szCs w:val="28"/>
          <w:lang w:eastAsia="ru-RU"/>
        </w:rPr>
      </w:pPr>
    </w:p>
    <w:p w:rsidR="003D3FC0" w:rsidRDefault="003D3FC0"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Pr="00F71B34"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CF7FBB" w:rsidRDefault="00CF7FBB" w:rsidP="00E75561">
      <w:pPr>
        <w:tabs>
          <w:tab w:val="left" w:pos="0"/>
        </w:tabs>
        <w:spacing w:after="0" w:line="360" w:lineRule="auto"/>
        <w:ind w:firstLine="709"/>
        <w:jc w:val="center"/>
        <w:rPr>
          <w:rFonts w:ascii="Times New Roman" w:eastAsia="Times New Roman" w:hAnsi="Times New Roman"/>
          <w:b/>
          <w:color w:val="000000"/>
          <w:sz w:val="28"/>
          <w:szCs w:val="28"/>
          <w:lang w:eastAsia="ru-RU"/>
        </w:rPr>
      </w:pPr>
      <w:r w:rsidRPr="00F71B34">
        <w:rPr>
          <w:rFonts w:ascii="Times New Roman" w:eastAsia="Times New Roman" w:hAnsi="Times New Roman"/>
          <w:b/>
          <w:color w:val="000000"/>
          <w:sz w:val="28"/>
          <w:szCs w:val="28"/>
          <w:lang w:eastAsia="ru-RU"/>
        </w:rPr>
        <w:lastRenderedPageBreak/>
        <w:t xml:space="preserve">ГЛАВА </w:t>
      </w:r>
      <w:r w:rsidRPr="00F71B34">
        <w:rPr>
          <w:rFonts w:ascii="Times New Roman" w:eastAsia="Times New Roman" w:hAnsi="Times New Roman"/>
          <w:b/>
          <w:color w:val="000000"/>
          <w:sz w:val="28"/>
          <w:szCs w:val="28"/>
          <w:lang w:val="en-US" w:eastAsia="ru-RU"/>
        </w:rPr>
        <w:t>I</w:t>
      </w:r>
      <w:r w:rsidRPr="00F71B34">
        <w:rPr>
          <w:rFonts w:ascii="Times New Roman" w:eastAsia="Times New Roman" w:hAnsi="Times New Roman"/>
          <w:b/>
          <w:color w:val="000000"/>
          <w:sz w:val="28"/>
          <w:szCs w:val="28"/>
          <w:lang w:eastAsia="ru-RU"/>
        </w:rPr>
        <w:t>. СОСТОЯНИЕ МИНЕРАЛЬНОЙ ПЛОТНОСТИ КОСТИ У ЖЕНЩИН С РЕВМАТОИДН</w:t>
      </w:r>
      <w:r w:rsidR="00CD2EDC">
        <w:rPr>
          <w:rFonts w:ascii="Times New Roman" w:eastAsia="Times New Roman" w:hAnsi="Times New Roman"/>
          <w:b/>
          <w:color w:val="000000"/>
          <w:sz w:val="28"/>
          <w:szCs w:val="28"/>
          <w:lang w:eastAsia="ru-RU"/>
        </w:rPr>
        <w:t>ЫМ</w:t>
      </w:r>
      <w:r w:rsidRPr="00F71B34">
        <w:rPr>
          <w:rFonts w:ascii="Times New Roman" w:eastAsia="Times New Roman" w:hAnsi="Times New Roman"/>
          <w:b/>
          <w:color w:val="000000"/>
          <w:sz w:val="28"/>
          <w:szCs w:val="28"/>
          <w:lang w:eastAsia="ru-RU"/>
        </w:rPr>
        <w:t xml:space="preserve"> АРТРИТ</w:t>
      </w:r>
      <w:r w:rsidR="00CD2EDC">
        <w:rPr>
          <w:rFonts w:ascii="Times New Roman" w:eastAsia="Times New Roman" w:hAnsi="Times New Roman"/>
          <w:b/>
          <w:color w:val="000000"/>
          <w:sz w:val="28"/>
          <w:szCs w:val="28"/>
          <w:lang w:eastAsia="ru-RU"/>
        </w:rPr>
        <w:t xml:space="preserve">ОМ </w:t>
      </w:r>
      <w:r w:rsidR="00CD2EDC" w:rsidRPr="00F71B34">
        <w:rPr>
          <w:rFonts w:ascii="Times New Roman" w:eastAsia="Times New Roman" w:hAnsi="Times New Roman"/>
          <w:b/>
          <w:color w:val="000000"/>
          <w:sz w:val="28"/>
          <w:szCs w:val="28"/>
          <w:lang w:eastAsia="ru-RU"/>
        </w:rPr>
        <w:t>В ПОСТМЕНОПАУЗЕ</w:t>
      </w:r>
      <w:r w:rsidRPr="00F71B34">
        <w:rPr>
          <w:rFonts w:ascii="Times New Roman" w:eastAsia="Times New Roman" w:hAnsi="Times New Roman"/>
          <w:b/>
          <w:color w:val="000000"/>
          <w:sz w:val="28"/>
          <w:szCs w:val="28"/>
          <w:lang w:eastAsia="ru-RU"/>
        </w:rPr>
        <w:t xml:space="preserve"> (ОБЗОР ЛИТЕРАТУРЫ)</w:t>
      </w:r>
    </w:p>
    <w:p w:rsidR="002230F3" w:rsidRDefault="002230F3" w:rsidP="00E75561">
      <w:pPr>
        <w:tabs>
          <w:tab w:val="left" w:pos="0"/>
        </w:tabs>
        <w:spacing w:after="0" w:line="360" w:lineRule="auto"/>
        <w:ind w:firstLine="709"/>
        <w:jc w:val="center"/>
        <w:rPr>
          <w:rFonts w:ascii="Times New Roman" w:eastAsia="Times New Roman" w:hAnsi="Times New Roman"/>
          <w:b/>
          <w:color w:val="000000"/>
          <w:sz w:val="28"/>
          <w:szCs w:val="28"/>
          <w:lang w:eastAsia="ru-RU"/>
        </w:rPr>
      </w:pPr>
    </w:p>
    <w:p w:rsidR="002230F3" w:rsidRPr="00F71B34" w:rsidRDefault="002230F3" w:rsidP="00E75561">
      <w:pPr>
        <w:tabs>
          <w:tab w:val="left" w:pos="0"/>
        </w:tabs>
        <w:spacing w:after="0" w:line="360" w:lineRule="auto"/>
        <w:ind w:firstLine="709"/>
        <w:jc w:val="center"/>
        <w:rPr>
          <w:rFonts w:ascii="Times New Roman" w:eastAsia="Times New Roman" w:hAnsi="Times New Roman"/>
          <w:b/>
          <w:color w:val="000000"/>
          <w:sz w:val="28"/>
          <w:szCs w:val="28"/>
          <w:lang w:eastAsia="ru-RU"/>
        </w:rPr>
      </w:pPr>
    </w:p>
    <w:p w:rsidR="00CF7FBB" w:rsidRPr="009114DF" w:rsidRDefault="00CF7FBB" w:rsidP="00F71B34">
      <w:pPr>
        <w:shd w:val="clear" w:color="auto" w:fill="FFFFFF"/>
        <w:spacing w:after="0" w:line="360" w:lineRule="auto"/>
        <w:ind w:firstLine="851"/>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Ревматоидный артрит (РА)</w:t>
      </w:r>
      <w:r w:rsidR="00CD2EDC"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самое распространенное хроническое воспалительное заболевание суставов, частота которо</w:t>
      </w:r>
      <w:r w:rsidR="00453D1D" w:rsidRPr="009114DF">
        <w:rPr>
          <w:rFonts w:ascii="Times New Roman" w:eastAsia="Times New Roman" w:hAnsi="Times New Roman"/>
          <w:sz w:val="28"/>
          <w:szCs w:val="28"/>
          <w:lang w:eastAsia="ru-RU"/>
        </w:rPr>
        <w:t>го в популяции достигает 1,4% [</w:t>
      </w:r>
      <w:r w:rsidR="000E152B" w:rsidRPr="009114DF">
        <w:rPr>
          <w:rFonts w:ascii="Times New Roman" w:eastAsia="Times New Roman" w:hAnsi="Times New Roman"/>
          <w:sz w:val="28"/>
          <w:szCs w:val="28"/>
          <w:lang w:eastAsia="ru-RU"/>
        </w:rPr>
        <w:t>55</w:t>
      </w:r>
      <w:r w:rsidRPr="009114DF">
        <w:rPr>
          <w:rFonts w:ascii="Times New Roman" w:eastAsia="Times New Roman" w:hAnsi="Times New Roman"/>
          <w:sz w:val="28"/>
          <w:szCs w:val="28"/>
          <w:lang w:eastAsia="ru-RU"/>
        </w:rPr>
        <w:t>]. Заболевание характеризуется сложными патогенетическими механизмами, разнообразием клини</w:t>
      </w:r>
      <w:r w:rsidR="00A153E7" w:rsidRPr="009114DF">
        <w:rPr>
          <w:rFonts w:ascii="Times New Roman" w:eastAsia="Times New Roman" w:hAnsi="Times New Roman"/>
          <w:sz w:val="28"/>
          <w:szCs w:val="28"/>
          <w:lang w:eastAsia="ru-RU"/>
        </w:rPr>
        <w:t>ческих форм</w:t>
      </w:r>
      <w:r w:rsidRPr="009114DF">
        <w:rPr>
          <w:rFonts w:ascii="Times New Roman" w:eastAsia="Times New Roman" w:hAnsi="Times New Roman"/>
          <w:sz w:val="28"/>
          <w:szCs w:val="28"/>
          <w:lang w:eastAsia="ru-RU"/>
        </w:rPr>
        <w:t xml:space="preserve">. </w:t>
      </w:r>
      <w:r w:rsidR="00A153E7" w:rsidRPr="009114DF">
        <w:rPr>
          <w:rFonts w:ascii="Times New Roman" w:eastAsia="Times New Roman" w:hAnsi="Times New Roman"/>
          <w:sz w:val="28"/>
          <w:szCs w:val="28"/>
          <w:lang w:eastAsia="ru-RU"/>
        </w:rPr>
        <w:t>И</w:t>
      </w:r>
      <w:r w:rsidRPr="009114DF">
        <w:rPr>
          <w:rFonts w:ascii="Times New Roman" w:eastAsia="Times New Roman" w:hAnsi="Times New Roman"/>
          <w:sz w:val="28"/>
          <w:szCs w:val="28"/>
          <w:lang w:eastAsia="ru-RU"/>
        </w:rPr>
        <w:t>нвалидизация пациентов может наступить в первые годы заболевания</w:t>
      </w:r>
      <w:r w:rsidR="00A153E7" w:rsidRPr="009114DF">
        <w:rPr>
          <w:rFonts w:ascii="Times New Roman" w:eastAsia="Times New Roman" w:hAnsi="Times New Roman"/>
          <w:sz w:val="28"/>
          <w:szCs w:val="28"/>
          <w:lang w:eastAsia="ru-RU"/>
        </w:rPr>
        <w:t xml:space="preserve"> при отсутствии необходимой терапии</w:t>
      </w:r>
      <w:r w:rsidRPr="009114DF">
        <w:rPr>
          <w:rFonts w:ascii="Times New Roman" w:eastAsia="Times New Roman" w:hAnsi="Times New Roman"/>
          <w:sz w:val="28"/>
          <w:szCs w:val="28"/>
          <w:lang w:eastAsia="ru-RU"/>
        </w:rPr>
        <w:t>. Так, в течение первых 3 лет болезни трудоспособность утрачивают примерно 35% больных, а через 5 лет</w:t>
      </w:r>
      <w:r w:rsidR="00CD2EDC"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более половины [</w:t>
      </w:r>
      <w:r w:rsidR="000E152B" w:rsidRPr="009114DF">
        <w:rPr>
          <w:rFonts w:ascii="Times New Roman" w:eastAsia="Times New Roman" w:hAnsi="Times New Roman"/>
          <w:sz w:val="28"/>
          <w:szCs w:val="28"/>
          <w:lang w:eastAsia="ru-RU"/>
        </w:rPr>
        <w:t>56</w:t>
      </w:r>
      <w:r w:rsidR="00453D1D" w:rsidRPr="009114DF">
        <w:rPr>
          <w:rFonts w:ascii="Times New Roman" w:eastAsia="Times New Roman" w:hAnsi="Times New Roman"/>
          <w:sz w:val="28"/>
          <w:szCs w:val="28"/>
          <w:lang w:eastAsia="ru-RU"/>
        </w:rPr>
        <w:t xml:space="preserve">, </w:t>
      </w:r>
      <w:r w:rsidR="0004338D" w:rsidRPr="009114DF">
        <w:rPr>
          <w:rFonts w:ascii="Times New Roman" w:eastAsia="Times New Roman" w:hAnsi="Times New Roman"/>
          <w:sz w:val="28"/>
          <w:szCs w:val="28"/>
          <w:lang w:eastAsia="ru-RU"/>
        </w:rPr>
        <w:t>177</w:t>
      </w:r>
      <w:r w:rsidRPr="009114DF">
        <w:rPr>
          <w:rFonts w:ascii="Times New Roman" w:eastAsia="Times New Roman" w:hAnsi="Times New Roman"/>
          <w:sz w:val="28"/>
          <w:szCs w:val="28"/>
          <w:lang w:eastAsia="ru-RU"/>
        </w:rPr>
        <w:t xml:space="preserve">]. У больных РА наблюдается уменьшение продолжительности жизни по сравнению с </w:t>
      </w:r>
      <w:r w:rsidR="00CD2EDC" w:rsidRPr="009114DF">
        <w:rPr>
          <w:rFonts w:ascii="Times New Roman" w:eastAsia="Times New Roman" w:hAnsi="Times New Roman"/>
          <w:sz w:val="28"/>
          <w:szCs w:val="28"/>
          <w:lang w:eastAsia="ru-RU"/>
        </w:rPr>
        <w:t xml:space="preserve">представителями </w:t>
      </w:r>
      <w:r w:rsidRPr="009114DF">
        <w:rPr>
          <w:rFonts w:ascii="Times New Roman" w:eastAsia="Times New Roman" w:hAnsi="Times New Roman"/>
          <w:sz w:val="28"/>
          <w:szCs w:val="28"/>
          <w:lang w:eastAsia="ru-RU"/>
        </w:rPr>
        <w:t>общей популяцией на 3</w:t>
      </w:r>
      <w:r w:rsidR="00CD2EDC"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7 лет [</w:t>
      </w:r>
      <w:r w:rsidR="007308E8" w:rsidRPr="009114DF">
        <w:rPr>
          <w:rFonts w:ascii="Times New Roman" w:eastAsia="Times New Roman" w:hAnsi="Times New Roman"/>
          <w:sz w:val="28"/>
          <w:szCs w:val="28"/>
          <w:lang w:eastAsia="ru-RU"/>
        </w:rPr>
        <w:t>68</w:t>
      </w:r>
      <w:r w:rsidR="00103279" w:rsidRPr="009114DF">
        <w:rPr>
          <w:rFonts w:ascii="Times New Roman" w:eastAsia="Times New Roman" w:hAnsi="Times New Roman"/>
          <w:sz w:val="28"/>
          <w:szCs w:val="28"/>
          <w:lang w:eastAsia="ru-RU"/>
        </w:rPr>
        <w:t>,</w:t>
      </w:r>
      <w:r w:rsidR="00CD2EDC" w:rsidRPr="009114DF">
        <w:rPr>
          <w:rFonts w:ascii="Times New Roman" w:eastAsia="Times New Roman" w:hAnsi="Times New Roman"/>
          <w:sz w:val="28"/>
          <w:szCs w:val="28"/>
          <w:lang w:eastAsia="ru-RU"/>
        </w:rPr>
        <w:t xml:space="preserve"> </w:t>
      </w:r>
      <w:r w:rsidR="00453D1D" w:rsidRPr="009114DF">
        <w:rPr>
          <w:rFonts w:ascii="Times New Roman" w:eastAsia="Times New Roman" w:hAnsi="Times New Roman"/>
          <w:sz w:val="28"/>
          <w:szCs w:val="28"/>
          <w:lang w:eastAsia="ru-RU"/>
        </w:rPr>
        <w:t>7</w:t>
      </w:r>
      <w:r w:rsidR="007308E8" w:rsidRPr="009114DF">
        <w:rPr>
          <w:rFonts w:ascii="Times New Roman" w:eastAsia="Times New Roman" w:hAnsi="Times New Roman"/>
          <w:sz w:val="28"/>
          <w:szCs w:val="28"/>
          <w:lang w:eastAsia="ru-RU"/>
        </w:rPr>
        <w:t>1</w:t>
      </w:r>
      <w:r w:rsidRPr="009114DF">
        <w:rPr>
          <w:rFonts w:ascii="Times New Roman" w:eastAsia="Times New Roman" w:hAnsi="Times New Roman"/>
          <w:sz w:val="28"/>
          <w:szCs w:val="28"/>
          <w:lang w:eastAsia="ru-RU"/>
        </w:rPr>
        <w:t xml:space="preserve">]. Прогноз и показатели смертности при РА полностью сопоставимы с таковыми при тяжелых формах </w:t>
      </w:r>
      <w:r w:rsidR="004C79A6" w:rsidRPr="009114DF">
        <w:rPr>
          <w:rFonts w:ascii="Times New Roman" w:eastAsia="Times New Roman" w:hAnsi="Times New Roman"/>
          <w:sz w:val="28"/>
          <w:szCs w:val="28"/>
          <w:lang w:eastAsia="ru-RU"/>
        </w:rPr>
        <w:t>ишемической болезни сердца (</w:t>
      </w:r>
      <w:r w:rsidRPr="009114DF">
        <w:rPr>
          <w:rFonts w:ascii="Times New Roman" w:eastAsia="Times New Roman" w:hAnsi="Times New Roman"/>
          <w:sz w:val="28"/>
          <w:szCs w:val="28"/>
          <w:lang w:eastAsia="ru-RU"/>
        </w:rPr>
        <w:t>ИБС</w:t>
      </w:r>
      <w:r w:rsidR="004C79A6"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сахарном диабете</w:t>
      </w:r>
      <w:r w:rsidR="004C79A6" w:rsidRPr="009114DF">
        <w:rPr>
          <w:rFonts w:ascii="Times New Roman" w:eastAsia="Times New Roman" w:hAnsi="Times New Roman"/>
          <w:sz w:val="28"/>
          <w:szCs w:val="28"/>
          <w:lang w:eastAsia="ru-RU"/>
        </w:rPr>
        <w:t xml:space="preserve"> (СД)</w:t>
      </w:r>
      <w:r w:rsidRPr="009114DF">
        <w:rPr>
          <w:rFonts w:ascii="Times New Roman" w:eastAsia="Times New Roman" w:hAnsi="Times New Roman"/>
          <w:sz w:val="28"/>
          <w:szCs w:val="28"/>
          <w:lang w:eastAsia="ru-RU"/>
        </w:rPr>
        <w:t>, лимфогранулематозе [</w:t>
      </w:r>
      <w:r w:rsidR="00103279" w:rsidRPr="009114DF">
        <w:rPr>
          <w:rFonts w:ascii="Times New Roman" w:eastAsia="Times New Roman" w:hAnsi="Times New Roman"/>
          <w:sz w:val="28"/>
          <w:szCs w:val="28"/>
          <w:lang w:eastAsia="ru-RU"/>
        </w:rPr>
        <w:t>59,</w:t>
      </w:r>
      <w:r w:rsidR="00CD2EDC" w:rsidRPr="009114DF">
        <w:rPr>
          <w:rFonts w:ascii="Times New Roman" w:eastAsia="Times New Roman" w:hAnsi="Times New Roman"/>
          <w:sz w:val="28"/>
          <w:szCs w:val="28"/>
          <w:lang w:eastAsia="ru-RU"/>
        </w:rPr>
        <w:t xml:space="preserve"> </w:t>
      </w:r>
      <w:r w:rsidR="00A05647" w:rsidRPr="009114DF">
        <w:rPr>
          <w:rFonts w:ascii="Times New Roman" w:eastAsia="Times New Roman" w:hAnsi="Times New Roman"/>
          <w:sz w:val="28"/>
          <w:szCs w:val="28"/>
          <w:lang w:eastAsia="ru-RU"/>
        </w:rPr>
        <w:t>117</w:t>
      </w:r>
      <w:r w:rsidR="00103279" w:rsidRPr="009114DF">
        <w:rPr>
          <w:rFonts w:ascii="Times New Roman" w:eastAsia="Times New Roman" w:hAnsi="Times New Roman"/>
          <w:sz w:val="28"/>
          <w:szCs w:val="28"/>
          <w:lang w:eastAsia="ru-RU"/>
        </w:rPr>
        <w:t>,</w:t>
      </w:r>
      <w:r w:rsidR="00CD2EDC" w:rsidRPr="009114DF">
        <w:rPr>
          <w:rFonts w:ascii="Times New Roman" w:eastAsia="Times New Roman" w:hAnsi="Times New Roman"/>
          <w:sz w:val="28"/>
          <w:szCs w:val="28"/>
          <w:lang w:eastAsia="ru-RU"/>
        </w:rPr>
        <w:t xml:space="preserve"> </w:t>
      </w:r>
      <w:r w:rsidR="00103279" w:rsidRPr="009114DF">
        <w:rPr>
          <w:rFonts w:ascii="Times New Roman" w:eastAsia="Times New Roman" w:hAnsi="Times New Roman"/>
          <w:sz w:val="28"/>
          <w:szCs w:val="28"/>
          <w:lang w:eastAsia="ru-RU"/>
        </w:rPr>
        <w:t>15</w:t>
      </w:r>
      <w:r w:rsidR="00BD6504" w:rsidRPr="009114DF">
        <w:rPr>
          <w:rFonts w:ascii="Times New Roman" w:eastAsia="Times New Roman" w:hAnsi="Times New Roman"/>
          <w:sz w:val="28"/>
          <w:szCs w:val="28"/>
          <w:lang w:eastAsia="ru-RU"/>
        </w:rPr>
        <w:t>4</w:t>
      </w:r>
      <w:r w:rsidRPr="009114DF">
        <w:rPr>
          <w:rFonts w:ascii="Times New Roman" w:eastAsia="Times New Roman" w:hAnsi="Times New Roman"/>
          <w:sz w:val="28"/>
          <w:szCs w:val="28"/>
          <w:lang w:eastAsia="ru-RU"/>
        </w:rPr>
        <w:t>]. В процессе крупного эпидемиологического исследования установлено, что РА страдают более 0,6% населения России. Ежегодная частота возникновения новых случаев составляет около 0,02% [</w:t>
      </w:r>
      <w:r w:rsidR="007308E8" w:rsidRPr="009114DF">
        <w:rPr>
          <w:rFonts w:ascii="Times New Roman" w:eastAsia="Times New Roman" w:hAnsi="Times New Roman"/>
          <w:sz w:val="28"/>
          <w:szCs w:val="28"/>
          <w:lang w:eastAsia="ru-RU"/>
        </w:rPr>
        <w:t>43</w:t>
      </w:r>
      <w:r w:rsidR="00103279" w:rsidRPr="009114DF">
        <w:rPr>
          <w:rFonts w:ascii="Times New Roman" w:eastAsia="Times New Roman" w:hAnsi="Times New Roman"/>
          <w:sz w:val="28"/>
          <w:szCs w:val="28"/>
          <w:lang w:eastAsia="ru-RU"/>
        </w:rPr>
        <w:t>,</w:t>
      </w:r>
      <w:r w:rsidR="00CD2EDC" w:rsidRPr="009114DF">
        <w:rPr>
          <w:rFonts w:ascii="Times New Roman" w:eastAsia="Times New Roman" w:hAnsi="Times New Roman"/>
          <w:sz w:val="28"/>
          <w:szCs w:val="28"/>
          <w:lang w:eastAsia="ru-RU"/>
        </w:rPr>
        <w:t xml:space="preserve"> </w:t>
      </w:r>
      <w:r w:rsidR="00EC4BD2" w:rsidRPr="009114DF">
        <w:rPr>
          <w:rFonts w:ascii="Times New Roman" w:eastAsia="Times New Roman" w:hAnsi="Times New Roman"/>
          <w:sz w:val="28"/>
          <w:szCs w:val="28"/>
          <w:lang w:val="en-US" w:eastAsia="ru-RU"/>
        </w:rPr>
        <w:t>200</w:t>
      </w:r>
      <w:r w:rsidRPr="009114DF">
        <w:rPr>
          <w:rFonts w:ascii="Times New Roman" w:eastAsia="Times New Roman" w:hAnsi="Times New Roman"/>
          <w:sz w:val="28"/>
          <w:szCs w:val="28"/>
          <w:lang w:eastAsia="ru-RU"/>
        </w:rPr>
        <w:t>].</w:t>
      </w:r>
    </w:p>
    <w:p w:rsidR="00CF7FBB" w:rsidRPr="009114DF" w:rsidRDefault="00CF7FBB" w:rsidP="00F71B34">
      <w:pPr>
        <w:shd w:val="clear" w:color="auto" w:fill="FFFFFF"/>
        <w:spacing w:after="0" w:line="360" w:lineRule="auto"/>
        <w:ind w:firstLine="851"/>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РА –  заболевание, которое характеризуется не только воспалением синовиальной оболочки суставов, но и разрушением костной ткани. РА занимает одно из ведущих мест в спектре терапевтической патологии, ассоциирующейся </w:t>
      </w:r>
      <w:proofErr w:type="gramStart"/>
      <w:r w:rsidR="00453D1D" w:rsidRPr="009114DF">
        <w:rPr>
          <w:rFonts w:ascii="Times New Roman" w:eastAsia="Times New Roman" w:hAnsi="Times New Roman"/>
          <w:sz w:val="28"/>
          <w:szCs w:val="28"/>
          <w:lang w:eastAsia="ru-RU"/>
        </w:rPr>
        <w:t>с</w:t>
      </w:r>
      <w:r w:rsidR="00CD2EDC" w:rsidRPr="009114DF">
        <w:rPr>
          <w:rFonts w:ascii="Times New Roman" w:eastAsia="Times New Roman" w:hAnsi="Times New Roman"/>
          <w:sz w:val="28"/>
          <w:szCs w:val="28"/>
          <w:lang w:eastAsia="ru-RU"/>
        </w:rPr>
        <w:t>о</w:t>
      </w:r>
      <w:proofErr w:type="gramEnd"/>
      <w:r w:rsidR="00453D1D" w:rsidRPr="009114DF">
        <w:rPr>
          <w:rFonts w:ascii="Times New Roman" w:eastAsia="Times New Roman" w:hAnsi="Times New Roman"/>
          <w:sz w:val="28"/>
          <w:szCs w:val="28"/>
          <w:lang w:eastAsia="ru-RU"/>
        </w:rPr>
        <w:t xml:space="preserve"> вторичным остеопорозом (ОП) [</w:t>
      </w:r>
      <w:r w:rsidR="00DC4AB2" w:rsidRPr="009114DF">
        <w:rPr>
          <w:rFonts w:ascii="Times New Roman" w:eastAsia="Times New Roman" w:hAnsi="Times New Roman"/>
          <w:sz w:val="28"/>
          <w:szCs w:val="28"/>
          <w:lang w:eastAsia="ru-RU"/>
        </w:rPr>
        <w:t>26</w:t>
      </w:r>
      <w:r w:rsidRPr="009114DF">
        <w:rPr>
          <w:rFonts w:ascii="Times New Roman" w:eastAsia="Times New Roman" w:hAnsi="Times New Roman"/>
          <w:sz w:val="28"/>
          <w:szCs w:val="28"/>
          <w:lang w:eastAsia="ru-RU"/>
        </w:rPr>
        <w:t xml:space="preserve">]. Полагают, что хроническое воспаление при РА играет </w:t>
      </w:r>
      <w:r w:rsidR="00A153E7" w:rsidRPr="009114DF">
        <w:rPr>
          <w:rFonts w:ascii="Times New Roman" w:eastAsia="Times New Roman" w:hAnsi="Times New Roman"/>
          <w:sz w:val="28"/>
          <w:szCs w:val="28"/>
          <w:lang w:eastAsia="ru-RU"/>
        </w:rPr>
        <w:t>особую</w:t>
      </w:r>
      <w:r w:rsidRPr="009114DF">
        <w:rPr>
          <w:rFonts w:ascii="Times New Roman" w:eastAsia="Times New Roman" w:hAnsi="Times New Roman"/>
          <w:sz w:val="28"/>
          <w:szCs w:val="28"/>
          <w:lang w:eastAsia="ru-RU"/>
        </w:rPr>
        <w:t xml:space="preserve"> роль в развитии вторичного ОП</w:t>
      </w:r>
      <w:r w:rsidR="00A153E7" w:rsidRPr="009114DF">
        <w:rPr>
          <w:rFonts w:ascii="Times New Roman" w:eastAsia="Times New Roman" w:hAnsi="Times New Roman"/>
          <w:sz w:val="28"/>
          <w:szCs w:val="28"/>
          <w:lang w:eastAsia="ru-RU"/>
        </w:rPr>
        <w:t xml:space="preserve">, который, в свою очередь снижает </w:t>
      </w:r>
      <w:r w:rsidRPr="009114DF">
        <w:rPr>
          <w:rFonts w:ascii="Times New Roman" w:eastAsia="Times New Roman" w:hAnsi="Times New Roman"/>
          <w:sz w:val="28"/>
          <w:szCs w:val="28"/>
          <w:lang w:eastAsia="ru-RU"/>
        </w:rPr>
        <w:t>качество жизни</w:t>
      </w:r>
      <w:r w:rsidR="00A153E7"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и </w:t>
      </w:r>
      <w:r w:rsidR="00A153E7" w:rsidRPr="009114DF">
        <w:rPr>
          <w:rFonts w:ascii="Times New Roman" w:eastAsia="Times New Roman" w:hAnsi="Times New Roman"/>
          <w:sz w:val="28"/>
          <w:szCs w:val="28"/>
          <w:lang w:eastAsia="ru-RU"/>
        </w:rPr>
        <w:t xml:space="preserve">ухудшает </w:t>
      </w:r>
      <w:r w:rsidRPr="009114DF">
        <w:rPr>
          <w:rFonts w:ascii="Times New Roman" w:eastAsia="Times New Roman" w:hAnsi="Times New Roman"/>
          <w:sz w:val="28"/>
          <w:szCs w:val="28"/>
          <w:lang w:eastAsia="ru-RU"/>
        </w:rPr>
        <w:t xml:space="preserve">прогноз заболевания.  </w:t>
      </w:r>
      <w:r w:rsidRPr="009114DF">
        <w:rPr>
          <w:rFonts w:ascii="Times New Roman" w:eastAsia="Times New Roman" w:hAnsi="Times New Roman"/>
          <w:bCs/>
          <w:sz w:val="28"/>
          <w:szCs w:val="28"/>
          <w:lang w:eastAsia="ru-RU"/>
        </w:rPr>
        <w:t xml:space="preserve">Многие исследователи полагают, что ОП является первопричиной потери костной массы при РА </w:t>
      </w:r>
      <w:r w:rsidRPr="009114DF">
        <w:rPr>
          <w:rFonts w:ascii="Times New Roman" w:eastAsia="Times New Roman" w:hAnsi="Times New Roman"/>
          <w:bCs/>
          <w:iCs/>
          <w:sz w:val="28"/>
          <w:szCs w:val="28"/>
          <w:lang w:eastAsia="ru-RU"/>
        </w:rPr>
        <w:t>[</w:t>
      </w:r>
      <w:r w:rsidR="00DC4AB2" w:rsidRPr="009114DF">
        <w:rPr>
          <w:rFonts w:ascii="Times New Roman" w:eastAsia="Times New Roman" w:hAnsi="Times New Roman"/>
          <w:bCs/>
          <w:iCs/>
          <w:sz w:val="28"/>
          <w:szCs w:val="28"/>
          <w:lang w:eastAsia="ru-RU"/>
        </w:rPr>
        <w:t>1</w:t>
      </w:r>
      <w:r w:rsidR="00A05647" w:rsidRPr="009114DF">
        <w:rPr>
          <w:rFonts w:ascii="Times New Roman" w:eastAsia="Times New Roman" w:hAnsi="Times New Roman"/>
          <w:bCs/>
          <w:iCs/>
          <w:sz w:val="28"/>
          <w:szCs w:val="28"/>
          <w:lang w:eastAsia="ru-RU"/>
        </w:rPr>
        <w:t>14</w:t>
      </w:r>
      <w:r w:rsidR="00453D1D" w:rsidRPr="009114DF">
        <w:rPr>
          <w:rFonts w:ascii="Times New Roman" w:eastAsia="Times New Roman" w:hAnsi="Times New Roman"/>
          <w:bCs/>
          <w:iCs/>
          <w:sz w:val="28"/>
          <w:szCs w:val="28"/>
          <w:lang w:eastAsia="ru-RU"/>
        </w:rPr>
        <w:t>,</w:t>
      </w:r>
      <w:r w:rsidR="00CD2EDC" w:rsidRPr="009114DF">
        <w:rPr>
          <w:rFonts w:ascii="Times New Roman" w:eastAsia="Times New Roman" w:hAnsi="Times New Roman"/>
          <w:bCs/>
          <w:iCs/>
          <w:sz w:val="28"/>
          <w:szCs w:val="28"/>
          <w:lang w:eastAsia="ru-RU"/>
        </w:rPr>
        <w:t xml:space="preserve"> </w:t>
      </w:r>
      <w:r w:rsidR="00243567" w:rsidRPr="009114DF">
        <w:rPr>
          <w:rFonts w:ascii="Times New Roman" w:eastAsia="Times New Roman" w:hAnsi="Times New Roman"/>
          <w:bCs/>
          <w:iCs/>
          <w:sz w:val="28"/>
          <w:szCs w:val="28"/>
          <w:lang w:eastAsia="ru-RU"/>
        </w:rPr>
        <w:t>122</w:t>
      </w:r>
      <w:r w:rsidRPr="009114DF">
        <w:rPr>
          <w:rFonts w:ascii="Times New Roman" w:eastAsia="Times New Roman" w:hAnsi="Times New Roman"/>
          <w:bCs/>
          <w:iCs/>
          <w:sz w:val="28"/>
          <w:szCs w:val="28"/>
          <w:lang w:eastAsia="ru-RU"/>
        </w:rPr>
        <w:t xml:space="preserve">]. Считают, что при РА имеет место системное негативное </w:t>
      </w:r>
      <w:r w:rsidR="00A153E7" w:rsidRPr="009114DF">
        <w:rPr>
          <w:rFonts w:ascii="Times New Roman" w:eastAsia="Times New Roman" w:hAnsi="Times New Roman"/>
          <w:bCs/>
          <w:iCs/>
          <w:sz w:val="28"/>
          <w:szCs w:val="28"/>
          <w:lang w:eastAsia="ru-RU"/>
        </w:rPr>
        <w:t>влияние</w:t>
      </w:r>
      <w:r w:rsidRPr="009114DF">
        <w:rPr>
          <w:rFonts w:ascii="Times New Roman" w:eastAsia="Times New Roman" w:hAnsi="Times New Roman"/>
          <w:bCs/>
          <w:iCs/>
          <w:sz w:val="28"/>
          <w:szCs w:val="28"/>
          <w:lang w:eastAsia="ru-RU"/>
        </w:rPr>
        <w:t xml:space="preserve"> на костную </w:t>
      </w:r>
      <w:r w:rsidR="00A153E7" w:rsidRPr="009114DF">
        <w:rPr>
          <w:rFonts w:ascii="Times New Roman" w:eastAsia="Times New Roman" w:hAnsi="Times New Roman"/>
          <w:bCs/>
          <w:iCs/>
          <w:sz w:val="28"/>
          <w:szCs w:val="28"/>
          <w:lang w:eastAsia="ru-RU"/>
        </w:rPr>
        <w:t>ткань</w:t>
      </w:r>
      <w:r w:rsidRPr="009114DF">
        <w:rPr>
          <w:rFonts w:ascii="Times New Roman" w:eastAsia="Times New Roman" w:hAnsi="Times New Roman"/>
          <w:bCs/>
          <w:iCs/>
          <w:sz w:val="28"/>
          <w:szCs w:val="28"/>
          <w:lang w:eastAsia="ru-RU"/>
        </w:rPr>
        <w:t xml:space="preserve"> [</w:t>
      </w:r>
      <w:r w:rsidR="00957C16" w:rsidRPr="009114DF">
        <w:rPr>
          <w:rFonts w:ascii="Times New Roman" w:eastAsia="Times New Roman" w:hAnsi="Times New Roman"/>
          <w:bCs/>
          <w:iCs/>
          <w:sz w:val="28"/>
          <w:szCs w:val="28"/>
          <w:lang w:eastAsia="ru-RU"/>
        </w:rPr>
        <w:t>162</w:t>
      </w:r>
      <w:r w:rsidRPr="009114DF">
        <w:rPr>
          <w:rFonts w:ascii="Times New Roman" w:eastAsia="Times New Roman" w:hAnsi="Times New Roman"/>
          <w:bCs/>
          <w:iCs/>
          <w:sz w:val="28"/>
          <w:szCs w:val="28"/>
          <w:lang w:eastAsia="ru-RU"/>
        </w:rPr>
        <w:t xml:space="preserve">]. </w:t>
      </w:r>
    </w:p>
    <w:p w:rsidR="00CF7FBB" w:rsidRPr="009114DF" w:rsidRDefault="00CF7FBB" w:rsidP="00F71B34">
      <w:pPr>
        <w:spacing w:after="0" w:line="360" w:lineRule="auto"/>
        <w:ind w:firstLine="708"/>
        <w:jc w:val="both"/>
        <w:rPr>
          <w:rFonts w:ascii="Times New Roman" w:eastAsia="Times New Roman" w:hAnsi="Times New Roman"/>
          <w:bCs/>
          <w:iCs/>
          <w:sz w:val="28"/>
          <w:szCs w:val="28"/>
          <w:lang w:eastAsia="ru-RU"/>
        </w:rPr>
      </w:pPr>
      <w:r w:rsidRPr="009114DF">
        <w:rPr>
          <w:rFonts w:ascii="Times New Roman" w:eastAsia="Times New Roman" w:hAnsi="Times New Roman"/>
          <w:sz w:val="28"/>
          <w:szCs w:val="28"/>
          <w:lang w:eastAsia="ru-RU"/>
        </w:rPr>
        <w:lastRenderedPageBreak/>
        <w:t>Социальн</w:t>
      </w:r>
      <w:r w:rsidR="004437A5" w:rsidRPr="009114DF">
        <w:rPr>
          <w:rFonts w:ascii="Times New Roman" w:eastAsia="Times New Roman" w:hAnsi="Times New Roman"/>
          <w:sz w:val="28"/>
          <w:szCs w:val="28"/>
          <w:lang w:eastAsia="ru-RU"/>
        </w:rPr>
        <w:t xml:space="preserve">о-значимые последствия </w:t>
      </w:r>
      <w:r w:rsidRPr="009114DF">
        <w:rPr>
          <w:rFonts w:ascii="Times New Roman" w:eastAsia="Times New Roman" w:hAnsi="Times New Roman"/>
          <w:sz w:val="28"/>
          <w:szCs w:val="28"/>
          <w:lang w:eastAsia="ru-RU"/>
        </w:rPr>
        <w:t xml:space="preserve"> ОП</w:t>
      </w:r>
      <w:r w:rsidR="004437A5" w:rsidRPr="009114DF">
        <w:rPr>
          <w:rFonts w:ascii="Times New Roman" w:eastAsia="Times New Roman" w:hAnsi="Times New Roman"/>
          <w:sz w:val="28"/>
          <w:szCs w:val="28"/>
          <w:lang w:eastAsia="ru-RU"/>
        </w:rPr>
        <w:t xml:space="preserve"> – переломы</w:t>
      </w:r>
      <w:r w:rsidRPr="009114DF">
        <w:rPr>
          <w:rFonts w:ascii="Times New Roman" w:eastAsia="Times New Roman" w:hAnsi="Times New Roman"/>
          <w:sz w:val="28"/>
          <w:szCs w:val="28"/>
          <w:lang w:eastAsia="ru-RU"/>
        </w:rPr>
        <w:t xml:space="preserve"> позвонков и костей периферического скелета, </w:t>
      </w:r>
      <w:r w:rsidR="004437A5" w:rsidRPr="009114DF">
        <w:rPr>
          <w:rFonts w:ascii="Times New Roman" w:eastAsia="Times New Roman" w:hAnsi="Times New Roman"/>
          <w:sz w:val="28"/>
          <w:szCs w:val="28"/>
          <w:lang w:eastAsia="ru-RU"/>
        </w:rPr>
        <w:t xml:space="preserve">что ведет к </w:t>
      </w:r>
      <w:r w:rsidRPr="009114DF">
        <w:rPr>
          <w:rFonts w:ascii="Times New Roman" w:eastAsia="Times New Roman" w:hAnsi="Times New Roman"/>
          <w:sz w:val="28"/>
          <w:szCs w:val="28"/>
          <w:lang w:eastAsia="ru-RU"/>
        </w:rPr>
        <w:t>значительн</w:t>
      </w:r>
      <w:r w:rsidR="004437A5" w:rsidRPr="009114DF">
        <w:rPr>
          <w:rFonts w:ascii="Times New Roman" w:eastAsia="Times New Roman" w:hAnsi="Times New Roman"/>
          <w:sz w:val="28"/>
          <w:szCs w:val="28"/>
          <w:lang w:eastAsia="ru-RU"/>
        </w:rPr>
        <w:t xml:space="preserve">ому </w:t>
      </w:r>
      <w:r w:rsidRPr="009114DF">
        <w:rPr>
          <w:rFonts w:ascii="Times New Roman" w:eastAsia="Times New Roman" w:hAnsi="Times New Roman"/>
          <w:sz w:val="28"/>
          <w:szCs w:val="28"/>
          <w:lang w:eastAsia="ru-RU"/>
        </w:rPr>
        <w:t>подъем</w:t>
      </w:r>
      <w:r w:rsidR="004437A5" w:rsidRPr="009114DF">
        <w:rPr>
          <w:rFonts w:ascii="Times New Roman" w:eastAsia="Times New Roman" w:hAnsi="Times New Roman"/>
          <w:sz w:val="28"/>
          <w:szCs w:val="28"/>
          <w:lang w:eastAsia="ru-RU"/>
        </w:rPr>
        <w:t>у</w:t>
      </w:r>
      <w:r w:rsidRPr="009114DF">
        <w:rPr>
          <w:rFonts w:ascii="Times New Roman" w:eastAsia="Times New Roman" w:hAnsi="Times New Roman"/>
          <w:sz w:val="28"/>
          <w:szCs w:val="28"/>
          <w:lang w:eastAsia="ru-RU"/>
        </w:rPr>
        <w:t xml:space="preserve"> </w:t>
      </w:r>
      <w:r w:rsidR="004437A5" w:rsidRPr="009114DF">
        <w:rPr>
          <w:rFonts w:ascii="Times New Roman" w:eastAsia="Times New Roman" w:hAnsi="Times New Roman"/>
          <w:sz w:val="28"/>
          <w:szCs w:val="28"/>
          <w:lang w:eastAsia="ru-RU"/>
        </w:rPr>
        <w:t xml:space="preserve">заболеваемости, </w:t>
      </w:r>
      <w:r w:rsidRPr="009114DF">
        <w:rPr>
          <w:rFonts w:ascii="Times New Roman" w:eastAsia="Times New Roman" w:hAnsi="Times New Roman"/>
          <w:sz w:val="28"/>
          <w:szCs w:val="28"/>
          <w:lang w:eastAsia="ru-RU"/>
        </w:rPr>
        <w:t>инвалидности</w:t>
      </w:r>
      <w:r w:rsidR="00CD2EDC"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и, соответственно, </w:t>
      </w:r>
      <w:r w:rsidR="004437A5" w:rsidRPr="009114DF">
        <w:rPr>
          <w:rFonts w:ascii="Times New Roman" w:eastAsia="Times New Roman" w:hAnsi="Times New Roman"/>
          <w:sz w:val="28"/>
          <w:szCs w:val="28"/>
          <w:lang w:eastAsia="ru-RU"/>
        </w:rPr>
        <w:t>большим материальным затратам</w:t>
      </w:r>
      <w:r w:rsidRPr="009114DF">
        <w:rPr>
          <w:rFonts w:ascii="Times New Roman" w:eastAsia="Times New Roman" w:hAnsi="Times New Roman"/>
          <w:sz w:val="28"/>
          <w:szCs w:val="28"/>
          <w:lang w:eastAsia="ru-RU"/>
        </w:rPr>
        <w:t xml:space="preserve"> в области здравоохранения. </w:t>
      </w:r>
      <w:r w:rsidR="00A153E7" w:rsidRPr="009114DF">
        <w:rPr>
          <w:rFonts w:ascii="Times New Roman" w:eastAsia="Times New Roman" w:hAnsi="Times New Roman"/>
          <w:bCs/>
          <w:sz w:val="28"/>
          <w:szCs w:val="28"/>
          <w:lang w:eastAsia="ru-RU"/>
        </w:rPr>
        <w:t xml:space="preserve">ОП при РА </w:t>
      </w:r>
      <w:r w:rsidRPr="009114DF">
        <w:rPr>
          <w:rFonts w:ascii="Times New Roman" w:eastAsia="Times New Roman" w:hAnsi="Times New Roman"/>
          <w:bCs/>
          <w:sz w:val="28"/>
          <w:szCs w:val="28"/>
          <w:lang w:eastAsia="ru-RU"/>
        </w:rPr>
        <w:t xml:space="preserve">диагностируется </w:t>
      </w:r>
      <w:r w:rsidR="00A153E7" w:rsidRPr="009114DF">
        <w:rPr>
          <w:rFonts w:ascii="Times New Roman" w:eastAsia="Times New Roman" w:hAnsi="Times New Roman"/>
          <w:bCs/>
          <w:sz w:val="28"/>
          <w:szCs w:val="28"/>
          <w:lang w:eastAsia="ru-RU"/>
        </w:rPr>
        <w:t>в любом возрасте</w:t>
      </w:r>
      <w:r w:rsidR="004437A5" w:rsidRPr="009114DF">
        <w:rPr>
          <w:rFonts w:ascii="Times New Roman" w:eastAsia="Times New Roman" w:hAnsi="Times New Roman"/>
          <w:bCs/>
          <w:sz w:val="28"/>
          <w:szCs w:val="28"/>
          <w:lang w:eastAsia="ru-RU"/>
        </w:rPr>
        <w:t>,</w:t>
      </w:r>
      <w:r w:rsidR="00A153E7" w:rsidRPr="009114DF">
        <w:rPr>
          <w:rFonts w:ascii="Times New Roman" w:eastAsia="Times New Roman" w:hAnsi="Times New Roman"/>
          <w:bCs/>
          <w:sz w:val="28"/>
          <w:szCs w:val="28"/>
          <w:lang w:eastAsia="ru-RU"/>
        </w:rPr>
        <w:t xml:space="preserve"> </w:t>
      </w:r>
      <w:r w:rsidRPr="009114DF">
        <w:rPr>
          <w:rFonts w:ascii="Times New Roman" w:eastAsia="Times New Roman" w:hAnsi="Times New Roman"/>
          <w:bCs/>
          <w:sz w:val="28"/>
          <w:szCs w:val="28"/>
          <w:lang w:eastAsia="ru-RU"/>
        </w:rPr>
        <w:t xml:space="preserve">как у женщин, так и у мужчин </w:t>
      </w:r>
      <w:r w:rsidRPr="009114DF">
        <w:rPr>
          <w:rFonts w:ascii="Times New Roman" w:eastAsia="Times New Roman" w:hAnsi="Times New Roman"/>
          <w:sz w:val="28"/>
          <w:szCs w:val="28"/>
          <w:lang w:eastAsia="ru-RU"/>
        </w:rPr>
        <w:t>[</w:t>
      </w:r>
      <w:r w:rsidR="00DC4AB2" w:rsidRPr="009114DF">
        <w:rPr>
          <w:rFonts w:ascii="Times New Roman" w:eastAsia="Times New Roman" w:hAnsi="Times New Roman"/>
          <w:sz w:val="28"/>
          <w:szCs w:val="28"/>
          <w:lang w:eastAsia="ru-RU"/>
        </w:rPr>
        <w:t>15</w:t>
      </w:r>
      <w:r w:rsidR="00135808" w:rsidRPr="009114DF">
        <w:rPr>
          <w:rFonts w:ascii="Times New Roman" w:eastAsia="Times New Roman" w:hAnsi="Times New Roman"/>
          <w:sz w:val="28"/>
          <w:szCs w:val="28"/>
          <w:lang w:eastAsia="ru-RU"/>
        </w:rPr>
        <w:t xml:space="preserve">, </w:t>
      </w:r>
      <w:r w:rsidR="00DC4AB2" w:rsidRPr="009114DF">
        <w:rPr>
          <w:rFonts w:ascii="Times New Roman" w:eastAsia="Times New Roman" w:hAnsi="Times New Roman"/>
          <w:sz w:val="28"/>
          <w:szCs w:val="28"/>
          <w:lang w:eastAsia="ru-RU"/>
        </w:rPr>
        <w:t>45</w:t>
      </w:r>
      <w:r w:rsidR="00135808" w:rsidRPr="009114DF">
        <w:rPr>
          <w:rFonts w:ascii="Times New Roman" w:eastAsia="Times New Roman" w:hAnsi="Times New Roman"/>
          <w:sz w:val="28"/>
          <w:szCs w:val="28"/>
          <w:lang w:eastAsia="ru-RU"/>
        </w:rPr>
        <w:t xml:space="preserve">, </w:t>
      </w:r>
      <w:r w:rsidR="00DC4AB2" w:rsidRPr="009114DF">
        <w:rPr>
          <w:rFonts w:ascii="Times New Roman" w:eastAsia="Times New Roman" w:hAnsi="Times New Roman"/>
          <w:sz w:val="28"/>
          <w:szCs w:val="28"/>
          <w:lang w:eastAsia="ru-RU"/>
        </w:rPr>
        <w:t>50</w:t>
      </w:r>
      <w:r w:rsidR="00135808" w:rsidRPr="009114DF">
        <w:rPr>
          <w:rFonts w:ascii="Times New Roman" w:eastAsia="Times New Roman" w:hAnsi="Times New Roman"/>
          <w:sz w:val="28"/>
          <w:szCs w:val="28"/>
          <w:lang w:eastAsia="ru-RU"/>
        </w:rPr>
        <w:t xml:space="preserve">, </w:t>
      </w:r>
      <w:r w:rsidR="0004338D" w:rsidRPr="009114DF">
        <w:rPr>
          <w:rFonts w:ascii="Times New Roman" w:eastAsia="Times New Roman" w:hAnsi="Times New Roman"/>
          <w:sz w:val="28"/>
          <w:szCs w:val="28"/>
          <w:lang w:eastAsia="ru-RU"/>
        </w:rPr>
        <w:t>184</w:t>
      </w:r>
      <w:r w:rsidRPr="009114DF">
        <w:rPr>
          <w:rFonts w:ascii="Times New Roman" w:eastAsia="Times New Roman" w:hAnsi="Times New Roman"/>
          <w:sz w:val="28"/>
          <w:szCs w:val="28"/>
          <w:lang w:eastAsia="ru-RU"/>
        </w:rPr>
        <w:t>]</w:t>
      </w:r>
      <w:r w:rsidRPr="009114DF">
        <w:rPr>
          <w:rFonts w:ascii="Times New Roman" w:eastAsia="Times New Roman" w:hAnsi="Times New Roman"/>
          <w:bCs/>
          <w:sz w:val="28"/>
          <w:szCs w:val="28"/>
          <w:lang w:eastAsia="ru-RU"/>
        </w:rPr>
        <w:t xml:space="preserve">. У больных РА отмечается большая частота переломов проксимального отдела бедра, а также переломов других локализаций </w:t>
      </w:r>
      <w:r w:rsidRPr="009114DF">
        <w:rPr>
          <w:rFonts w:ascii="Times New Roman" w:eastAsia="Times New Roman" w:hAnsi="Times New Roman"/>
          <w:bCs/>
          <w:iCs/>
          <w:sz w:val="28"/>
          <w:szCs w:val="28"/>
          <w:lang w:eastAsia="ru-RU"/>
        </w:rPr>
        <w:t>[</w:t>
      </w:r>
      <w:r w:rsidR="00DC4AB2" w:rsidRPr="009114DF">
        <w:rPr>
          <w:rFonts w:ascii="Times New Roman" w:eastAsia="Times New Roman" w:hAnsi="Times New Roman"/>
          <w:bCs/>
          <w:iCs/>
          <w:sz w:val="28"/>
          <w:szCs w:val="28"/>
          <w:lang w:eastAsia="ru-RU"/>
        </w:rPr>
        <w:t>25</w:t>
      </w:r>
      <w:r w:rsidR="00135808" w:rsidRPr="009114DF">
        <w:rPr>
          <w:rFonts w:ascii="Times New Roman" w:eastAsia="Times New Roman" w:hAnsi="Times New Roman"/>
          <w:bCs/>
          <w:iCs/>
          <w:sz w:val="28"/>
          <w:szCs w:val="28"/>
          <w:lang w:eastAsia="ru-RU"/>
        </w:rPr>
        <w:t xml:space="preserve">, </w:t>
      </w:r>
      <w:r w:rsidR="00266791" w:rsidRPr="009114DF">
        <w:rPr>
          <w:rFonts w:ascii="Times New Roman" w:eastAsia="Times New Roman" w:hAnsi="Times New Roman"/>
          <w:bCs/>
          <w:iCs/>
          <w:sz w:val="28"/>
          <w:szCs w:val="28"/>
          <w:lang w:eastAsia="ru-RU"/>
        </w:rPr>
        <w:t>138</w:t>
      </w:r>
      <w:r w:rsidR="00135808" w:rsidRPr="009114DF">
        <w:rPr>
          <w:rFonts w:ascii="Times New Roman" w:eastAsia="Times New Roman" w:hAnsi="Times New Roman"/>
          <w:bCs/>
          <w:iCs/>
          <w:sz w:val="28"/>
          <w:szCs w:val="28"/>
          <w:lang w:eastAsia="ru-RU"/>
        </w:rPr>
        <w:t xml:space="preserve">, </w:t>
      </w:r>
      <w:r w:rsidR="00EC4BD2" w:rsidRPr="009114DF">
        <w:rPr>
          <w:rFonts w:ascii="Times New Roman" w:eastAsia="Times New Roman" w:hAnsi="Times New Roman"/>
          <w:bCs/>
          <w:iCs/>
          <w:sz w:val="28"/>
          <w:szCs w:val="28"/>
          <w:lang w:eastAsia="ru-RU"/>
        </w:rPr>
        <w:t>189</w:t>
      </w:r>
      <w:r w:rsidRPr="009114DF">
        <w:rPr>
          <w:rFonts w:ascii="Times New Roman" w:eastAsia="Times New Roman" w:hAnsi="Times New Roman"/>
          <w:bCs/>
          <w:iCs/>
          <w:sz w:val="28"/>
          <w:szCs w:val="28"/>
          <w:lang w:eastAsia="ru-RU"/>
        </w:rPr>
        <w:t>], что свидетельству</w:t>
      </w:r>
      <w:r w:rsidR="00135808" w:rsidRPr="009114DF">
        <w:rPr>
          <w:rFonts w:ascii="Times New Roman" w:eastAsia="Times New Roman" w:hAnsi="Times New Roman"/>
          <w:bCs/>
          <w:iCs/>
          <w:sz w:val="28"/>
          <w:szCs w:val="28"/>
          <w:lang w:eastAsia="ru-RU"/>
        </w:rPr>
        <w:t>ет о высокой частоте ОП [</w:t>
      </w:r>
      <w:r w:rsidR="007308E8" w:rsidRPr="009114DF">
        <w:rPr>
          <w:rFonts w:ascii="Times New Roman" w:eastAsia="Times New Roman" w:hAnsi="Times New Roman"/>
          <w:bCs/>
          <w:iCs/>
          <w:sz w:val="28"/>
          <w:szCs w:val="28"/>
          <w:lang w:eastAsia="ru-RU"/>
        </w:rPr>
        <w:t>67</w:t>
      </w:r>
      <w:r w:rsidR="00DC4AB2" w:rsidRPr="009114DF">
        <w:rPr>
          <w:rFonts w:ascii="Times New Roman" w:eastAsia="Times New Roman" w:hAnsi="Times New Roman"/>
          <w:bCs/>
          <w:iCs/>
          <w:sz w:val="28"/>
          <w:szCs w:val="28"/>
          <w:lang w:eastAsia="ru-RU"/>
        </w:rPr>
        <w:t>,</w:t>
      </w:r>
      <w:r w:rsidR="00CD2EDC" w:rsidRPr="009114DF">
        <w:rPr>
          <w:rFonts w:ascii="Times New Roman" w:eastAsia="Times New Roman" w:hAnsi="Times New Roman"/>
          <w:bCs/>
          <w:iCs/>
          <w:sz w:val="28"/>
          <w:szCs w:val="28"/>
          <w:lang w:eastAsia="ru-RU"/>
        </w:rPr>
        <w:t xml:space="preserve"> </w:t>
      </w:r>
      <w:r w:rsidR="00957C16" w:rsidRPr="009114DF">
        <w:rPr>
          <w:rFonts w:ascii="Times New Roman" w:eastAsia="Times New Roman" w:hAnsi="Times New Roman"/>
          <w:bCs/>
          <w:iCs/>
          <w:sz w:val="28"/>
          <w:szCs w:val="28"/>
          <w:lang w:eastAsia="ru-RU"/>
        </w:rPr>
        <w:t>162</w:t>
      </w:r>
      <w:r w:rsidRPr="009114DF">
        <w:rPr>
          <w:rFonts w:ascii="Times New Roman" w:eastAsia="Times New Roman" w:hAnsi="Times New Roman"/>
          <w:bCs/>
          <w:iCs/>
          <w:sz w:val="28"/>
          <w:szCs w:val="28"/>
          <w:lang w:eastAsia="ru-RU"/>
        </w:rPr>
        <w:t xml:space="preserve">].  </w:t>
      </w:r>
    </w:p>
    <w:p w:rsidR="00CF7FBB" w:rsidRPr="009114DF" w:rsidRDefault="00CF7FBB" w:rsidP="00F71B34">
      <w:pPr>
        <w:shd w:val="clear" w:color="auto" w:fill="FFFFFF"/>
        <w:spacing w:after="0" w:line="360" w:lineRule="auto"/>
        <w:ind w:firstLine="851"/>
        <w:jc w:val="both"/>
        <w:rPr>
          <w:rFonts w:ascii="Times New Roman" w:eastAsia="Times New Roman" w:hAnsi="Times New Roman"/>
          <w:bCs/>
          <w:iCs/>
          <w:sz w:val="28"/>
          <w:szCs w:val="28"/>
          <w:lang w:eastAsia="ru-RU"/>
        </w:rPr>
      </w:pPr>
    </w:p>
    <w:p w:rsidR="00CF7FBB" w:rsidRPr="009114DF" w:rsidRDefault="00CF7FBB" w:rsidP="0057336A">
      <w:pPr>
        <w:numPr>
          <w:ilvl w:val="1"/>
          <w:numId w:val="23"/>
        </w:numPr>
        <w:spacing w:after="0" w:line="360" w:lineRule="auto"/>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 xml:space="preserve">Современные представления об этиопатогенезе </w:t>
      </w:r>
      <w:r w:rsidR="00CD2EDC" w:rsidRPr="009114DF">
        <w:rPr>
          <w:rFonts w:ascii="Times New Roman" w:eastAsia="Times New Roman" w:hAnsi="Times New Roman"/>
          <w:b/>
          <w:sz w:val="28"/>
          <w:szCs w:val="28"/>
          <w:lang w:eastAsia="ru-RU"/>
        </w:rPr>
        <w:t>ревматоидного артрита</w:t>
      </w:r>
    </w:p>
    <w:p w:rsidR="002230F3" w:rsidRPr="009114DF" w:rsidRDefault="002230F3" w:rsidP="002230F3">
      <w:pPr>
        <w:spacing w:after="0" w:line="360" w:lineRule="auto"/>
        <w:ind w:left="1425"/>
        <w:jc w:val="both"/>
        <w:rPr>
          <w:rFonts w:ascii="Times New Roman" w:eastAsia="Times New Roman" w:hAnsi="Times New Roman"/>
          <w:b/>
          <w:sz w:val="28"/>
          <w:szCs w:val="28"/>
          <w:lang w:eastAsia="ru-RU"/>
        </w:rPr>
      </w:pPr>
    </w:p>
    <w:p w:rsidR="00CF7FBB" w:rsidRPr="009114DF" w:rsidRDefault="00CF7FBB"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Вопросы патогенеза и диагностики РА продолжают оставаться актуальной про</w:t>
      </w:r>
      <w:r w:rsidR="0057336A" w:rsidRPr="009114DF">
        <w:rPr>
          <w:rFonts w:ascii="Times New Roman" w:eastAsia="Times New Roman" w:hAnsi="Times New Roman"/>
          <w:sz w:val="28"/>
          <w:szCs w:val="28"/>
          <w:lang w:eastAsia="ru-RU"/>
        </w:rPr>
        <w:t>блемой клинической медицины</w:t>
      </w:r>
      <w:r w:rsidRPr="009114DF">
        <w:rPr>
          <w:rFonts w:ascii="Times New Roman" w:eastAsia="Times New Roman" w:hAnsi="Times New Roman"/>
          <w:sz w:val="28"/>
          <w:szCs w:val="28"/>
          <w:lang w:eastAsia="ru-RU"/>
        </w:rPr>
        <w:t>. В основе патогенеза РА лежат глубокие нарушения иммунного ответа с дисбалансом количественного и качественного состава иммунокомпетентных клеток, нарушением их функциональной активности и клеточной кооперации [</w:t>
      </w:r>
      <w:r w:rsidR="00F94DB5" w:rsidRPr="009114DF">
        <w:rPr>
          <w:rFonts w:ascii="Times New Roman" w:eastAsia="Times New Roman" w:hAnsi="Times New Roman"/>
          <w:sz w:val="28"/>
          <w:szCs w:val="28"/>
          <w:lang w:eastAsia="ru-RU"/>
        </w:rPr>
        <w:t>31</w:t>
      </w:r>
      <w:r w:rsidR="00B86681" w:rsidRPr="009114DF">
        <w:rPr>
          <w:rFonts w:ascii="Times New Roman" w:eastAsia="Times New Roman" w:hAnsi="Times New Roman"/>
          <w:sz w:val="28"/>
          <w:szCs w:val="28"/>
          <w:lang w:eastAsia="ru-RU"/>
        </w:rPr>
        <w:t>, 79</w:t>
      </w:r>
      <w:r w:rsidRPr="009114DF">
        <w:rPr>
          <w:rFonts w:ascii="Times New Roman" w:eastAsia="Times New Roman" w:hAnsi="Times New Roman"/>
          <w:sz w:val="28"/>
          <w:szCs w:val="28"/>
          <w:lang w:eastAsia="ru-RU"/>
        </w:rPr>
        <w:t>]. Аутоантитела (ревматоидные факторы, антитела к филлагрину, глюкоза-6-фосфат-дегидрогеназе и др.) и иммунные комплексы, активируя систему комплемента, еще больше усиливают воспалительную реакцию, вызывающую прогрессирующее поражение суставов [</w:t>
      </w:r>
      <w:r w:rsidR="00DC4AB2" w:rsidRPr="009114DF">
        <w:rPr>
          <w:rFonts w:ascii="Times New Roman" w:eastAsia="Times New Roman" w:hAnsi="Times New Roman"/>
          <w:sz w:val="28"/>
          <w:szCs w:val="28"/>
          <w:lang w:eastAsia="ru-RU"/>
        </w:rPr>
        <w:t>85</w:t>
      </w:r>
      <w:r w:rsidRPr="009114DF">
        <w:rPr>
          <w:rFonts w:ascii="Times New Roman" w:eastAsia="Times New Roman" w:hAnsi="Times New Roman"/>
          <w:sz w:val="28"/>
          <w:szCs w:val="28"/>
          <w:lang w:eastAsia="ru-RU"/>
        </w:rPr>
        <w:t>,</w:t>
      </w:r>
      <w:r w:rsidR="007D5321" w:rsidRPr="009114DF">
        <w:rPr>
          <w:rFonts w:ascii="Times New Roman" w:eastAsia="Times New Roman" w:hAnsi="Times New Roman"/>
          <w:sz w:val="28"/>
          <w:szCs w:val="28"/>
          <w:lang w:eastAsia="ru-RU"/>
        </w:rPr>
        <w:t xml:space="preserve"> </w:t>
      </w:r>
      <w:r w:rsidR="00957C16" w:rsidRPr="009114DF">
        <w:rPr>
          <w:rFonts w:ascii="Times New Roman" w:eastAsia="Times New Roman" w:hAnsi="Times New Roman"/>
          <w:sz w:val="28"/>
          <w:szCs w:val="28"/>
          <w:lang w:eastAsia="ru-RU"/>
        </w:rPr>
        <w:t>173</w:t>
      </w:r>
      <w:r w:rsidRPr="009114DF">
        <w:rPr>
          <w:rFonts w:ascii="Times New Roman" w:eastAsia="Times New Roman" w:hAnsi="Times New Roman"/>
          <w:sz w:val="28"/>
          <w:szCs w:val="28"/>
          <w:lang w:eastAsia="ru-RU"/>
        </w:rPr>
        <w:t>].</w:t>
      </w:r>
    </w:p>
    <w:p w:rsidR="00CF7FBB" w:rsidRPr="009114DF" w:rsidRDefault="00CF7FBB"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Важную роль в развитии РА играют СД</w:t>
      </w:r>
      <w:proofErr w:type="gramStart"/>
      <w:r w:rsidRPr="009114DF">
        <w:rPr>
          <w:rFonts w:ascii="Times New Roman" w:eastAsia="Times New Roman" w:hAnsi="Times New Roman"/>
          <w:sz w:val="28"/>
          <w:szCs w:val="28"/>
          <w:lang w:eastAsia="ru-RU"/>
        </w:rPr>
        <w:t>4</w:t>
      </w:r>
      <w:proofErr w:type="gramEnd"/>
      <w:r w:rsidRPr="009114DF">
        <w:rPr>
          <w:rFonts w:ascii="Times New Roman" w:eastAsia="Times New Roman" w:hAnsi="Times New Roman"/>
          <w:sz w:val="28"/>
          <w:szCs w:val="28"/>
          <w:lang w:eastAsia="ru-RU"/>
        </w:rPr>
        <w:t>+ Т-лимфоциты [</w:t>
      </w:r>
      <w:r w:rsidR="00DC4AB2" w:rsidRPr="009114DF">
        <w:rPr>
          <w:rFonts w:ascii="Times New Roman" w:eastAsia="Times New Roman" w:hAnsi="Times New Roman"/>
          <w:sz w:val="28"/>
          <w:szCs w:val="28"/>
          <w:lang w:eastAsia="ru-RU"/>
        </w:rPr>
        <w:t>48</w:t>
      </w:r>
      <w:r w:rsidRPr="009114DF">
        <w:rPr>
          <w:rFonts w:ascii="Times New Roman" w:eastAsia="Times New Roman" w:hAnsi="Times New Roman"/>
          <w:sz w:val="28"/>
          <w:szCs w:val="28"/>
          <w:lang w:eastAsia="ru-RU"/>
        </w:rPr>
        <w:t>]. Исследования показали, что иммунорегуляторный компонент РА определяется активацией СД</w:t>
      </w:r>
      <w:proofErr w:type="gramStart"/>
      <w:r w:rsidRPr="009114DF">
        <w:rPr>
          <w:rFonts w:ascii="Times New Roman" w:eastAsia="Times New Roman" w:hAnsi="Times New Roman"/>
          <w:sz w:val="28"/>
          <w:szCs w:val="28"/>
          <w:lang w:eastAsia="ru-RU"/>
        </w:rPr>
        <w:t>4</w:t>
      </w:r>
      <w:proofErr w:type="gramEnd"/>
      <w:r w:rsidRPr="009114DF">
        <w:rPr>
          <w:rFonts w:ascii="Times New Roman" w:eastAsia="Times New Roman" w:hAnsi="Times New Roman"/>
          <w:sz w:val="28"/>
          <w:szCs w:val="28"/>
          <w:lang w:eastAsia="ru-RU"/>
        </w:rPr>
        <w:t>+ Т-лимфоцитов по 1</w:t>
      </w:r>
      <w:r w:rsidR="00CD2EDC" w:rsidRPr="009114DF">
        <w:rPr>
          <w:rFonts w:ascii="Times New Roman" w:eastAsia="Times New Roman" w:hAnsi="Times New Roman"/>
          <w:sz w:val="28"/>
          <w:szCs w:val="28"/>
          <w:lang w:eastAsia="ru-RU"/>
        </w:rPr>
        <w:t>-му</w:t>
      </w:r>
      <w:r w:rsidRPr="009114DF">
        <w:rPr>
          <w:rFonts w:ascii="Times New Roman" w:eastAsia="Times New Roman" w:hAnsi="Times New Roman"/>
          <w:sz w:val="28"/>
          <w:szCs w:val="28"/>
          <w:lang w:eastAsia="ru-RU"/>
        </w:rPr>
        <w:t xml:space="preserve"> типу (синтез интерлейкина </w:t>
      </w:r>
      <w:r w:rsidRPr="009114DF">
        <w:rPr>
          <w:rFonts w:ascii="Times New Roman" w:eastAsia="Times New Roman" w:hAnsi="Times New Roman"/>
          <w:spacing w:val="-4"/>
          <w:sz w:val="28"/>
          <w:szCs w:val="28"/>
          <w:lang w:eastAsia="ru-RU"/>
        </w:rPr>
        <w:t>(ИЛ)-2, интерферона (ИФН)</w:t>
      </w:r>
      <w:r w:rsidR="00DE5A43" w:rsidRPr="009114DF">
        <w:rPr>
          <w:rFonts w:ascii="Times New Roman" w:eastAsia="Times New Roman" w:hAnsi="Times New Roman"/>
          <w:spacing w:val="-4"/>
          <w:sz w:val="28"/>
          <w:szCs w:val="28"/>
          <w:lang w:eastAsia="ru-RU"/>
        </w:rPr>
        <w:t>-</w:t>
      </w:r>
      <w:r w:rsidRPr="009114DF">
        <w:rPr>
          <w:rFonts w:ascii="Times New Roman" w:eastAsia="Times New Roman" w:hAnsi="Times New Roman"/>
          <w:spacing w:val="-4"/>
          <w:sz w:val="28"/>
          <w:szCs w:val="28"/>
          <w:lang w:eastAsia="ru-RU"/>
        </w:rPr>
        <w:t>γ, ИЛ-17,</w:t>
      </w:r>
      <w:r w:rsidR="00DE5A43" w:rsidRPr="009114DF">
        <w:rPr>
          <w:rFonts w:ascii="Times New Roman" w:eastAsia="Times New Roman" w:hAnsi="Times New Roman"/>
          <w:spacing w:val="-4"/>
          <w:sz w:val="28"/>
          <w:szCs w:val="28"/>
          <w:lang w:eastAsia="ru-RU"/>
        </w:rPr>
        <w:t xml:space="preserve"> </w:t>
      </w:r>
      <w:r w:rsidRPr="009114DF">
        <w:rPr>
          <w:rFonts w:ascii="Times New Roman" w:eastAsia="Times New Roman" w:hAnsi="Times New Roman"/>
          <w:spacing w:val="-4"/>
          <w:sz w:val="28"/>
          <w:szCs w:val="28"/>
          <w:lang w:eastAsia="ru-RU"/>
        </w:rPr>
        <w:t>ИЛ-18), а эффекторный –</w:t>
      </w:r>
      <w:r w:rsidRPr="009114DF">
        <w:rPr>
          <w:rFonts w:ascii="Times New Roman" w:eastAsia="Times New Roman" w:hAnsi="Times New Roman"/>
          <w:sz w:val="28"/>
          <w:szCs w:val="28"/>
          <w:lang w:eastAsia="ru-RU"/>
        </w:rPr>
        <w:t xml:space="preserve"> активацией макрофагов. Именно способность активированных Т-лимфоцитов (цитокин, межклеточные контакты) стимулировать синтез макрофагами противоспалительных медиаторов играет фундаментальную роль в развитии воспаления при РА [</w:t>
      </w:r>
      <w:r w:rsidR="00DC4AB2" w:rsidRPr="009114DF">
        <w:rPr>
          <w:rFonts w:ascii="Times New Roman" w:eastAsia="Times New Roman" w:hAnsi="Times New Roman"/>
          <w:sz w:val="28"/>
          <w:szCs w:val="28"/>
          <w:lang w:eastAsia="ru-RU"/>
        </w:rPr>
        <w:t>3</w:t>
      </w:r>
      <w:r w:rsidR="00F94DB5" w:rsidRPr="009114DF">
        <w:rPr>
          <w:rFonts w:ascii="Times New Roman" w:eastAsia="Times New Roman" w:hAnsi="Times New Roman"/>
          <w:sz w:val="28"/>
          <w:szCs w:val="28"/>
          <w:lang w:eastAsia="ru-RU"/>
        </w:rPr>
        <w:t>3</w:t>
      </w:r>
      <w:r w:rsidR="00886648" w:rsidRPr="009114DF">
        <w:rPr>
          <w:rFonts w:ascii="Times New Roman" w:eastAsia="Times New Roman" w:hAnsi="Times New Roman"/>
          <w:sz w:val="28"/>
          <w:szCs w:val="28"/>
          <w:lang w:eastAsia="ru-RU"/>
        </w:rPr>
        <w:t xml:space="preserve">, </w:t>
      </w:r>
      <w:r w:rsidR="00B86681" w:rsidRPr="009114DF">
        <w:rPr>
          <w:rFonts w:ascii="Times New Roman" w:eastAsia="Times New Roman" w:hAnsi="Times New Roman"/>
          <w:sz w:val="28"/>
          <w:szCs w:val="28"/>
          <w:lang w:eastAsia="ru-RU"/>
        </w:rPr>
        <w:t>61</w:t>
      </w:r>
      <w:r w:rsidRPr="009114DF">
        <w:rPr>
          <w:rFonts w:ascii="Times New Roman" w:eastAsia="Times New Roman" w:hAnsi="Times New Roman"/>
          <w:sz w:val="28"/>
          <w:szCs w:val="28"/>
          <w:lang w:eastAsia="ru-RU"/>
        </w:rPr>
        <w:t>].</w:t>
      </w:r>
    </w:p>
    <w:p w:rsidR="00CF7FBB" w:rsidRPr="009114DF" w:rsidRDefault="00EA3ECA" w:rsidP="00432D00">
      <w:pPr>
        <w:spacing w:after="0" w:line="37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w:t>
      </w:r>
      <w:r w:rsidR="00CF7FBB" w:rsidRPr="009114DF">
        <w:rPr>
          <w:rFonts w:ascii="Times New Roman" w:eastAsia="Times New Roman" w:hAnsi="Times New Roman"/>
          <w:sz w:val="28"/>
          <w:szCs w:val="28"/>
          <w:lang w:eastAsia="ru-RU"/>
        </w:rPr>
        <w:t xml:space="preserve"> развит</w:t>
      </w:r>
      <w:proofErr w:type="gramStart"/>
      <w:r w:rsidR="00CF7FBB" w:rsidRPr="009114DF">
        <w:rPr>
          <w:rFonts w:ascii="Times New Roman" w:eastAsia="Times New Roman" w:hAnsi="Times New Roman"/>
          <w:sz w:val="28"/>
          <w:szCs w:val="28"/>
          <w:lang w:eastAsia="ru-RU"/>
        </w:rPr>
        <w:t>ии ау</w:t>
      </w:r>
      <w:proofErr w:type="gramEnd"/>
      <w:r w:rsidR="00CF7FBB" w:rsidRPr="009114DF">
        <w:rPr>
          <w:rFonts w:ascii="Times New Roman" w:eastAsia="Times New Roman" w:hAnsi="Times New Roman"/>
          <w:sz w:val="28"/>
          <w:szCs w:val="28"/>
          <w:lang w:eastAsia="ru-RU"/>
        </w:rPr>
        <w:t>тоиммунного воспалительного процесса при РА</w:t>
      </w:r>
      <w:r w:rsidRPr="009114DF">
        <w:rPr>
          <w:rFonts w:ascii="Times New Roman" w:eastAsia="Times New Roman" w:hAnsi="Times New Roman"/>
          <w:sz w:val="28"/>
          <w:szCs w:val="28"/>
          <w:lang w:eastAsia="ru-RU"/>
        </w:rPr>
        <w:t xml:space="preserve"> принимает участие </w:t>
      </w:r>
      <w:r w:rsidR="00CF7FBB" w:rsidRPr="009114DF">
        <w:rPr>
          <w:rFonts w:ascii="Times New Roman" w:eastAsia="Times New Roman" w:hAnsi="Times New Roman"/>
          <w:sz w:val="28"/>
          <w:szCs w:val="28"/>
          <w:lang w:eastAsia="ru-RU"/>
        </w:rPr>
        <w:t>широ</w:t>
      </w:r>
      <w:r w:rsidRPr="009114DF">
        <w:rPr>
          <w:rFonts w:ascii="Times New Roman" w:eastAsia="Times New Roman" w:hAnsi="Times New Roman"/>
          <w:sz w:val="28"/>
          <w:szCs w:val="28"/>
          <w:lang w:eastAsia="ru-RU"/>
        </w:rPr>
        <w:t>кий спектр</w:t>
      </w:r>
      <w:r w:rsidR="00CF7FBB" w:rsidRPr="009114DF">
        <w:rPr>
          <w:rFonts w:ascii="Times New Roman" w:eastAsia="Times New Roman" w:hAnsi="Times New Roman"/>
          <w:sz w:val="28"/>
          <w:szCs w:val="28"/>
          <w:lang w:eastAsia="ru-RU"/>
        </w:rPr>
        <w:t xml:space="preserve"> цитокинов [</w:t>
      </w:r>
      <w:r w:rsidR="00B86681" w:rsidRPr="009114DF">
        <w:rPr>
          <w:rFonts w:ascii="Times New Roman" w:eastAsia="Times New Roman" w:hAnsi="Times New Roman"/>
          <w:sz w:val="28"/>
          <w:szCs w:val="28"/>
          <w:lang w:eastAsia="ru-RU"/>
        </w:rPr>
        <w:t>61,</w:t>
      </w:r>
      <w:r w:rsidR="00CD2EDC" w:rsidRPr="009114DF">
        <w:rPr>
          <w:rFonts w:ascii="Times New Roman" w:eastAsia="Times New Roman" w:hAnsi="Times New Roman"/>
          <w:sz w:val="28"/>
          <w:szCs w:val="28"/>
          <w:lang w:eastAsia="ru-RU"/>
        </w:rPr>
        <w:t xml:space="preserve"> </w:t>
      </w:r>
      <w:r w:rsidR="00BD6504" w:rsidRPr="009114DF">
        <w:rPr>
          <w:rFonts w:ascii="Times New Roman" w:eastAsia="Times New Roman" w:hAnsi="Times New Roman"/>
          <w:sz w:val="28"/>
          <w:szCs w:val="28"/>
          <w:lang w:eastAsia="ru-RU"/>
        </w:rPr>
        <w:t>159</w:t>
      </w:r>
      <w:r w:rsidR="00CF7FBB" w:rsidRPr="009114DF">
        <w:rPr>
          <w:rFonts w:ascii="Times New Roman" w:eastAsia="Times New Roman" w:hAnsi="Times New Roman"/>
          <w:sz w:val="28"/>
          <w:szCs w:val="28"/>
          <w:lang w:eastAsia="ru-RU"/>
        </w:rPr>
        <w:t xml:space="preserve">]. В синовиальной жидкости и тканях </w:t>
      </w:r>
      <w:r w:rsidR="00CF7FBB" w:rsidRPr="009114DF">
        <w:rPr>
          <w:rFonts w:ascii="Times New Roman" w:eastAsia="Times New Roman" w:hAnsi="Times New Roman"/>
          <w:sz w:val="28"/>
          <w:szCs w:val="28"/>
          <w:lang w:eastAsia="ru-RU"/>
        </w:rPr>
        <w:lastRenderedPageBreak/>
        <w:t>суставов при РА содержится избыточное количество цит</w:t>
      </w:r>
      <w:r w:rsidR="0045737A" w:rsidRPr="009114DF">
        <w:rPr>
          <w:rFonts w:ascii="Times New Roman" w:eastAsia="Times New Roman" w:hAnsi="Times New Roman"/>
          <w:sz w:val="28"/>
          <w:szCs w:val="28"/>
          <w:lang w:eastAsia="ru-RU"/>
        </w:rPr>
        <w:t>окинов</w:t>
      </w:r>
      <w:r w:rsidR="00CF7FBB" w:rsidRPr="009114DF">
        <w:rPr>
          <w:rFonts w:ascii="Times New Roman" w:eastAsia="Times New Roman" w:hAnsi="Times New Roman"/>
          <w:sz w:val="28"/>
          <w:szCs w:val="28"/>
          <w:lang w:eastAsia="ru-RU"/>
        </w:rPr>
        <w:t xml:space="preserve">, в основном макрофагального происхождения ИЛ-1, </w:t>
      </w:r>
      <w:r w:rsidR="004C79A6" w:rsidRPr="009114DF">
        <w:rPr>
          <w:rFonts w:ascii="Times New Roman" w:eastAsia="Times New Roman" w:hAnsi="Times New Roman"/>
          <w:sz w:val="28"/>
          <w:szCs w:val="28"/>
          <w:lang w:eastAsia="ru-RU"/>
        </w:rPr>
        <w:t>фактор некроза опухоли</w:t>
      </w:r>
      <w:r w:rsidR="00CD2EDC" w:rsidRPr="009114DF">
        <w:rPr>
          <w:rFonts w:ascii="Times New Roman" w:eastAsia="Times New Roman" w:hAnsi="Times New Roman"/>
          <w:sz w:val="28"/>
          <w:szCs w:val="28"/>
          <w:lang w:eastAsia="ru-RU"/>
        </w:rPr>
        <w:t>-</w:t>
      </w:r>
      <w:r w:rsidR="00CF7FBB" w:rsidRPr="009114DF">
        <w:rPr>
          <w:rFonts w:ascii="Times New Roman" w:eastAsia="Times New Roman" w:hAnsi="Times New Roman"/>
          <w:sz w:val="28"/>
          <w:szCs w:val="28"/>
          <w:lang w:eastAsia="ru-RU"/>
        </w:rPr>
        <w:t>альфа</w:t>
      </w:r>
      <w:r w:rsidR="004C79A6" w:rsidRPr="009114DF">
        <w:rPr>
          <w:rFonts w:ascii="Times New Roman" w:eastAsia="Times New Roman" w:hAnsi="Times New Roman"/>
          <w:sz w:val="28"/>
          <w:szCs w:val="28"/>
          <w:lang w:eastAsia="ru-RU"/>
        </w:rPr>
        <w:t xml:space="preserve"> (ФН</w:t>
      </w:r>
      <w:proofErr w:type="gramStart"/>
      <w:r w:rsidR="004C79A6" w:rsidRPr="009114DF">
        <w:rPr>
          <w:rFonts w:ascii="Times New Roman" w:eastAsia="Times New Roman" w:hAnsi="Times New Roman"/>
          <w:sz w:val="28"/>
          <w:szCs w:val="28"/>
          <w:lang w:eastAsia="ru-RU"/>
        </w:rPr>
        <w:t>О</w:t>
      </w:r>
      <w:r w:rsidR="00CD2EDC" w:rsidRPr="009114DF">
        <w:rPr>
          <w:rFonts w:ascii="Times New Roman" w:eastAsia="Times New Roman" w:hAnsi="Times New Roman"/>
          <w:sz w:val="28"/>
          <w:szCs w:val="28"/>
          <w:lang w:eastAsia="ru-RU"/>
        </w:rPr>
        <w:t>-</w:t>
      </w:r>
      <w:proofErr w:type="gramEnd"/>
      <w:r w:rsidR="004C79A6" w:rsidRPr="009114DF">
        <w:rPr>
          <w:rFonts w:ascii="Times New Roman" w:eastAsia="Times New Roman" w:hAnsi="Times New Roman"/>
          <w:sz w:val="28"/>
          <w:szCs w:val="28"/>
          <w:lang w:eastAsia="ru-RU"/>
        </w:rPr>
        <w:t>α)</w:t>
      </w:r>
      <w:r w:rsidR="00CF7FBB" w:rsidRPr="009114DF">
        <w:rPr>
          <w:rFonts w:ascii="Times New Roman" w:eastAsia="Times New Roman" w:hAnsi="Times New Roman"/>
          <w:sz w:val="28"/>
          <w:szCs w:val="28"/>
          <w:lang w:eastAsia="ru-RU"/>
        </w:rPr>
        <w:t>, ГМ-КСФ, ИЛ-6), при минимальном содержании Т-клеточных цитокинов (ИЛ-2, ИЛ-3, ИЛ-4, ИФ</w:t>
      </w:r>
      <w:r w:rsidR="00432D00" w:rsidRPr="009114DF">
        <w:rPr>
          <w:rFonts w:ascii="Times New Roman" w:eastAsia="Times New Roman" w:hAnsi="Times New Roman"/>
          <w:sz w:val="28"/>
          <w:szCs w:val="28"/>
          <w:lang w:eastAsia="ru-RU"/>
        </w:rPr>
        <w:t>Н</w:t>
      </w:r>
      <w:r w:rsidR="00CF7FBB" w:rsidRPr="009114DF">
        <w:rPr>
          <w:rFonts w:ascii="Times New Roman" w:eastAsia="Times New Roman" w:hAnsi="Times New Roman"/>
          <w:sz w:val="28"/>
          <w:szCs w:val="28"/>
          <w:lang w:eastAsia="ru-RU"/>
        </w:rPr>
        <w:t>-γ). Согласно современным представлениям, именно цитотоксическими эффектами провоспалительных цитокинов,</w:t>
      </w:r>
      <w:r w:rsidR="004C79A6"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таких как</w:t>
      </w:r>
      <w:r w:rsidR="004C79A6" w:rsidRPr="009114DF">
        <w:rPr>
          <w:rFonts w:ascii="Times New Roman" w:eastAsia="Times New Roman" w:hAnsi="Times New Roman"/>
          <w:sz w:val="28"/>
          <w:szCs w:val="28"/>
          <w:lang w:eastAsia="ru-RU"/>
        </w:rPr>
        <w:t xml:space="preserve"> ИЛ-1, ИЛ-6, ФНО</w:t>
      </w:r>
      <w:r w:rsidR="00432D00" w:rsidRPr="009114DF">
        <w:rPr>
          <w:rFonts w:ascii="Times New Roman" w:eastAsia="Times New Roman" w:hAnsi="Times New Roman"/>
          <w:sz w:val="28"/>
          <w:szCs w:val="28"/>
          <w:lang w:eastAsia="ru-RU"/>
        </w:rPr>
        <w:t>-</w:t>
      </w:r>
      <w:r w:rsidR="004C79A6" w:rsidRPr="009114DF">
        <w:rPr>
          <w:rFonts w:ascii="Times New Roman" w:eastAsia="Times New Roman" w:hAnsi="Times New Roman"/>
          <w:sz w:val="28"/>
          <w:szCs w:val="28"/>
          <w:lang w:eastAsia="ru-RU"/>
        </w:rPr>
        <w:t>α</w:t>
      </w:r>
      <w:r w:rsidR="00CF7FBB" w:rsidRPr="009114DF">
        <w:rPr>
          <w:rFonts w:ascii="Times New Roman" w:eastAsia="Times New Roman" w:hAnsi="Times New Roman"/>
          <w:sz w:val="28"/>
          <w:szCs w:val="28"/>
          <w:lang w:eastAsia="ru-RU"/>
        </w:rPr>
        <w:t xml:space="preserve">, обусловлены основные проявления заболевания, в том числе хронический синовит, деструктивные </w:t>
      </w:r>
      <w:r w:rsidRPr="009114DF">
        <w:rPr>
          <w:rFonts w:ascii="Times New Roman" w:eastAsia="Times New Roman" w:hAnsi="Times New Roman"/>
          <w:sz w:val="28"/>
          <w:szCs w:val="28"/>
          <w:lang w:eastAsia="ru-RU"/>
        </w:rPr>
        <w:t>процессы в хряще и кости</w:t>
      </w:r>
      <w:r w:rsidR="00CF7FBB" w:rsidRPr="009114DF">
        <w:rPr>
          <w:rFonts w:ascii="Times New Roman" w:eastAsia="Times New Roman" w:hAnsi="Times New Roman"/>
          <w:sz w:val="28"/>
          <w:szCs w:val="28"/>
          <w:lang w:eastAsia="ru-RU"/>
        </w:rPr>
        <w:t xml:space="preserve"> [</w:t>
      </w:r>
      <w:proofErr w:type="gramStart"/>
      <w:r w:rsidR="00041E69" w:rsidRPr="009114DF">
        <w:rPr>
          <w:rFonts w:ascii="Times New Roman" w:eastAsia="Times New Roman" w:hAnsi="Times New Roman"/>
          <w:sz w:val="28"/>
          <w:szCs w:val="28"/>
          <w:lang w:eastAsia="ru-RU"/>
        </w:rPr>
        <w:t xml:space="preserve">89, </w:t>
      </w:r>
      <w:r w:rsidR="00A05647" w:rsidRPr="009114DF">
        <w:rPr>
          <w:rFonts w:ascii="Times New Roman" w:eastAsia="Times New Roman" w:hAnsi="Times New Roman"/>
          <w:sz w:val="28"/>
          <w:szCs w:val="28"/>
          <w:lang w:eastAsia="ru-RU"/>
        </w:rPr>
        <w:t>109</w:t>
      </w:r>
      <w:r w:rsidR="00CF7FBB" w:rsidRPr="009114DF">
        <w:rPr>
          <w:rFonts w:ascii="Times New Roman" w:eastAsia="Times New Roman" w:hAnsi="Times New Roman"/>
          <w:sz w:val="28"/>
          <w:szCs w:val="28"/>
          <w:lang w:eastAsia="ru-RU"/>
        </w:rPr>
        <w:t xml:space="preserve">]. </w:t>
      </w:r>
      <w:proofErr w:type="gramEnd"/>
    </w:p>
    <w:p w:rsidR="00CF7FBB" w:rsidRPr="009114DF" w:rsidRDefault="00CF7FBB" w:rsidP="00432D00">
      <w:pPr>
        <w:spacing w:after="0" w:line="37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         ФН</w:t>
      </w:r>
      <w:proofErr w:type="gramStart"/>
      <w:r w:rsidRPr="009114DF">
        <w:rPr>
          <w:rFonts w:ascii="Times New Roman" w:eastAsia="Times New Roman" w:hAnsi="Times New Roman"/>
          <w:sz w:val="28"/>
          <w:szCs w:val="28"/>
          <w:lang w:eastAsia="ru-RU"/>
        </w:rPr>
        <w:t>О</w:t>
      </w:r>
      <w:r w:rsidR="00432D00" w:rsidRPr="009114DF">
        <w:rPr>
          <w:rFonts w:ascii="Times New Roman" w:eastAsia="Times New Roman" w:hAnsi="Times New Roman"/>
          <w:sz w:val="28"/>
          <w:szCs w:val="28"/>
          <w:lang w:eastAsia="ru-RU"/>
        </w:rPr>
        <w:t>-</w:t>
      </w:r>
      <w:proofErr w:type="gramEnd"/>
      <w:r w:rsidR="004C79A6" w:rsidRPr="009114DF">
        <w:rPr>
          <w:rFonts w:ascii="Times New Roman" w:eastAsia="Times New Roman" w:hAnsi="Times New Roman"/>
          <w:sz w:val="28"/>
          <w:szCs w:val="28"/>
          <w:lang w:eastAsia="ru-RU"/>
        </w:rPr>
        <w:t>α</w:t>
      </w:r>
      <w:r w:rsidRPr="009114DF">
        <w:rPr>
          <w:rFonts w:ascii="Times New Roman" w:eastAsia="Times New Roman" w:hAnsi="Times New Roman"/>
          <w:sz w:val="28"/>
          <w:szCs w:val="28"/>
          <w:lang w:eastAsia="ru-RU"/>
        </w:rPr>
        <w:t xml:space="preserve"> вырабатывается клетками палисадообразного слоя ревматоидной гранулемы, обнаруживаемыми на стыке между паннусом  и суставным хрящом, т.</w:t>
      </w:r>
      <w:r w:rsidR="00432D00"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е. в той зоне, с которой </w:t>
      </w:r>
      <w:r w:rsidR="0057336A" w:rsidRPr="009114DF">
        <w:rPr>
          <w:rFonts w:ascii="Times New Roman" w:eastAsia="Times New Roman" w:hAnsi="Times New Roman"/>
          <w:sz w:val="28"/>
          <w:szCs w:val="28"/>
          <w:lang w:eastAsia="ru-RU"/>
        </w:rPr>
        <w:t>начинается деструкция хряща</w:t>
      </w:r>
      <w:r w:rsidRPr="009114DF">
        <w:rPr>
          <w:rFonts w:ascii="Times New Roman" w:eastAsia="Times New Roman" w:hAnsi="Times New Roman"/>
          <w:sz w:val="28"/>
          <w:szCs w:val="28"/>
          <w:lang w:eastAsia="ru-RU"/>
        </w:rPr>
        <w:t>.  ФН</w:t>
      </w:r>
      <w:proofErr w:type="gramStart"/>
      <w:r w:rsidRPr="009114DF">
        <w:rPr>
          <w:rFonts w:ascii="Times New Roman" w:eastAsia="Times New Roman" w:hAnsi="Times New Roman"/>
          <w:sz w:val="28"/>
          <w:szCs w:val="28"/>
          <w:lang w:eastAsia="ru-RU"/>
        </w:rPr>
        <w:t>О</w:t>
      </w:r>
      <w:r w:rsidR="00432D00" w:rsidRPr="009114DF">
        <w:rPr>
          <w:rFonts w:ascii="Times New Roman" w:eastAsia="Times New Roman" w:hAnsi="Times New Roman"/>
          <w:sz w:val="28"/>
          <w:szCs w:val="28"/>
          <w:lang w:eastAsia="ru-RU"/>
        </w:rPr>
        <w:t>-</w:t>
      </w:r>
      <w:proofErr w:type="gramEnd"/>
      <w:r w:rsidR="004C79A6" w:rsidRPr="009114DF">
        <w:rPr>
          <w:rFonts w:ascii="Times New Roman" w:eastAsia="Times New Roman" w:hAnsi="Times New Roman"/>
          <w:sz w:val="28"/>
          <w:szCs w:val="28"/>
          <w:lang w:eastAsia="ru-RU"/>
        </w:rPr>
        <w:t>α</w:t>
      </w:r>
      <w:r w:rsidRPr="009114DF">
        <w:rPr>
          <w:rFonts w:ascii="Times New Roman" w:eastAsia="Times New Roman" w:hAnsi="Times New Roman"/>
          <w:sz w:val="28"/>
          <w:szCs w:val="28"/>
          <w:lang w:eastAsia="ru-RU"/>
        </w:rPr>
        <w:t xml:space="preserve"> принимает участие в активации цитокинового каскада, приводящего к развитию ревматоидного воспаления. Так, он активирует синтез ИЛ-6, содержание которого в сыворотке крови тесно коррелирует с клиническими и лабораторными параметрами воспалительного процесса.  Повышение уровня ИЛ-6 обусл</w:t>
      </w:r>
      <w:r w:rsidR="00432D00" w:rsidRPr="009114DF">
        <w:rPr>
          <w:rFonts w:ascii="Times New Roman" w:eastAsia="Times New Roman" w:hAnsi="Times New Roman"/>
          <w:sz w:val="28"/>
          <w:szCs w:val="28"/>
          <w:lang w:eastAsia="ru-RU"/>
        </w:rPr>
        <w:t>о</w:t>
      </w:r>
      <w:r w:rsidRPr="009114DF">
        <w:rPr>
          <w:rFonts w:ascii="Times New Roman" w:eastAsia="Times New Roman" w:hAnsi="Times New Roman"/>
          <w:sz w:val="28"/>
          <w:szCs w:val="28"/>
          <w:lang w:eastAsia="ru-RU"/>
        </w:rPr>
        <w:t>вливает развитие костной деструкции [</w:t>
      </w:r>
      <w:r w:rsidR="00B86681" w:rsidRPr="009114DF">
        <w:rPr>
          <w:rFonts w:ascii="Times New Roman" w:eastAsia="Times New Roman" w:hAnsi="Times New Roman"/>
          <w:sz w:val="28"/>
          <w:szCs w:val="28"/>
          <w:lang w:eastAsia="ru-RU"/>
        </w:rPr>
        <w:t>12,</w:t>
      </w:r>
      <w:r w:rsidR="00432D00" w:rsidRPr="009114DF">
        <w:rPr>
          <w:rFonts w:ascii="Times New Roman" w:eastAsia="Times New Roman" w:hAnsi="Times New Roman"/>
          <w:sz w:val="28"/>
          <w:szCs w:val="28"/>
          <w:lang w:eastAsia="ru-RU"/>
        </w:rPr>
        <w:t xml:space="preserve"> </w:t>
      </w:r>
      <w:r w:rsidR="00F94DB5" w:rsidRPr="009114DF">
        <w:rPr>
          <w:rFonts w:ascii="Times New Roman" w:eastAsia="Times New Roman" w:hAnsi="Times New Roman"/>
          <w:sz w:val="28"/>
          <w:szCs w:val="28"/>
          <w:lang w:eastAsia="ru-RU"/>
        </w:rPr>
        <w:t>41</w:t>
      </w:r>
      <w:r w:rsidR="00B86681" w:rsidRPr="009114DF">
        <w:rPr>
          <w:rFonts w:ascii="Times New Roman" w:eastAsia="Times New Roman" w:hAnsi="Times New Roman"/>
          <w:sz w:val="28"/>
          <w:szCs w:val="28"/>
          <w:lang w:eastAsia="ru-RU"/>
        </w:rPr>
        <w:t>,</w:t>
      </w:r>
      <w:r w:rsidR="00432D00" w:rsidRPr="009114DF">
        <w:rPr>
          <w:rFonts w:ascii="Times New Roman" w:eastAsia="Times New Roman" w:hAnsi="Times New Roman"/>
          <w:sz w:val="28"/>
          <w:szCs w:val="28"/>
          <w:lang w:eastAsia="ru-RU"/>
        </w:rPr>
        <w:t xml:space="preserve"> </w:t>
      </w:r>
      <w:r w:rsidR="00B86681" w:rsidRPr="009114DF">
        <w:rPr>
          <w:rFonts w:ascii="Times New Roman" w:eastAsia="Times New Roman" w:hAnsi="Times New Roman"/>
          <w:sz w:val="28"/>
          <w:szCs w:val="28"/>
          <w:lang w:eastAsia="ru-RU"/>
        </w:rPr>
        <w:t>75</w:t>
      </w:r>
      <w:r w:rsidR="001207A9" w:rsidRPr="009114DF">
        <w:rPr>
          <w:rFonts w:ascii="Times New Roman" w:eastAsia="Times New Roman" w:hAnsi="Times New Roman"/>
          <w:sz w:val="28"/>
          <w:szCs w:val="28"/>
          <w:lang w:eastAsia="ru-RU"/>
        </w:rPr>
        <w:t>,</w:t>
      </w:r>
      <w:r w:rsidR="00432D00" w:rsidRPr="009114DF">
        <w:rPr>
          <w:rFonts w:ascii="Times New Roman" w:eastAsia="Times New Roman" w:hAnsi="Times New Roman"/>
          <w:sz w:val="28"/>
          <w:szCs w:val="28"/>
          <w:lang w:eastAsia="ru-RU"/>
        </w:rPr>
        <w:t xml:space="preserve"> </w:t>
      </w:r>
      <w:r w:rsidR="00041E69" w:rsidRPr="009114DF">
        <w:rPr>
          <w:rFonts w:ascii="Times New Roman" w:eastAsia="Times New Roman" w:hAnsi="Times New Roman"/>
          <w:sz w:val="28"/>
          <w:szCs w:val="28"/>
          <w:lang w:val="en-US" w:eastAsia="ru-RU"/>
        </w:rPr>
        <w:t>90</w:t>
      </w:r>
      <w:r w:rsidR="00886648" w:rsidRPr="009114DF">
        <w:rPr>
          <w:rFonts w:ascii="Times New Roman" w:eastAsia="Times New Roman" w:hAnsi="Times New Roman"/>
          <w:sz w:val="28"/>
          <w:szCs w:val="28"/>
          <w:lang w:eastAsia="ru-RU"/>
        </w:rPr>
        <w:t>]</w:t>
      </w:r>
      <w:r w:rsidR="001207A9" w:rsidRPr="009114DF">
        <w:rPr>
          <w:rFonts w:ascii="Times New Roman" w:eastAsia="Times New Roman" w:hAnsi="Times New Roman"/>
          <w:sz w:val="28"/>
          <w:szCs w:val="28"/>
          <w:lang w:eastAsia="ru-RU"/>
        </w:rPr>
        <w:t>.</w:t>
      </w:r>
    </w:p>
    <w:p w:rsidR="00CF7FBB" w:rsidRPr="009114DF" w:rsidRDefault="00CF7FBB" w:rsidP="00432D00">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Большое значение придается группе </w:t>
      </w:r>
      <w:r w:rsidR="00432D00" w:rsidRPr="009114DF">
        <w:rPr>
          <w:rFonts w:ascii="Times New Roman" w:eastAsia="Times New Roman" w:hAnsi="Times New Roman"/>
          <w:sz w:val="28"/>
          <w:szCs w:val="28"/>
          <w:lang w:eastAsia="ru-RU"/>
        </w:rPr>
        <w:t xml:space="preserve">таких </w:t>
      </w:r>
      <w:r w:rsidRPr="009114DF">
        <w:rPr>
          <w:rFonts w:ascii="Times New Roman" w:eastAsia="Times New Roman" w:hAnsi="Times New Roman"/>
          <w:sz w:val="28"/>
          <w:szCs w:val="28"/>
          <w:lang w:eastAsia="ru-RU"/>
        </w:rPr>
        <w:t>цитокинов</w:t>
      </w:r>
      <w:r w:rsidR="00432D00" w:rsidRPr="009114DF">
        <w:rPr>
          <w:rFonts w:ascii="Times New Roman" w:eastAsia="Times New Roman" w:hAnsi="Times New Roman"/>
          <w:sz w:val="28"/>
          <w:szCs w:val="28"/>
          <w:lang w:eastAsia="ru-RU"/>
        </w:rPr>
        <w:t>, как</w:t>
      </w:r>
      <w:r w:rsidRPr="009114DF">
        <w:rPr>
          <w:rFonts w:ascii="Times New Roman" w:eastAsia="Times New Roman" w:hAnsi="Times New Roman"/>
          <w:sz w:val="28"/>
          <w:szCs w:val="28"/>
          <w:lang w:eastAsia="ru-RU"/>
        </w:rPr>
        <w:t>: лиганд</w:t>
      </w:r>
      <w:r w:rsidR="00432D00"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рецепторы активатора нуклеарного фактора </w:t>
      </w:r>
      <w:proofErr w:type="gramStart"/>
      <w:r w:rsidR="00432D00" w:rsidRPr="009114DF">
        <w:rPr>
          <w:rFonts w:ascii="Times New Roman" w:eastAsia="Times New Roman" w:hAnsi="Times New Roman"/>
          <w:sz w:val="28"/>
          <w:szCs w:val="28"/>
          <w:lang w:val="en-US" w:eastAsia="ru-RU"/>
        </w:rPr>
        <w:t>k</w:t>
      </w:r>
      <w:proofErr w:type="gramEnd"/>
      <w:r w:rsidR="00432D00" w:rsidRPr="009114DF">
        <w:rPr>
          <w:rFonts w:ascii="Times New Roman" w:eastAsia="Times New Roman" w:hAnsi="Times New Roman"/>
          <w:sz w:val="28"/>
          <w:szCs w:val="28"/>
          <w:lang w:eastAsia="ru-RU"/>
        </w:rPr>
        <w:t>арра-В</w:t>
      </w:r>
      <w:r w:rsidRPr="009114DF">
        <w:rPr>
          <w:rFonts w:ascii="Times New Roman" w:eastAsia="Times New Roman" w:hAnsi="Times New Roman"/>
          <w:sz w:val="28"/>
          <w:szCs w:val="28"/>
          <w:lang w:eastAsia="ru-RU"/>
        </w:rPr>
        <w:t xml:space="preserve"> и остеопротегерина </w:t>
      </w:r>
      <w:r w:rsidR="004C79A6" w:rsidRPr="009114DF">
        <w:rPr>
          <w:rFonts w:ascii="Times New Roman" w:eastAsia="Times New Roman" w:hAnsi="Times New Roman"/>
          <w:sz w:val="28"/>
          <w:szCs w:val="28"/>
          <w:lang w:eastAsia="ru-RU"/>
        </w:rPr>
        <w:t xml:space="preserve">(OPG) </w:t>
      </w:r>
      <w:r w:rsidRPr="009114DF">
        <w:rPr>
          <w:rFonts w:ascii="Times New Roman" w:eastAsia="Times New Roman" w:hAnsi="Times New Roman"/>
          <w:sz w:val="28"/>
          <w:szCs w:val="28"/>
          <w:lang w:eastAsia="ru-RU"/>
        </w:rPr>
        <w:t>и их рецепторов (</w:t>
      </w:r>
      <w:r w:rsidRPr="009114DF">
        <w:rPr>
          <w:rFonts w:ascii="Times New Roman" w:eastAsia="Times New Roman" w:hAnsi="Times New Roman"/>
          <w:sz w:val="28"/>
          <w:szCs w:val="28"/>
          <w:lang w:val="en-US" w:eastAsia="ru-RU"/>
        </w:rPr>
        <w:t>RANKL</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OPG</w:t>
      </w:r>
      <w:r w:rsidRPr="009114DF">
        <w:rPr>
          <w:rFonts w:ascii="Times New Roman" w:eastAsia="Times New Roman" w:hAnsi="Times New Roman"/>
          <w:sz w:val="28"/>
          <w:szCs w:val="28"/>
          <w:lang w:eastAsia="ru-RU"/>
        </w:rPr>
        <w:t xml:space="preserve">), рецептор активатор нуклеарного фактора </w:t>
      </w:r>
      <w:r w:rsidR="00432D00" w:rsidRPr="009114DF">
        <w:rPr>
          <w:rFonts w:ascii="Times New Roman" w:eastAsia="Times New Roman" w:hAnsi="Times New Roman"/>
          <w:sz w:val="28"/>
          <w:szCs w:val="28"/>
          <w:lang w:val="en-US" w:eastAsia="ru-RU"/>
        </w:rPr>
        <w:t>k</w:t>
      </w:r>
      <w:r w:rsidRPr="009114DF">
        <w:rPr>
          <w:rFonts w:ascii="Times New Roman" w:eastAsia="Times New Roman" w:hAnsi="Times New Roman"/>
          <w:sz w:val="28"/>
          <w:szCs w:val="28"/>
          <w:lang w:eastAsia="ru-RU"/>
        </w:rPr>
        <w:t>арра</w:t>
      </w:r>
      <w:r w:rsidR="00432D00" w:rsidRPr="009114DF">
        <w:rPr>
          <w:rFonts w:ascii="Times New Roman" w:eastAsia="Times New Roman" w:hAnsi="Times New Roman"/>
          <w:sz w:val="28"/>
          <w:szCs w:val="28"/>
          <w:lang w:eastAsia="ru-RU"/>
        </w:rPr>
        <w:t>-В</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RANK</w:t>
      </w:r>
      <w:r w:rsidRPr="009114DF">
        <w:rPr>
          <w:rFonts w:ascii="Times New Roman" w:eastAsia="Times New Roman" w:hAnsi="Times New Roman"/>
          <w:sz w:val="28"/>
          <w:szCs w:val="28"/>
          <w:lang w:eastAsia="ru-RU"/>
        </w:rPr>
        <w:t>), принимающих существенное участие в регуляции цитокин-зависимой резорбции костной ткани [</w:t>
      </w:r>
      <w:r w:rsidR="00041E69" w:rsidRPr="009114DF">
        <w:rPr>
          <w:rFonts w:ascii="Times New Roman" w:eastAsia="Times New Roman" w:hAnsi="Times New Roman"/>
          <w:sz w:val="28"/>
          <w:szCs w:val="28"/>
          <w:lang w:eastAsia="ru-RU"/>
        </w:rPr>
        <w:t>97, 98</w:t>
      </w:r>
      <w:r w:rsidRPr="009114DF">
        <w:rPr>
          <w:rFonts w:ascii="Times New Roman" w:eastAsia="Times New Roman" w:hAnsi="Times New Roman"/>
          <w:sz w:val="28"/>
          <w:szCs w:val="28"/>
          <w:lang w:eastAsia="ru-RU"/>
        </w:rPr>
        <w:t xml:space="preserve">]. </w:t>
      </w:r>
      <w:proofErr w:type="gramStart"/>
      <w:r w:rsidRPr="009114DF">
        <w:rPr>
          <w:rFonts w:ascii="Times New Roman" w:eastAsia="Times New Roman" w:hAnsi="Times New Roman"/>
          <w:sz w:val="28"/>
          <w:szCs w:val="28"/>
          <w:lang w:val="en-US" w:eastAsia="ru-RU"/>
        </w:rPr>
        <w:t>RANKL</w:t>
      </w:r>
      <w:r w:rsidRPr="009114DF">
        <w:rPr>
          <w:rFonts w:ascii="Times New Roman" w:eastAsia="Times New Roman" w:hAnsi="Times New Roman"/>
          <w:sz w:val="28"/>
          <w:szCs w:val="28"/>
          <w:lang w:eastAsia="ru-RU"/>
        </w:rPr>
        <w:t xml:space="preserve"> индуцирует дифференцировку остеокластов из мононуклеарных клеток в присутствии макрофагального колониестимулирующего фактора (М-</w:t>
      </w:r>
      <w:r w:rsidRPr="009114DF">
        <w:rPr>
          <w:rFonts w:ascii="Times New Roman" w:eastAsia="Times New Roman" w:hAnsi="Times New Roman"/>
          <w:sz w:val="28"/>
          <w:szCs w:val="28"/>
          <w:lang w:val="en-US" w:eastAsia="ru-RU"/>
        </w:rPr>
        <w:t>RCA</w:t>
      </w:r>
      <w:r w:rsidRPr="009114DF">
        <w:rPr>
          <w:rFonts w:ascii="Times New Roman" w:eastAsia="Times New Roman" w:hAnsi="Times New Roman"/>
          <w:sz w:val="28"/>
          <w:szCs w:val="28"/>
          <w:lang w:eastAsia="ru-RU"/>
        </w:rPr>
        <w:t>).</w:t>
      </w:r>
      <w:proofErr w:type="gramEnd"/>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RANK</w:t>
      </w:r>
      <w:r w:rsidRPr="009114DF">
        <w:rPr>
          <w:rFonts w:ascii="Times New Roman" w:eastAsia="Times New Roman" w:hAnsi="Times New Roman"/>
          <w:sz w:val="28"/>
          <w:szCs w:val="28"/>
          <w:lang w:eastAsia="ru-RU"/>
        </w:rPr>
        <w:t xml:space="preserve"> (рецептор </w:t>
      </w:r>
      <w:r w:rsidRPr="009114DF">
        <w:rPr>
          <w:rFonts w:ascii="Times New Roman" w:eastAsia="Times New Roman" w:hAnsi="Times New Roman"/>
          <w:sz w:val="28"/>
          <w:szCs w:val="28"/>
          <w:lang w:val="en-US" w:eastAsia="ru-RU"/>
        </w:rPr>
        <w:t>RANKL</w:t>
      </w:r>
      <w:r w:rsidRPr="009114DF">
        <w:rPr>
          <w:rFonts w:ascii="Times New Roman" w:eastAsia="Times New Roman" w:hAnsi="Times New Roman"/>
          <w:sz w:val="28"/>
          <w:szCs w:val="28"/>
          <w:lang w:eastAsia="ru-RU"/>
        </w:rPr>
        <w:t>)</w:t>
      </w:r>
      <w:r w:rsidR="00CD2EDC"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 xml:space="preserve">«сигнальный» рецептор, </w:t>
      </w:r>
      <w:proofErr w:type="gramStart"/>
      <w:r w:rsidRPr="009114DF">
        <w:rPr>
          <w:rFonts w:ascii="Times New Roman" w:eastAsia="Times New Roman" w:hAnsi="Times New Roman"/>
          <w:sz w:val="28"/>
          <w:szCs w:val="28"/>
          <w:lang w:eastAsia="ru-RU"/>
        </w:rPr>
        <w:t xml:space="preserve">опосредующий  </w:t>
      </w:r>
      <w:r w:rsidRPr="009114DF">
        <w:rPr>
          <w:rFonts w:ascii="Times New Roman" w:eastAsia="Times New Roman" w:hAnsi="Times New Roman"/>
          <w:sz w:val="28"/>
          <w:szCs w:val="28"/>
          <w:lang w:val="en-US" w:eastAsia="ru-RU"/>
        </w:rPr>
        <w:t>RANKL</w:t>
      </w:r>
      <w:proofErr w:type="gramEnd"/>
      <w:r w:rsidRPr="009114DF">
        <w:rPr>
          <w:rFonts w:ascii="Times New Roman" w:eastAsia="Times New Roman" w:hAnsi="Times New Roman"/>
          <w:sz w:val="28"/>
          <w:szCs w:val="28"/>
          <w:lang w:eastAsia="ru-RU"/>
        </w:rPr>
        <w:t xml:space="preserve">-зависимую активность остеокластов. Продукция </w:t>
      </w:r>
      <w:r w:rsidRPr="009114DF">
        <w:rPr>
          <w:rFonts w:ascii="Times New Roman" w:eastAsia="Times New Roman" w:hAnsi="Times New Roman"/>
          <w:sz w:val="28"/>
          <w:szCs w:val="28"/>
          <w:lang w:val="en-US" w:eastAsia="ru-RU"/>
        </w:rPr>
        <w:t>RANKL</w:t>
      </w:r>
      <w:r w:rsidRPr="009114DF">
        <w:rPr>
          <w:rFonts w:ascii="Times New Roman" w:eastAsia="Times New Roman" w:hAnsi="Times New Roman"/>
          <w:sz w:val="28"/>
          <w:szCs w:val="28"/>
          <w:lang w:eastAsia="ru-RU"/>
        </w:rPr>
        <w:t xml:space="preserve"> и </w:t>
      </w:r>
      <w:r w:rsidRPr="009114DF">
        <w:rPr>
          <w:rFonts w:ascii="Times New Roman" w:eastAsia="Times New Roman" w:hAnsi="Times New Roman"/>
          <w:sz w:val="28"/>
          <w:szCs w:val="28"/>
          <w:lang w:val="en-US" w:eastAsia="ru-RU"/>
        </w:rPr>
        <w:t>OPG</w:t>
      </w:r>
      <w:r w:rsidRPr="009114DF">
        <w:rPr>
          <w:rFonts w:ascii="Times New Roman" w:eastAsia="Times New Roman" w:hAnsi="Times New Roman"/>
          <w:sz w:val="28"/>
          <w:szCs w:val="28"/>
          <w:lang w:eastAsia="ru-RU"/>
        </w:rPr>
        <w:t xml:space="preserve"> регулируется многими медиаторами (факторами роста, цитокинами, пептидами, гормонами), принимающими участие в иммунопатогенезе РА [</w:t>
      </w:r>
      <w:r w:rsidR="00041E69" w:rsidRPr="009114DF">
        <w:rPr>
          <w:rFonts w:ascii="Times New Roman" w:eastAsia="Times New Roman" w:hAnsi="Times New Roman"/>
          <w:sz w:val="28"/>
          <w:szCs w:val="28"/>
          <w:lang w:eastAsia="ru-RU"/>
        </w:rPr>
        <w:t xml:space="preserve">97, </w:t>
      </w:r>
      <w:r w:rsidR="00266791" w:rsidRPr="009114DF">
        <w:rPr>
          <w:rFonts w:ascii="Times New Roman" w:eastAsia="Times New Roman" w:hAnsi="Times New Roman"/>
          <w:sz w:val="28"/>
          <w:szCs w:val="28"/>
          <w:lang w:eastAsia="ru-RU"/>
        </w:rPr>
        <w:t>134</w:t>
      </w:r>
      <w:r w:rsidRPr="009114DF">
        <w:rPr>
          <w:rFonts w:ascii="Times New Roman" w:eastAsia="Times New Roman" w:hAnsi="Times New Roman"/>
          <w:sz w:val="28"/>
          <w:szCs w:val="28"/>
          <w:lang w:eastAsia="ru-RU"/>
        </w:rPr>
        <w:t>].</w:t>
      </w:r>
    </w:p>
    <w:p w:rsidR="00097064" w:rsidRPr="009114DF" w:rsidRDefault="00CF7FBB" w:rsidP="002230F3">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Таким образом, сложные взаимодополняющие влияния нарушений </w:t>
      </w:r>
      <w:r w:rsidR="00EA3ECA" w:rsidRPr="009114DF">
        <w:rPr>
          <w:rFonts w:ascii="Times New Roman" w:eastAsia="Times New Roman" w:hAnsi="Times New Roman"/>
          <w:sz w:val="28"/>
          <w:szCs w:val="28"/>
          <w:lang w:eastAsia="ru-RU"/>
        </w:rPr>
        <w:t>провоспалительных и противовоспалительных звеньев «цитоконовой сети» соста</w:t>
      </w:r>
      <w:r w:rsidRPr="009114DF">
        <w:rPr>
          <w:rFonts w:ascii="Times New Roman" w:eastAsia="Times New Roman" w:hAnsi="Times New Roman"/>
          <w:sz w:val="28"/>
          <w:szCs w:val="28"/>
          <w:lang w:eastAsia="ru-RU"/>
        </w:rPr>
        <w:t>вляют осно</w:t>
      </w:r>
      <w:r w:rsidR="007D5321" w:rsidRPr="009114DF">
        <w:rPr>
          <w:rFonts w:ascii="Times New Roman" w:eastAsia="Times New Roman" w:hAnsi="Times New Roman"/>
          <w:sz w:val="28"/>
          <w:szCs w:val="28"/>
          <w:lang w:eastAsia="ru-RU"/>
        </w:rPr>
        <w:t>в</w:t>
      </w:r>
      <w:r w:rsidR="00EA3ECA" w:rsidRPr="009114DF">
        <w:rPr>
          <w:rFonts w:ascii="Times New Roman" w:eastAsia="Times New Roman" w:hAnsi="Times New Roman"/>
          <w:sz w:val="28"/>
          <w:szCs w:val="28"/>
          <w:lang w:eastAsia="ru-RU"/>
        </w:rPr>
        <w:t>у патогенеза</w:t>
      </w:r>
      <w:r w:rsidR="007D5321" w:rsidRPr="009114DF">
        <w:rPr>
          <w:rFonts w:ascii="Times New Roman" w:eastAsia="Times New Roman" w:hAnsi="Times New Roman"/>
          <w:sz w:val="28"/>
          <w:szCs w:val="28"/>
          <w:lang w:eastAsia="ru-RU"/>
        </w:rPr>
        <w:t xml:space="preserve"> РА</w:t>
      </w:r>
      <w:r w:rsidRPr="009114DF">
        <w:rPr>
          <w:rFonts w:ascii="Times New Roman" w:eastAsia="Times New Roman" w:hAnsi="Times New Roman"/>
          <w:sz w:val="28"/>
          <w:szCs w:val="28"/>
          <w:lang w:eastAsia="ru-RU"/>
        </w:rPr>
        <w:t>.</w:t>
      </w:r>
    </w:p>
    <w:p w:rsidR="00CF7FBB" w:rsidRPr="009114DF" w:rsidRDefault="00CF7FBB" w:rsidP="0057336A">
      <w:pPr>
        <w:numPr>
          <w:ilvl w:val="1"/>
          <w:numId w:val="23"/>
        </w:numPr>
        <w:spacing w:after="0" w:line="360" w:lineRule="auto"/>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lastRenderedPageBreak/>
        <w:t xml:space="preserve">Общие звенья патогенеза </w:t>
      </w:r>
      <w:r w:rsidR="00432D00" w:rsidRPr="009114DF">
        <w:rPr>
          <w:rFonts w:ascii="Times New Roman" w:eastAsia="Times New Roman" w:hAnsi="Times New Roman"/>
          <w:b/>
          <w:sz w:val="28"/>
          <w:szCs w:val="28"/>
          <w:lang w:eastAsia="ru-RU"/>
        </w:rPr>
        <w:t>ревмат</w:t>
      </w:r>
      <w:r w:rsidR="00DE5A43" w:rsidRPr="009114DF">
        <w:rPr>
          <w:rFonts w:ascii="Times New Roman" w:eastAsia="Times New Roman" w:hAnsi="Times New Roman"/>
          <w:b/>
          <w:sz w:val="28"/>
          <w:szCs w:val="28"/>
          <w:lang w:eastAsia="ru-RU"/>
        </w:rPr>
        <w:t>оидн</w:t>
      </w:r>
      <w:r w:rsidR="00432D00" w:rsidRPr="009114DF">
        <w:rPr>
          <w:rFonts w:ascii="Times New Roman" w:eastAsia="Times New Roman" w:hAnsi="Times New Roman"/>
          <w:b/>
          <w:sz w:val="28"/>
          <w:szCs w:val="28"/>
          <w:lang w:eastAsia="ru-RU"/>
        </w:rPr>
        <w:t>ого артрита</w:t>
      </w:r>
      <w:r w:rsidRPr="009114DF">
        <w:rPr>
          <w:rFonts w:ascii="Times New Roman" w:eastAsia="Times New Roman" w:hAnsi="Times New Roman"/>
          <w:b/>
          <w:sz w:val="28"/>
          <w:szCs w:val="28"/>
          <w:lang w:eastAsia="ru-RU"/>
        </w:rPr>
        <w:t xml:space="preserve"> и </w:t>
      </w:r>
      <w:r w:rsidR="00432D00" w:rsidRPr="009114DF">
        <w:rPr>
          <w:rFonts w:ascii="Times New Roman" w:eastAsia="Times New Roman" w:hAnsi="Times New Roman"/>
          <w:b/>
          <w:sz w:val="28"/>
          <w:szCs w:val="28"/>
          <w:lang w:eastAsia="ru-RU"/>
        </w:rPr>
        <w:t>остеопороза</w:t>
      </w:r>
    </w:p>
    <w:p w:rsidR="002230F3" w:rsidRPr="009114DF" w:rsidRDefault="002230F3" w:rsidP="002230F3">
      <w:pPr>
        <w:spacing w:after="0" w:line="360" w:lineRule="auto"/>
        <w:ind w:left="1425"/>
        <w:jc w:val="both"/>
        <w:rPr>
          <w:rFonts w:ascii="Times New Roman" w:eastAsia="Times New Roman" w:hAnsi="Times New Roman"/>
          <w:b/>
          <w:sz w:val="28"/>
          <w:szCs w:val="28"/>
          <w:lang w:eastAsia="ru-RU"/>
        </w:rPr>
      </w:pPr>
    </w:p>
    <w:p w:rsidR="00CF7FBB" w:rsidRPr="009114DF" w:rsidRDefault="00CF7FBB" w:rsidP="00F71B34">
      <w:pPr>
        <w:spacing w:after="0" w:line="360" w:lineRule="auto"/>
        <w:ind w:firstLine="663"/>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При РА выделяют два основных типа ОП – местный (околосуставной; пер</w:t>
      </w:r>
      <w:proofErr w:type="gramStart"/>
      <w:r w:rsidRPr="009114DF">
        <w:rPr>
          <w:rFonts w:ascii="Times New Roman" w:eastAsia="Times New Roman" w:hAnsi="Times New Roman"/>
          <w:sz w:val="28"/>
          <w:szCs w:val="28"/>
          <w:lang w:eastAsia="ru-RU"/>
        </w:rPr>
        <w:t>и-</w:t>
      </w:r>
      <w:proofErr w:type="gramEnd"/>
      <w:r w:rsidRPr="009114DF">
        <w:rPr>
          <w:rFonts w:ascii="Times New Roman" w:eastAsia="Times New Roman" w:hAnsi="Times New Roman"/>
          <w:sz w:val="28"/>
          <w:szCs w:val="28"/>
          <w:lang w:eastAsia="ru-RU"/>
        </w:rPr>
        <w:t>, юкстаартикулярный), вокруг пораженных суставов, и общий (распространенный, генерализованный) [</w:t>
      </w:r>
      <w:r w:rsidR="00B86681" w:rsidRPr="009114DF">
        <w:rPr>
          <w:rFonts w:ascii="Times New Roman" w:eastAsia="Times New Roman" w:hAnsi="Times New Roman"/>
          <w:sz w:val="28"/>
          <w:szCs w:val="28"/>
          <w:lang w:eastAsia="ru-RU"/>
        </w:rPr>
        <w:t>78</w:t>
      </w:r>
      <w:r w:rsidR="007A0109" w:rsidRPr="009114DF">
        <w:rPr>
          <w:rFonts w:ascii="Times New Roman" w:eastAsia="Times New Roman" w:hAnsi="Times New Roman"/>
          <w:sz w:val="28"/>
          <w:szCs w:val="28"/>
          <w:lang w:eastAsia="ru-RU"/>
        </w:rPr>
        <w:t xml:space="preserve">, </w:t>
      </w:r>
      <w:r w:rsidR="00554669" w:rsidRPr="009114DF">
        <w:rPr>
          <w:rFonts w:ascii="Times New Roman" w:eastAsia="Times New Roman" w:hAnsi="Times New Roman"/>
          <w:sz w:val="28"/>
          <w:szCs w:val="28"/>
          <w:lang w:eastAsia="ru-RU"/>
        </w:rPr>
        <w:t>79</w:t>
      </w:r>
      <w:r w:rsidRPr="009114DF">
        <w:rPr>
          <w:rFonts w:ascii="Times New Roman" w:eastAsia="Times New Roman" w:hAnsi="Times New Roman"/>
          <w:sz w:val="28"/>
          <w:szCs w:val="28"/>
          <w:lang w:eastAsia="ru-RU"/>
        </w:rPr>
        <w:t>].</w:t>
      </w:r>
    </w:p>
    <w:p w:rsidR="00CF7FBB" w:rsidRPr="009114DF" w:rsidRDefault="00CF7FBB" w:rsidP="00432D00">
      <w:pPr>
        <w:spacing w:after="0" w:line="360" w:lineRule="auto"/>
        <w:ind w:firstLine="663"/>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ОП костей, прилежащих к воспаленным суставам, является одним из наиболее ранних признаков и</w:t>
      </w:r>
      <w:r w:rsidR="008C083E" w:rsidRPr="009114DF">
        <w:rPr>
          <w:rFonts w:ascii="Times New Roman" w:eastAsia="Times New Roman" w:hAnsi="Times New Roman"/>
          <w:sz w:val="28"/>
          <w:szCs w:val="28"/>
          <w:lang w:eastAsia="ru-RU"/>
        </w:rPr>
        <w:t xml:space="preserve"> диагностических критериев РА [</w:t>
      </w:r>
      <w:r w:rsidR="00554669" w:rsidRPr="009114DF">
        <w:rPr>
          <w:rFonts w:ascii="Times New Roman" w:eastAsia="Times New Roman" w:hAnsi="Times New Roman"/>
          <w:sz w:val="28"/>
          <w:szCs w:val="28"/>
          <w:lang w:eastAsia="ru-RU"/>
        </w:rPr>
        <w:t>63</w:t>
      </w:r>
      <w:r w:rsidRPr="009114DF">
        <w:rPr>
          <w:rFonts w:ascii="Times New Roman" w:eastAsia="Times New Roman" w:hAnsi="Times New Roman"/>
          <w:sz w:val="28"/>
          <w:szCs w:val="28"/>
          <w:lang w:eastAsia="ru-RU"/>
        </w:rPr>
        <w:t xml:space="preserve">]. </w:t>
      </w:r>
      <w:proofErr w:type="gramStart"/>
      <w:r w:rsidRPr="009114DF">
        <w:rPr>
          <w:rFonts w:ascii="Times New Roman" w:eastAsia="Times New Roman" w:hAnsi="Times New Roman"/>
          <w:sz w:val="28"/>
          <w:szCs w:val="28"/>
          <w:lang w:eastAsia="ru-RU"/>
        </w:rPr>
        <w:t xml:space="preserve">Генерализованный ОП при РА, описанный впервые </w:t>
      </w:r>
      <w:r w:rsidRPr="009114DF">
        <w:rPr>
          <w:rFonts w:ascii="Times New Roman" w:eastAsia="Times New Roman" w:hAnsi="Times New Roman"/>
          <w:sz w:val="28"/>
          <w:szCs w:val="28"/>
          <w:lang w:val="en-US" w:eastAsia="ru-RU"/>
        </w:rPr>
        <w:t>R</w:t>
      </w:r>
      <w:r w:rsidRPr="009114DF">
        <w:rPr>
          <w:rFonts w:ascii="Times New Roman" w:eastAsia="Times New Roman" w:hAnsi="Times New Roman"/>
          <w:sz w:val="28"/>
          <w:szCs w:val="28"/>
          <w:lang w:eastAsia="ru-RU"/>
        </w:rPr>
        <w:t>.</w:t>
      </w:r>
      <w:proofErr w:type="gramEnd"/>
      <w:r w:rsidR="00432D00" w:rsidRPr="009114DF">
        <w:rPr>
          <w:rFonts w:ascii="Times New Roman" w:eastAsia="Times New Roman" w:hAnsi="Times New Roman"/>
          <w:sz w:val="28"/>
          <w:szCs w:val="28"/>
          <w:lang w:eastAsia="ru-RU"/>
        </w:rPr>
        <w:t xml:space="preserve"> </w:t>
      </w:r>
      <w:proofErr w:type="gramStart"/>
      <w:r w:rsidRPr="009114DF">
        <w:rPr>
          <w:rFonts w:ascii="Times New Roman" w:eastAsia="Times New Roman" w:hAnsi="Times New Roman"/>
          <w:sz w:val="28"/>
          <w:szCs w:val="28"/>
          <w:lang w:val="en-US" w:eastAsia="ru-RU"/>
        </w:rPr>
        <w:t>Barwell</w:t>
      </w:r>
      <w:r w:rsidRPr="009114DF">
        <w:rPr>
          <w:rFonts w:ascii="Times New Roman" w:eastAsia="Times New Roman" w:hAnsi="Times New Roman"/>
          <w:sz w:val="28"/>
          <w:szCs w:val="28"/>
          <w:lang w:eastAsia="ru-RU"/>
        </w:rPr>
        <w:t xml:space="preserve">  в</w:t>
      </w:r>
      <w:proofErr w:type="gramEnd"/>
      <w:r w:rsidRPr="009114DF">
        <w:rPr>
          <w:rFonts w:ascii="Times New Roman" w:eastAsia="Times New Roman" w:hAnsi="Times New Roman"/>
          <w:sz w:val="28"/>
          <w:szCs w:val="28"/>
          <w:lang w:eastAsia="ru-RU"/>
        </w:rPr>
        <w:t xml:space="preserve"> книге «</w:t>
      </w:r>
      <w:r w:rsidRPr="009114DF">
        <w:rPr>
          <w:rFonts w:ascii="Times New Roman" w:eastAsia="Times New Roman" w:hAnsi="Times New Roman"/>
          <w:sz w:val="28"/>
          <w:szCs w:val="28"/>
          <w:lang w:val="en-US" w:eastAsia="ru-RU"/>
        </w:rPr>
        <w:t>Disease</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of</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the</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joints</w:t>
      </w:r>
      <w:r w:rsidR="005358C3" w:rsidRPr="009114DF">
        <w:rPr>
          <w:rFonts w:ascii="Times New Roman" w:eastAsia="Times New Roman" w:hAnsi="Times New Roman"/>
          <w:sz w:val="28"/>
          <w:szCs w:val="28"/>
          <w:lang w:eastAsia="ru-RU"/>
        </w:rPr>
        <w:t>» в 1865</w:t>
      </w:r>
      <w:r w:rsidRPr="009114DF">
        <w:rPr>
          <w:rFonts w:ascii="Times New Roman" w:eastAsia="Times New Roman" w:hAnsi="Times New Roman"/>
          <w:sz w:val="28"/>
          <w:szCs w:val="28"/>
          <w:lang w:eastAsia="ru-RU"/>
        </w:rPr>
        <w:t>г., в настоящее время рассматривается как</w:t>
      </w:r>
      <w:r w:rsidR="00EA3ECA" w:rsidRPr="009114DF">
        <w:rPr>
          <w:rFonts w:ascii="Times New Roman" w:eastAsia="Times New Roman" w:hAnsi="Times New Roman"/>
          <w:sz w:val="28"/>
          <w:szCs w:val="28"/>
          <w:lang w:eastAsia="ru-RU"/>
        </w:rPr>
        <w:t xml:space="preserve"> своеобразный </w:t>
      </w:r>
      <w:r w:rsidRPr="009114DF">
        <w:rPr>
          <w:rFonts w:ascii="Times New Roman" w:eastAsia="Times New Roman" w:hAnsi="Times New Roman"/>
          <w:sz w:val="28"/>
          <w:szCs w:val="28"/>
          <w:lang w:eastAsia="ru-RU"/>
        </w:rPr>
        <w:t xml:space="preserve">индикатор </w:t>
      </w:r>
      <w:r w:rsidR="00EA3ECA" w:rsidRPr="009114DF">
        <w:rPr>
          <w:rFonts w:ascii="Times New Roman" w:eastAsia="Times New Roman" w:hAnsi="Times New Roman"/>
          <w:sz w:val="28"/>
          <w:szCs w:val="28"/>
          <w:lang w:eastAsia="ru-RU"/>
        </w:rPr>
        <w:t xml:space="preserve">активности </w:t>
      </w:r>
      <w:r w:rsidRPr="009114DF">
        <w:rPr>
          <w:rFonts w:ascii="Times New Roman" w:eastAsia="Times New Roman" w:hAnsi="Times New Roman"/>
          <w:sz w:val="28"/>
          <w:szCs w:val="28"/>
          <w:lang w:eastAsia="ru-RU"/>
        </w:rPr>
        <w:t>системного воспал</w:t>
      </w:r>
      <w:r w:rsidR="00EA3ECA" w:rsidRPr="009114DF">
        <w:rPr>
          <w:rFonts w:ascii="Times New Roman" w:eastAsia="Times New Roman" w:hAnsi="Times New Roman"/>
          <w:sz w:val="28"/>
          <w:szCs w:val="28"/>
          <w:lang w:eastAsia="ru-RU"/>
        </w:rPr>
        <w:t>ения</w:t>
      </w:r>
      <w:r w:rsidRPr="009114DF">
        <w:rPr>
          <w:rFonts w:ascii="Times New Roman" w:eastAsia="Times New Roman" w:hAnsi="Times New Roman"/>
          <w:sz w:val="28"/>
          <w:szCs w:val="28"/>
          <w:lang w:eastAsia="ru-RU"/>
        </w:rPr>
        <w:t>. Системность характера нарушений подтверждается разрушением как губчатого, так и компактного веществ</w:t>
      </w:r>
      <w:r w:rsidR="00432D00" w:rsidRPr="009114DF">
        <w:rPr>
          <w:rFonts w:ascii="Times New Roman" w:eastAsia="Times New Roman" w:hAnsi="Times New Roman"/>
          <w:sz w:val="28"/>
          <w:szCs w:val="28"/>
          <w:lang w:eastAsia="ru-RU"/>
        </w:rPr>
        <w:t>а</w:t>
      </w:r>
      <w:r w:rsidRPr="009114DF">
        <w:rPr>
          <w:rFonts w:ascii="Times New Roman" w:eastAsia="Times New Roman" w:hAnsi="Times New Roman"/>
          <w:sz w:val="28"/>
          <w:szCs w:val="28"/>
          <w:lang w:eastAsia="ru-RU"/>
        </w:rPr>
        <w:t xml:space="preserve"> кости, причем наблюдается более раннее разрушение тр</w:t>
      </w:r>
      <w:r w:rsidR="008C083E" w:rsidRPr="009114DF">
        <w:rPr>
          <w:rFonts w:ascii="Times New Roman" w:eastAsia="Times New Roman" w:hAnsi="Times New Roman"/>
          <w:sz w:val="28"/>
          <w:szCs w:val="28"/>
          <w:lang w:eastAsia="ru-RU"/>
        </w:rPr>
        <w:t>абекулярной структуры кости [</w:t>
      </w:r>
      <w:r w:rsidR="00266791" w:rsidRPr="009114DF">
        <w:rPr>
          <w:rFonts w:ascii="Times New Roman" w:eastAsia="Times New Roman" w:hAnsi="Times New Roman"/>
          <w:sz w:val="28"/>
          <w:szCs w:val="28"/>
          <w:lang w:eastAsia="ru-RU"/>
        </w:rPr>
        <w:t>137</w:t>
      </w:r>
      <w:r w:rsidRPr="009114DF">
        <w:rPr>
          <w:rFonts w:ascii="Times New Roman" w:eastAsia="Times New Roman" w:hAnsi="Times New Roman"/>
          <w:sz w:val="28"/>
          <w:szCs w:val="28"/>
          <w:lang w:eastAsia="ru-RU"/>
        </w:rPr>
        <w:t>].</w:t>
      </w:r>
    </w:p>
    <w:p w:rsidR="00CF7FBB" w:rsidRPr="009114DF" w:rsidRDefault="00CF7FBB" w:rsidP="00432D00">
      <w:pPr>
        <w:spacing w:after="0" w:line="360" w:lineRule="auto"/>
        <w:ind w:firstLine="663"/>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 последние годы стало очевидным, что деструкция суставов и костная резорбция находятся в тесной патогенетической взаимосвязи.</w:t>
      </w:r>
    </w:p>
    <w:p w:rsidR="00CF7FBB" w:rsidRPr="009114DF" w:rsidRDefault="00CF7FBB" w:rsidP="00432D00">
      <w:pPr>
        <w:spacing w:after="0" w:line="360" w:lineRule="auto"/>
        <w:ind w:firstLine="663"/>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При РА, как и при других системных заболеваниях соединительной ткани, воспалительный процесс с самого начала имеет </w:t>
      </w:r>
      <w:r w:rsidR="008C083E" w:rsidRPr="009114DF">
        <w:rPr>
          <w:rFonts w:ascii="Times New Roman" w:eastAsia="Times New Roman" w:hAnsi="Times New Roman"/>
          <w:sz w:val="28"/>
          <w:szCs w:val="28"/>
          <w:lang w:eastAsia="ru-RU"/>
        </w:rPr>
        <w:t>черты хронического</w:t>
      </w:r>
      <w:r w:rsidRPr="009114DF">
        <w:rPr>
          <w:rFonts w:ascii="Times New Roman" w:eastAsia="Times New Roman" w:hAnsi="Times New Roman"/>
          <w:sz w:val="28"/>
          <w:szCs w:val="28"/>
          <w:lang w:eastAsia="ru-RU"/>
        </w:rPr>
        <w:t>, с течением времени аутоиммунный процесс интенсифицируется и приводит к прогрессирующему повреждению х</w:t>
      </w:r>
      <w:r w:rsidR="008C083E" w:rsidRPr="009114DF">
        <w:rPr>
          <w:rFonts w:ascii="Times New Roman" w:eastAsia="Times New Roman" w:hAnsi="Times New Roman"/>
          <w:sz w:val="28"/>
          <w:szCs w:val="28"/>
          <w:lang w:eastAsia="ru-RU"/>
        </w:rPr>
        <w:t>рящевой и костной ткани</w:t>
      </w:r>
      <w:r w:rsidRPr="009114DF">
        <w:rPr>
          <w:rFonts w:ascii="Times New Roman" w:eastAsia="Times New Roman" w:hAnsi="Times New Roman"/>
          <w:sz w:val="28"/>
          <w:szCs w:val="28"/>
          <w:lang w:eastAsia="ru-RU"/>
        </w:rPr>
        <w:t>. В результате гиперплазии синовиальных выстилающих клеток и инфильтрации ее мононуклеарными клетками формируется паннус, при этом синовиальная мембрана гипертрофируется, а подлежащая субхондральная кость подвергается остеопоротическому разрушению [</w:t>
      </w:r>
      <w:r w:rsidR="00BD6504" w:rsidRPr="009114DF">
        <w:rPr>
          <w:rFonts w:ascii="Times New Roman" w:eastAsia="Times New Roman" w:hAnsi="Times New Roman"/>
          <w:sz w:val="28"/>
          <w:szCs w:val="28"/>
          <w:lang w:val="en-US" w:eastAsia="ru-RU"/>
        </w:rPr>
        <w:t>160</w:t>
      </w:r>
      <w:r w:rsidRPr="009114DF">
        <w:rPr>
          <w:rFonts w:ascii="Times New Roman" w:eastAsia="Times New Roman" w:hAnsi="Times New Roman"/>
          <w:sz w:val="28"/>
          <w:szCs w:val="28"/>
          <w:lang w:eastAsia="ru-RU"/>
        </w:rPr>
        <w:t>].</w:t>
      </w:r>
    </w:p>
    <w:p w:rsidR="00CF7FBB" w:rsidRPr="009114DF" w:rsidRDefault="00CF7FBB" w:rsidP="00F71B34">
      <w:pPr>
        <w:spacing w:after="0" w:line="360" w:lineRule="auto"/>
        <w:ind w:firstLine="663"/>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 патогенезе вторичного ОП, развивающегося на фоне воспаления, с позиций доказательной медицины ведущее значение имеет нарушение синтеза иммунных медиаторов. РА рассматривается как наиболее адекватная модель для изучения связей между механизмами развития хронического воспалительного процесса и потерей костной массы в различных участках скелета [</w:t>
      </w:r>
      <w:r w:rsidR="00554669" w:rsidRPr="009114DF">
        <w:rPr>
          <w:rFonts w:ascii="Times New Roman" w:eastAsia="Times New Roman" w:hAnsi="Times New Roman"/>
          <w:sz w:val="28"/>
          <w:szCs w:val="28"/>
          <w:lang w:eastAsia="ru-RU"/>
        </w:rPr>
        <w:t>46</w:t>
      </w:r>
      <w:r w:rsidRPr="009114DF">
        <w:rPr>
          <w:rFonts w:ascii="Times New Roman" w:eastAsia="Times New Roman" w:hAnsi="Times New Roman"/>
          <w:sz w:val="28"/>
          <w:szCs w:val="28"/>
          <w:lang w:eastAsia="ru-RU"/>
        </w:rPr>
        <w:t xml:space="preserve">]. В процессе ремоделирования костной ткани участвуют главным образом два типа клеток: </w:t>
      </w:r>
      <w:r w:rsidRPr="009114DF">
        <w:rPr>
          <w:rFonts w:ascii="Times New Roman" w:eastAsia="Times New Roman" w:hAnsi="Times New Roman"/>
          <w:sz w:val="28"/>
          <w:szCs w:val="28"/>
          <w:lang w:eastAsia="ru-RU"/>
        </w:rPr>
        <w:lastRenderedPageBreak/>
        <w:t>остеокласты (</w:t>
      </w:r>
      <w:proofErr w:type="gramStart"/>
      <w:r w:rsidRPr="009114DF">
        <w:rPr>
          <w:rFonts w:ascii="Times New Roman" w:eastAsia="Times New Roman" w:hAnsi="Times New Roman"/>
          <w:sz w:val="28"/>
          <w:szCs w:val="28"/>
          <w:lang w:eastAsia="ru-RU"/>
        </w:rPr>
        <w:t>ОК</w:t>
      </w:r>
      <w:proofErr w:type="gramEnd"/>
      <w:r w:rsidRPr="009114DF">
        <w:rPr>
          <w:rFonts w:ascii="Times New Roman" w:eastAsia="Times New Roman" w:hAnsi="Times New Roman"/>
          <w:sz w:val="28"/>
          <w:szCs w:val="28"/>
          <w:lang w:eastAsia="ru-RU"/>
        </w:rPr>
        <w:t>) и остеобласты (ОБ). ОБ не только играют центральную роль в остеогенезе, синтезируя белки матрицы, но и р</w:t>
      </w:r>
      <w:r w:rsidR="00712537" w:rsidRPr="009114DF">
        <w:rPr>
          <w:rFonts w:ascii="Times New Roman" w:eastAsia="Times New Roman" w:hAnsi="Times New Roman"/>
          <w:sz w:val="28"/>
          <w:szCs w:val="28"/>
          <w:lang w:eastAsia="ru-RU"/>
        </w:rPr>
        <w:t>егулируют созревание ОК</w:t>
      </w:r>
      <w:r w:rsidRPr="009114DF">
        <w:rPr>
          <w:rFonts w:ascii="Times New Roman" w:eastAsia="Times New Roman" w:hAnsi="Times New Roman"/>
          <w:sz w:val="28"/>
          <w:szCs w:val="28"/>
          <w:lang w:eastAsia="ru-RU"/>
        </w:rPr>
        <w:t>. ОБ способны синтезировать ГМ-КСФ, ИЛ-6,</w:t>
      </w:r>
      <w:r w:rsidR="00372B3C"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ИЛ-11, КСФ, в развитии </w:t>
      </w:r>
      <w:proofErr w:type="gramStart"/>
      <w:r w:rsidRPr="009114DF">
        <w:rPr>
          <w:rFonts w:ascii="Times New Roman" w:eastAsia="Times New Roman" w:hAnsi="Times New Roman"/>
          <w:sz w:val="28"/>
          <w:szCs w:val="28"/>
          <w:lang w:eastAsia="ru-RU"/>
        </w:rPr>
        <w:t>ОК</w:t>
      </w:r>
      <w:proofErr w:type="gramEnd"/>
      <w:r w:rsidRPr="009114DF">
        <w:rPr>
          <w:rFonts w:ascii="Times New Roman" w:eastAsia="Times New Roman" w:hAnsi="Times New Roman"/>
          <w:sz w:val="28"/>
          <w:szCs w:val="28"/>
          <w:lang w:eastAsia="ru-RU"/>
        </w:rPr>
        <w:t xml:space="preserve"> принимают участие ИЛ-1, ИЛ-3, ИЛ-6, ИЛ-11, ФНО</w:t>
      </w:r>
      <w:r w:rsidR="00432D00" w:rsidRPr="009114DF">
        <w:rPr>
          <w:rFonts w:ascii="Times New Roman" w:eastAsia="Times New Roman" w:hAnsi="Times New Roman"/>
          <w:sz w:val="28"/>
          <w:szCs w:val="28"/>
          <w:lang w:eastAsia="ru-RU"/>
        </w:rPr>
        <w:t>-α</w:t>
      </w:r>
      <w:r w:rsidRPr="009114DF">
        <w:rPr>
          <w:rFonts w:ascii="Times New Roman" w:eastAsia="Times New Roman" w:hAnsi="Times New Roman"/>
          <w:sz w:val="28"/>
          <w:szCs w:val="28"/>
          <w:lang w:eastAsia="ru-RU"/>
        </w:rPr>
        <w:t>, ГМ-КСФ, которые играют ведущую роль в регуляции локальных и системных воспалительных реакций</w:t>
      </w:r>
      <w:r w:rsidR="00712537" w:rsidRPr="009114DF">
        <w:rPr>
          <w:rFonts w:ascii="Times New Roman" w:eastAsia="Times New Roman" w:hAnsi="Times New Roman"/>
          <w:sz w:val="28"/>
          <w:szCs w:val="28"/>
          <w:lang w:eastAsia="ru-RU"/>
        </w:rPr>
        <w:t xml:space="preserve"> [</w:t>
      </w:r>
      <w:r w:rsidR="00554669" w:rsidRPr="009114DF">
        <w:rPr>
          <w:rFonts w:ascii="Times New Roman" w:eastAsia="Times New Roman" w:hAnsi="Times New Roman"/>
          <w:sz w:val="28"/>
          <w:szCs w:val="28"/>
          <w:lang w:eastAsia="ru-RU"/>
        </w:rPr>
        <w:t>11</w:t>
      </w:r>
      <w:r w:rsidR="00712537" w:rsidRPr="009114DF">
        <w:rPr>
          <w:rFonts w:ascii="Times New Roman" w:eastAsia="Times New Roman" w:hAnsi="Times New Roman"/>
          <w:sz w:val="28"/>
          <w:szCs w:val="28"/>
          <w:lang w:eastAsia="ru-RU"/>
        </w:rPr>
        <w:t>].</w:t>
      </w:r>
    </w:p>
    <w:p w:rsidR="00CF7FBB" w:rsidRPr="009114DF" w:rsidRDefault="00CF7FBB" w:rsidP="00F71B34">
      <w:pPr>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ab/>
        <w:t xml:space="preserve">Установлено, что </w:t>
      </w:r>
      <w:r w:rsidR="008B56CB" w:rsidRPr="009114DF">
        <w:rPr>
          <w:rFonts w:ascii="Times New Roman" w:eastAsia="Times New Roman" w:hAnsi="Times New Roman"/>
          <w:sz w:val="28"/>
          <w:szCs w:val="28"/>
          <w:lang w:eastAsia="ru-RU"/>
        </w:rPr>
        <w:t>провоспалительные цитокины (ИЛ-</w:t>
      </w:r>
      <w:r w:rsidRPr="009114DF">
        <w:rPr>
          <w:rFonts w:ascii="Times New Roman" w:eastAsia="Times New Roman" w:hAnsi="Times New Roman"/>
          <w:sz w:val="28"/>
          <w:szCs w:val="28"/>
          <w:lang w:eastAsia="ru-RU"/>
        </w:rPr>
        <w:t>1,</w:t>
      </w:r>
      <w:r w:rsidR="00432D00"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3,</w:t>
      </w:r>
      <w:r w:rsidR="00432D00"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6,</w:t>
      </w:r>
      <w:r w:rsidR="00432D00"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11, ФН</w:t>
      </w:r>
      <w:proofErr w:type="gramStart"/>
      <w:r w:rsidRPr="009114DF">
        <w:rPr>
          <w:rFonts w:ascii="Times New Roman" w:eastAsia="Times New Roman" w:hAnsi="Times New Roman"/>
          <w:sz w:val="28"/>
          <w:szCs w:val="28"/>
          <w:lang w:eastAsia="ru-RU"/>
        </w:rPr>
        <w:t>О-</w:t>
      </w:r>
      <w:proofErr w:type="gramEnd"/>
      <w:r w:rsidR="008B56CB" w:rsidRPr="009114DF">
        <w:rPr>
          <w:rFonts w:ascii="Times New Roman" w:eastAsia="Times New Roman" w:hAnsi="Times New Roman"/>
          <w:sz w:val="28"/>
          <w:szCs w:val="28"/>
          <w:lang w:eastAsia="ru-RU"/>
        </w:rPr>
        <w:t>α</w:t>
      </w:r>
      <w:r w:rsidRPr="009114DF">
        <w:rPr>
          <w:rFonts w:ascii="Times New Roman" w:eastAsia="Times New Roman" w:hAnsi="Times New Roman"/>
          <w:sz w:val="28"/>
          <w:szCs w:val="28"/>
          <w:lang w:eastAsia="ru-RU"/>
        </w:rPr>
        <w:t xml:space="preserve">, гранулоцитарно-макрофагальный колониестимулирующий фактор и др.) обладают способностью </w:t>
      </w:r>
      <w:r w:rsidR="00EA3ECA" w:rsidRPr="009114DF">
        <w:rPr>
          <w:rFonts w:ascii="Times New Roman" w:eastAsia="Times New Roman" w:hAnsi="Times New Roman"/>
          <w:sz w:val="28"/>
          <w:szCs w:val="28"/>
          <w:lang w:eastAsia="ru-RU"/>
        </w:rPr>
        <w:t>увеличивать</w:t>
      </w:r>
      <w:r w:rsidRPr="009114DF">
        <w:rPr>
          <w:rFonts w:ascii="Times New Roman" w:eastAsia="Times New Roman" w:hAnsi="Times New Roman"/>
          <w:sz w:val="28"/>
          <w:szCs w:val="28"/>
          <w:lang w:eastAsia="ru-RU"/>
        </w:rPr>
        <w:t xml:space="preserve"> резорбцию костной </w:t>
      </w:r>
      <w:r w:rsidR="00EA3ECA" w:rsidRPr="009114DF">
        <w:rPr>
          <w:rFonts w:ascii="Times New Roman" w:eastAsia="Times New Roman" w:hAnsi="Times New Roman"/>
          <w:sz w:val="28"/>
          <w:szCs w:val="28"/>
          <w:lang w:eastAsia="ru-RU"/>
        </w:rPr>
        <w:t xml:space="preserve">массы. </w:t>
      </w:r>
    </w:p>
    <w:p w:rsidR="00CF7FBB" w:rsidRPr="009114DF" w:rsidRDefault="00CF7FBB" w:rsidP="00F71B34">
      <w:pPr>
        <w:spacing w:after="0" w:line="360" w:lineRule="auto"/>
        <w:ind w:firstLine="663"/>
        <w:jc w:val="both"/>
        <w:rPr>
          <w:rFonts w:ascii="Times New Roman" w:eastAsia="Times New Roman" w:hAnsi="Times New Roman"/>
          <w:sz w:val="28"/>
          <w:szCs w:val="28"/>
          <w:lang w:eastAsia="ru-RU"/>
        </w:rPr>
      </w:pPr>
      <w:proofErr w:type="gramStart"/>
      <w:r w:rsidRPr="009114DF">
        <w:rPr>
          <w:rFonts w:ascii="Times New Roman" w:eastAsia="Times New Roman" w:hAnsi="Times New Roman"/>
          <w:sz w:val="28"/>
          <w:szCs w:val="28"/>
          <w:lang w:eastAsia="ru-RU"/>
        </w:rPr>
        <w:t>Не менее важное значение в развитии ОП при РА играет ИЛ-6, который стимулирует ранние этапы остеокластогенеза, обладает синергической активностью с ИЛ-3, способствует раннему образованию предшественник</w:t>
      </w:r>
      <w:r w:rsidR="00432D00" w:rsidRPr="009114DF">
        <w:rPr>
          <w:rFonts w:ascii="Times New Roman" w:eastAsia="Times New Roman" w:hAnsi="Times New Roman"/>
          <w:sz w:val="28"/>
          <w:szCs w:val="28"/>
          <w:lang w:eastAsia="ru-RU"/>
        </w:rPr>
        <w:t>ов</w:t>
      </w:r>
      <w:r w:rsidRPr="009114DF">
        <w:rPr>
          <w:rFonts w:ascii="Times New Roman" w:eastAsia="Times New Roman" w:hAnsi="Times New Roman"/>
          <w:sz w:val="28"/>
          <w:szCs w:val="28"/>
          <w:lang w:eastAsia="ru-RU"/>
        </w:rPr>
        <w:t xml:space="preserve"> ОК. ИЛ-6 вызывает резорбцию костной ткани, выступая в роли аутокринно-паракринного фактора роста ОК. ИЛ-11 проявляет сходные эффекты с ИЛ-6, являясь фактором, контролирующим р</w:t>
      </w:r>
      <w:r w:rsidR="00A50B85" w:rsidRPr="009114DF">
        <w:rPr>
          <w:rFonts w:ascii="Times New Roman" w:eastAsia="Times New Roman" w:hAnsi="Times New Roman"/>
          <w:sz w:val="28"/>
          <w:szCs w:val="28"/>
          <w:lang w:eastAsia="ru-RU"/>
        </w:rPr>
        <w:t>емоделирование костной ткани [</w:t>
      </w:r>
      <w:r w:rsidR="00554669" w:rsidRPr="009114DF">
        <w:rPr>
          <w:rFonts w:ascii="Times New Roman" w:eastAsia="Times New Roman" w:hAnsi="Times New Roman"/>
          <w:sz w:val="28"/>
          <w:szCs w:val="28"/>
          <w:lang w:eastAsia="ru-RU"/>
        </w:rPr>
        <w:t>61</w:t>
      </w:r>
      <w:r w:rsidRPr="009114DF">
        <w:rPr>
          <w:rFonts w:ascii="Times New Roman" w:eastAsia="Times New Roman" w:hAnsi="Times New Roman"/>
          <w:sz w:val="28"/>
          <w:szCs w:val="28"/>
          <w:lang w:eastAsia="ru-RU"/>
        </w:rPr>
        <w:t>].</w:t>
      </w:r>
      <w:proofErr w:type="gramEnd"/>
      <w:r w:rsidRPr="009114DF">
        <w:rPr>
          <w:rFonts w:ascii="Times New Roman" w:eastAsia="Times New Roman" w:hAnsi="Times New Roman"/>
          <w:sz w:val="28"/>
          <w:szCs w:val="28"/>
          <w:lang w:eastAsia="ru-RU"/>
        </w:rPr>
        <w:t xml:space="preserve"> Следовательно, развитие ОП является сложным многоступенчатым процессом, приводящим к увеличению частоты переломов, а ИЛ-1 и </w:t>
      </w:r>
      <w:r w:rsidR="00432D00"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6, как и ФН</w:t>
      </w:r>
      <w:proofErr w:type="gramStart"/>
      <w:r w:rsidRPr="009114DF">
        <w:rPr>
          <w:rFonts w:ascii="Times New Roman" w:eastAsia="Times New Roman" w:hAnsi="Times New Roman"/>
          <w:sz w:val="28"/>
          <w:szCs w:val="28"/>
          <w:lang w:eastAsia="ru-RU"/>
        </w:rPr>
        <w:t>О-</w:t>
      </w:r>
      <w:proofErr w:type="gramEnd"/>
      <w:r w:rsidR="008B56CB" w:rsidRPr="009114DF">
        <w:rPr>
          <w:rFonts w:ascii="Times New Roman" w:eastAsia="Times New Roman" w:hAnsi="Times New Roman"/>
          <w:sz w:val="28"/>
          <w:szCs w:val="28"/>
          <w:lang w:eastAsia="ru-RU"/>
        </w:rPr>
        <w:t>α</w:t>
      </w:r>
      <w:r w:rsidRPr="009114DF">
        <w:rPr>
          <w:rFonts w:ascii="Times New Roman" w:eastAsia="Times New Roman" w:hAnsi="Times New Roman"/>
          <w:sz w:val="28"/>
          <w:szCs w:val="28"/>
          <w:lang w:eastAsia="ru-RU"/>
        </w:rPr>
        <w:t>, играют негативную роль в патогенезе РА, повышая активность воспалительного процесса и одновременно снижая остеогенный потенциал и ускоря</w:t>
      </w:r>
      <w:r w:rsidR="0078539B" w:rsidRPr="009114DF">
        <w:rPr>
          <w:rFonts w:ascii="Times New Roman" w:eastAsia="Times New Roman" w:hAnsi="Times New Roman"/>
          <w:sz w:val="28"/>
          <w:szCs w:val="28"/>
          <w:lang w:eastAsia="ru-RU"/>
        </w:rPr>
        <w:t>я костную резорбцию [</w:t>
      </w:r>
      <w:r w:rsidR="00041E69" w:rsidRPr="009114DF">
        <w:rPr>
          <w:rFonts w:ascii="Times New Roman" w:eastAsia="Times New Roman" w:hAnsi="Times New Roman"/>
          <w:sz w:val="28"/>
          <w:szCs w:val="28"/>
          <w:lang w:val="en-US" w:eastAsia="ru-RU"/>
        </w:rPr>
        <w:t>96</w:t>
      </w:r>
      <w:r w:rsidRPr="009114DF">
        <w:rPr>
          <w:rFonts w:ascii="Times New Roman" w:eastAsia="Times New Roman" w:hAnsi="Times New Roman"/>
          <w:sz w:val="28"/>
          <w:szCs w:val="28"/>
          <w:lang w:eastAsia="ru-RU"/>
        </w:rPr>
        <w:t>].</w:t>
      </w:r>
    </w:p>
    <w:p w:rsidR="00CF7FBB" w:rsidRPr="009114DF" w:rsidRDefault="00CF7FBB" w:rsidP="00F71B34">
      <w:pPr>
        <w:spacing w:after="0" w:line="360" w:lineRule="auto"/>
        <w:ind w:firstLine="663"/>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 исследованиях были получены новые данные о роли цитокинов, таких как ИЛ-17 и суперсемейства ФН</w:t>
      </w:r>
      <w:proofErr w:type="gramStart"/>
      <w:r w:rsidRPr="009114DF">
        <w:rPr>
          <w:rFonts w:ascii="Times New Roman" w:eastAsia="Times New Roman" w:hAnsi="Times New Roman"/>
          <w:sz w:val="28"/>
          <w:szCs w:val="28"/>
          <w:lang w:eastAsia="ru-RU"/>
        </w:rPr>
        <w:t>О</w:t>
      </w:r>
      <w:r w:rsidR="00432D00" w:rsidRPr="009114DF">
        <w:rPr>
          <w:rFonts w:ascii="Times New Roman" w:eastAsia="Times New Roman" w:hAnsi="Times New Roman"/>
          <w:sz w:val="28"/>
          <w:szCs w:val="28"/>
          <w:lang w:eastAsia="ru-RU"/>
        </w:rPr>
        <w:t>-</w:t>
      </w:r>
      <w:proofErr w:type="gramEnd"/>
      <w:r w:rsidR="00432D00" w:rsidRPr="009114DF">
        <w:rPr>
          <w:rFonts w:ascii="Times New Roman" w:eastAsia="Times New Roman" w:hAnsi="Times New Roman"/>
          <w:sz w:val="28"/>
          <w:szCs w:val="28"/>
          <w:lang w:eastAsia="ru-RU"/>
        </w:rPr>
        <w:t>α</w:t>
      </w:r>
      <w:r w:rsidRPr="009114DF">
        <w:rPr>
          <w:rFonts w:ascii="Times New Roman" w:eastAsia="Times New Roman" w:hAnsi="Times New Roman"/>
          <w:sz w:val="28"/>
          <w:szCs w:val="28"/>
          <w:lang w:eastAsia="ru-RU"/>
        </w:rPr>
        <w:t xml:space="preserve"> рецепторов, в развитии ОП  и костной деструкции при РА.  </w:t>
      </w:r>
      <w:proofErr w:type="gramStart"/>
      <w:r w:rsidRPr="009114DF">
        <w:rPr>
          <w:rFonts w:ascii="Times New Roman" w:eastAsia="Times New Roman" w:hAnsi="Times New Roman"/>
          <w:sz w:val="28"/>
          <w:szCs w:val="28"/>
          <w:lang w:eastAsia="ru-RU"/>
        </w:rPr>
        <w:t xml:space="preserve">ИЛ-17 – провоспалительный </w:t>
      </w:r>
      <w:r w:rsidRPr="009114DF">
        <w:rPr>
          <w:rFonts w:ascii="Times New Roman" w:eastAsia="Times New Roman" w:hAnsi="Times New Roman"/>
          <w:sz w:val="28"/>
          <w:szCs w:val="28"/>
          <w:lang w:val="en-US" w:eastAsia="ru-RU"/>
        </w:rPr>
        <w:t>Th</w:t>
      </w:r>
      <w:r w:rsidRPr="009114DF">
        <w:rPr>
          <w:rFonts w:ascii="Times New Roman" w:eastAsia="Times New Roman" w:hAnsi="Times New Roman"/>
          <w:sz w:val="28"/>
          <w:szCs w:val="28"/>
          <w:lang w:eastAsia="ru-RU"/>
        </w:rPr>
        <w:t xml:space="preserve">1 цитокин, который синтезируется Т-клетками с фенотипом </w:t>
      </w:r>
      <w:r w:rsidRPr="009114DF">
        <w:rPr>
          <w:rFonts w:ascii="Times New Roman" w:eastAsia="Times New Roman" w:hAnsi="Times New Roman"/>
          <w:sz w:val="28"/>
          <w:szCs w:val="28"/>
          <w:lang w:val="en-US" w:eastAsia="ru-RU"/>
        </w:rPr>
        <w:t>CD</w:t>
      </w:r>
      <w:r w:rsidRPr="009114DF">
        <w:rPr>
          <w:rFonts w:ascii="Times New Roman" w:eastAsia="Times New Roman" w:hAnsi="Times New Roman"/>
          <w:sz w:val="28"/>
          <w:szCs w:val="28"/>
          <w:lang w:eastAsia="ru-RU"/>
        </w:rPr>
        <w:t>45</w:t>
      </w:r>
      <w:r w:rsidRPr="009114DF">
        <w:rPr>
          <w:rFonts w:ascii="Times New Roman" w:eastAsia="Times New Roman" w:hAnsi="Times New Roman"/>
          <w:sz w:val="28"/>
          <w:szCs w:val="28"/>
          <w:lang w:val="en-US" w:eastAsia="ru-RU"/>
        </w:rPr>
        <w:t>RO</w:t>
      </w:r>
      <w:r w:rsidRPr="009114DF">
        <w:rPr>
          <w:rFonts w:ascii="Times New Roman" w:eastAsia="Times New Roman" w:hAnsi="Times New Roman"/>
          <w:sz w:val="28"/>
          <w:szCs w:val="28"/>
          <w:lang w:eastAsia="ru-RU"/>
        </w:rPr>
        <w:t>+ (</w:t>
      </w:r>
      <w:r w:rsidRPr="009114DF">
        <w:rPr>
          <w:rFonts w:ascii="Times New Roman" w:eastAsia="Times New Roman" w:hAnsi="Times New Roman"/>
          <w:sz w:val="28"/>
          <w:szCs w:val="28"/>
          <w:lang w:val="en-US" w:eastAsia="ru-RU"/>
        </w:rPr>
        <w:t>T</w:t>
      </w:r>
      <w:r w:rsidR="00432D00" w:rsidRPr="009114DF">
        <w:rPr>
          <w:rFonts w:ascii="Times New Roman" w:eastAsia="Times New Roman" w:hAnsi="Times New Roman"/>
          <w:sz w:val="28"/>
          <w:szCs w:val="28"/>
          <w:lang w:val="en-US" w:eastAsia="ru-RU"/>
        </w:rPr>
        <w:t>h</w:t>
      </w:r>
      <w:r w:rsidR="0078539B" w:rsidRPr="009114DF">
        <w:rPr>
          <w:rFonts w:ascii="Times New Roman" w:eastAsia="Times New Roman" w:hAnsi="Times New Roman"/>
          <w:sz w:val="28"/>
          <w:szCs w:val="28"/>
          <w:lang w:eastAsia="ru-RU"/>
        </w:rPr>
        <w:t>1-клетки памяти) [</w:t>
      </w:r>
      <w:r w:rsidR="008D1530" w:rsidRPr="009114DF">
        <w:rPr>
          <w:rFonts w:ascii="Times New Roman" w:eastAsia="Times New Roman" w:hAnsi="Times New Roman"/>
          <w:sz w:val="28"/>
          <w:szCs w:val="28"/>
          <w:lang w:eastAsia="ru-RU"/>
        </w:rPr>
        <w:t>51</w:t>
      </w:r>
      <w:r w:rsidRPr="009114DF">
        <w:rPr>
          <w:rFonts w:ascii="Times New Roman" w:eastAsia="Times New Roman" w:hAnsi="Times New Roman"/>
          <w:sz w:val="28"/>
          <w:szCs w:val="28"/>
          <w:lang w:eastAsia="ru-RU"/>
        </w:rPr>
        <w:t>] и выявляется в повышенном количестве в синовиальной жидкости и ткани при РА [</w:t>
      </w:r>
      <w:r w:rsidR="008D1530" w:rsidRPr="009114DF">
        <w:rPr>
          <w:rFonts w:ascii="Times New Roman" w:eastAsia="Times New Roman" w:hAnsi="Times New Roman"/>
          <w:sz w:val="28"/>
          <w:szCs w:val="28"/>
          <w:lang w:eastAsia="ru-RU"/>
        </w:rPr>
        <w:t>51,</w:t>
      </w:r>
      <w:r w:rsidR="00432D00" w:rsidRPr="009114DF">
        <w:rPr>
          <w:rFonts w:ascii="Times New Roman" w:eastAsia="Times New Roman" w:hAnsi="Times New Roman"/>
          <w:sz w:val="28"/>
          <w:szCs w:val="28"/>
          <w:lang w:eastAsia="ru-RU"/>
        </w:rPr>
        <w:t xml:space="preserve"> </w:t>
      </w:r>
      <w:r w:rsidR="008D1530" w:rsidRPr="009114DF">
        <w:rPr>
          <w:rFonts w:ascii="Times New Roman" w:eastAsia="Times New Roman" w:hAnsi="Times New Roman"/>
          <w:sz w:val="28"/>
          <w:szCs w:val="28"/>
          <w:lang w:eastAsia="ru-RU"/>
        </w:rPr>
        <w:t>61</w:t>
      </w:r>
      <w:r w:rsidRPr="009114DF">
        <w:rPr>
          <w:rFonts w:ascii="Times New Roman" w:eastAsia="Times New Roman" w:hAnsi="Times New Roman"/>
          <w:sz w:val="28"/>
          <w:szCs w:val="28"/>
          <w:lang w:eastAsia="ru-RU"/>
        </w:rPr>
        <w:t>].</w:t>
      </w:r>
      <w:proofErr w:type="gramEnd"/>
      <w:r w:rsidRPr="009114DF">
        <w:rPr>
          <w:rFonts w:ascii="Times New Roman" w:eastAsia="Times New Roman" w:hAnsi="Times New Roman"/>
          <w:sz w:val="28"/>
          <w:szCs w:val="28"/>
          <w:lang w:eastAsia="ru-RU"/>
        </w:rPr>
        <w:t xml:space="preserve"> Полагают, что ИЛ-17 индуцирует синтез фактора ди</w:t>
      </w:r>
      <w:r w:rsidR="008B56CB" w:rsidRPr="009114DF">
        <w:rPr>
          <w:rFonts w:ascii="Times New Roman" w:eastAsia="Times New Roman" w:hAnsi="Times New Roman"/>
          <w:sz w:val="28"/>
          <w:szCs w:val="28"/>
          <w:lang w:eastAsia="ru-RU"/>
        </w:rPr>
        <w:t>фференцировки остеокластов</w:t>
      </w:r>
      <w:r w:rsidRPr="009114DF">
        <w:rPr>
          <w:rFonts w:ascii="Times New Roman" w:eastAsia="Times New Roman" w:hAnsi="Times New Roman"/>
          <w:sz w:val="28"/>
          <w:szCs w:val="28"/>
          <w:lang w:eastAsia="ru-RU"/>
        </w:rPr>
        <w:t xml:space="preserve">, мембранного белка, который стимулирует дифференцировку предшественников </w:t>
      </w:r>
      <w:proofErr w:type="gramStart"/>
      <w:r w:rsidRPr="009114DF">
        <w:rPr>
          <w:rFonts w:ascii="Times New Roman" w:eastAsia="Times New Roman" w:hAnsi="Times New Roman"/>
          <w:sz w:val="28"/>
          <w:szCs w:val="28"/>
          <w:lang w:eastAsia="ru-RU"/>
        </w:rPr>
        <w:t>ОК</w:t>
      </w:r>
      <w:proofErr w:type="gramEnd"/>
      <w:r w:rsidRPr="009114DF">
        <w:rPr>
          <w:rFonts w:ascii="Times New Roman" w:eastAsia="Times New Roman" w:hAnsi="Times New Roman"/>
          <w:sz w:val="28"/>
          <w:szCs w:val="28"/>
          <w:lang w:eastAsia="ru-RU"/>
        </w:rPr>
        <w:t xml:space="preserve"> в зрелые ОК и </w:t>
      </w:r>
      <w:r w:rsidR="00432D00" w:rsidRPr="009114DF">
        <w:rPr>
          <w:rFonts w:ascii="Times New Roman" w:eastAsia="Times New Roman" w:hAnsi="Times New Roman"/>
          <w:sz w:val="28"/>
          <w:szCs w:val="28"/>
          <w:lang w:eastAsia="ru-RU"/>
        </w:rPr>
        <w:t>замедля</w:t>
      </w:r>
      <w:r w:rsidRPr="009114DF">
        <w:rPr>
          <w:rFonts w:ascii="Times New Roman" w:eastAsia="Times New Roman" w:hAnsi="Times New Roman"/>
          <w:sz w:val="28"/>
          <w:szCs w:val="28"/>
          <w:lang w:eastAsia="ru-RU"/>
        </w:rPr>
        <w:t>ет синтез фактора</w:t>
      </w:r>
      <w:r w:rsidR="00432D00" w:rsidRPr="009114DF">
        <w:rPr>
          <w:rFonts w:ascii="Times New Roman" w:eastAsia="Times New Roman" w:hAnsi="Times New Roman"/>
          <w:sz w:val="28"/>
          <w:szCs w:val="28"/>
          <w:lang w:eastAsia="ru-RU"/>
        </w:rPr>
        <w:t>,</w:t>
      </w:r>
      <w:r w:rsidR="008B56CB" w:rsidRPr="009114DF">
        <w:rPr>
          <w:rFonts w:ascii="Times New Roman" w:eastAsia="Times New Roman" w:hAnsi="Times New Roman"/>
          <w:sz w:val="28"/>
          <w:szCs w:val="28"/>
          <w:lang w:eastAsia="ru-RU"/>
        </w:rPr>
        <w:t xml:space="preserve"> ингибирующего остеокластогенез</w:t>
      </w:r>
      <w:r w:rsidRPr="009114DF">
        <w:rPr>
          <w:rFonts w:ascii="Times New Roman" w:eastAsia="Times New Roman" w:hAnsi="Times New Roman"/>
          <w:sz w:val="28"/>
          <w:szCs w:val="28"/>
          <w:lang w:eastAsia="ru-RU"/>
        </w:rPr>
        <w:t>, явля</w:t>
      </w:r>
      <w:r w:rsidR="0078539B" w:rsidRPr="009114DF">
        <w:rPr>
          <w:rFonts w:ascii="Times New Roman" w:eastAsia="Times New Roman" w:hAnsi="Times New Roman"/>
          <w:sz w:val="28"/>
          <w:szCs w:val="28"/>
          <w:lang w:eastAsia="ru-RU"/>
        </w:rPr>
        <w:t xml:space="preserve">ющегося рецептором для </w:t>
      </w:r>
      <w:r w:rsidR="008B56CB" w:rsidRPr="009114DF">
        <w:rPr>
          <w:rFonts w:ascii="Times New Roman" w:eastAsia="Times New Roman" w:hAnsi="Times New Roman"/>
          <w:sz w:val="28"/>
          <w:szCs w:val="28"/>
          <w:lang w:eastAsia="ru-RU"/>
        </w:rPr>
        <w:t>фактора дифференцировки остеокластов</w:t>
      </w:r>
      <w:r w:rsidRPr="009114DF">
        <w:rPr>
          <w:rFonts w:ascii="Times New Roman" w:eastAsia="Times New Roman" w:hAnsi="Times New Roman"/>
          <w:sz w:val="28"/>
          <w:szCs w:val="28"/>
          <w:lang w:eastAsia="ru-RU"/>
        </w:rPr>
        <w:t xml:space="preserve">. </w:t>
      </w:r>
    </w:p>
    <w:p w:rsidR="00D15389" w:rsidRPr="009114DF" w:rsidRDefault="00D15389" w:rsidP="002230F3">
      <w:pPr>
        <w:pStyle w:val="ad"/>
        <w:numPr>
          <w:ilvl w:val="1"/>
          <w:numId w:val="23"/>
        </w:numPr>
        <w:spacing w:after="0" w:line="360" w:lineRule="auto"/>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lastRenderedPageBreak/>
        <w:t xml:space="preserve">Факторы риска остеопороза и остеопоротических переломов </w:t>
      </w:r>
    </w:p>
    <w:p w:rsidR="002230F3" w:rsidRPr="009114DF" w:rsidRDefault="002230F3" w:rsidP="002230F3">
      <w:pPr>
        <w:pStyle w:val="ad"/>
        <w:spacing w:after="0" w:line="360" w:lineRule="auto"/>
        <w:ind w:left="1425"/>
        <w:jc w:val="both"/>
        <w:rPr>
          <w:rFonts w:ascii="Times New Roman" w:eastAsia="Times New Roman" w:hAnsi="Times New Roman"/>
          <w:sz w:val="28"/>
          <w:szCs w:val="28"/>
          <w:lang w:eastAsia="ru-RU"/>
        </w:rPr>
      </w:pPr>
    </w:p>
    <w:p w:rsidR="00D15389" w:rsidRPr="009114DF" w:rsidRDefault="00D15389" w:rsidP="00D15389">
      <w:pPr>
        <w:spacing w:after="0" w:line="360" w:lineRule="auto"/>
        <w:ind w:firstLine="708"/>
        <w:jc w:val="both"/>
        <w:rPr>
          <w:rFonts w:ascii="Times New Roman" w:hAnsi="Times New Roman"/>
          <w:sz w:val="28"/>
          <w:szCs w:val="28"/>
          <w:lang w:val="x-none" w:eastAsia="ru-RU"/>
        </w:rPr>
      </w:pPr>
      <w:r w:rsidRPr="009114DF">
        <w:rPr>
          <w:rFonts w:ascii="Times New Roman" w:eastAsia="Times New Roman" w:hAnsi="Times New Roman"/>
          <w:sz w:val="28"/>
          <w:szCs w:val="28"/>
          <w:lang w:eastAsia="ru-RU"/>
        </w:rPr>
        <w:t>Факторы риска (</w:t>
      </w:r>
      <w:proofErr w:type="gramStart"/>
      <w:r w:rsidRPr="009114DF">
        <w:rPr>
          <w:rFonts w:ascii="Times New Roman" w:eastAsia="Times New Roman" w:hAnsi="Times New Roman"/>
          <w:sz w:val="28"/>
          <w:szCs w:val="28"/>
          <w:lang w:eastAsia="ru-RU"/>
        </w:rPr>
        <w:t>ФР</w:t>
      </w:r>
      <w:proofErr w:type="gramEnd"/>
      <w:r w:rsidRPr="009114DF">
        <w:rPr>
          <w:rFonts w:ascii="Times New Roman" w:eastAsia="Times New Roman" w:hAnsi="Times New Roman"/>
          <w:sz w:val="28"/>
          <w:szCs w:val="28"/>
          <w:lang w:eastAsia="ru-RU"/>
        </w:rPr>
        <w:t xml:space="preserve">) ОП при РА недостаточно изучены, отражают как  патогенез заболевания, характер его течения, активность и длительность процесса, наличие системных проявлений, так и коморбидность состояния, вовлечение в патологический процесс внутренних органов, степень функциональной недостаточности суставов, снижение физической (двигательной) активности. Абсолютный и относительный вклад каждого из этих факторов в развитие ОП при РА точно не установлен. Например, следствиями высокой активности заболевания могут быть похудение, малоподвижный образ жизни, дефицит половых гормонов и витамина D. Предполагается, что наиболее важными из них являются тяжелое течение болезни, длительная неадекватная терапия глюкокортикоидами (ГК), ранняя менопауза (у женщин), пожилой возраст  [26, </w:t>
      </w:r>
      <w:r w:rsidR="00243567" w:rsidRPr="009114DF">
        <w:rPr>
          <w:rFonts w:ascii="Times New Roman" w:eastAsia="Times New Roman" w:hAnsi="Times New Roman"/>
          <w:sz w:val="28"/>
          <w:szCs w:val="28"/>
          <w:lang w:eastAsia="ru-RU"/>
        </w:rPr>
        <w:t>128</w:t>
      </w:r>
      <w:r w:rsidRPr="009114DF">
        <w:rPr>
          <w:rFonts w:ascii="Times New Roman" w:eastAsia="Times New Roman" w:hAnsi="Times New Roman"/>
          <w:sz w:val="28"/>
          <w:szCs w:val="28"/>
          <w:lang w:eastAsia="ru-RU"/>
        </w:rPr>
        <w:t xml:space="preserve">]. </w:t>
      </w:r>
      <w:r w:rsidRPr="009114DF">
        <w:rPr>
          <w:rFonts w:ascii="Times New Roman" w:hAnsi="Times New Roman"/>
          <w:sz w:val="28"/>
          <w:szCs w:val="28"/>
          <w:lang w:eastAsia="ru-RU"/>
        </w:rPr>
        <w:t xml:space="preserve">Генерализованная потеря минеральной плотности кости (МПК) при РА обусловлена многими причинами, которые условно можно разделить на две группы: традиционные, не зависящие от основного заболевания, и факторы, непосредственно связанные с РА. К </w:t>
      </w:r>
      <w:r w:rsidRPr="009114DF">
        <w:rPr>
          <w:rFonts w:ascii="Times New Roman" w:hAnsi="Times New Roman"/>
          <w:sz w:val="28"/>
          <w:szCs w:val="28"/>
          <w:lang w:val="x-none" w:eastAsia="ru-RU"/>
        </w:rPr>
        <w:t>традиционны</w:t>
      </w:r>
      <w:r w:rsidRPr="009114DF">
        <w:rPr>
          <w:rFonts w:ascii="Times New Roman" w:hAnsi="Times New Roman"/>
          <w:sz w:val="28"/>
          <w:szCs w:val="28"/>
          <w:lang w:eastAsia="ru-RU"/>
        </w:rPr>
        <w:t>м</w:t>
      </w:r>
      <w:r w:rsidRPr="009114DF">
        <w:rPr>
          <w:rFonts w:ascii="Times New Roman" w:hAnsi="Times New Roman"/>
          <w:sz w:val="28"/>
          <w:szCs w:val="28"/>
          <w:lang w:val="x-none" w:eastAsia="ru-RU"/>
        </w:rPr>
        <w:t xml:space="preserve"> </w:t>
      </w:r>
      <w:r w:rsidRPr="009114DF">
        <w:rPr>
          <w:rFonts w:ascii="Times New Roman" w:hAnsi="Times New Roman"/>
          <w:sz w:val="28"/>
          <w:szCs w:val="28"/>
          <w:lang w:eastAsia="ru-RU"/>
        </w:rPr>
        <w:t xml:space="preserve"> </w:t>
      </w:r>
      <w:proofErr w:type="gramStart"/>
      <w:r w:rsidRPr="009114DF">
        <w:rPr>
          <w:rFonts w:ascii="Times New Roman" w:hAnsi="Times New Roman"/>
          <w:sz w:val="28"/>
          <w:szCs w:val="28"/>
          <w:lang w:val="x-none" w:eastAsia="ru-RU"/>
        </w:rPr>
        <w:t>ФР</w:t>
      </w:r>
      <w:proofErr w:type="gramEnd"/>
      <w:r w:rsidRPr="009114DF">
        <w:rPr>
          <w:rFonts w:ascii="Times New Roman" w:hAnsi="Times New Roman"/>
          <w:sz w:val="28"/>
          <w:szCs w:val="28"/>
          <w:lang w:val="x-none" w:eastAsia="ru-RU"/>
        </w:rPr>
        <w:t xml:space="preserve"> ОП</w:t>
      </w:r>
      <w:r w:rsidRPr="009114DF">
        <w:rPr>
          <w:rFonts w:ascii="Times New Roman" w:hAnsi="Times New Roman"/>
          <w:sz w:val="28"/>
          <w:szCs w:val="28"/>
          <w:lang w:eastAsia="ru-RU"/>
        </w:rPr>
        <w:t xml:space="preserve"> относят </w:t>
      </w:r>
      <w:r w:rsidRPr="009114DF">
        <w:rPr>
          <w:rFonts w:ascii="Times New Roman" w:hAnsi="Times New Roman"/>
          <w:sz w:val="28"/>
          <w:szCs w:val="28"/>
          <w:lang w:val="x-none" w:eastAsia="ru-RU"/>
        </w:rPr>
        <w:t>женский пол, возраст, низкий индекс массы тела, низк</w:t>
      </w:r>
      <w:r w:rsidRPr="009114DF">
        <w:rPr>
          <w:rFonts w:ascii="Times New Roman" w:hAnsi="Times New Roman"/>
          <w:sz w:val="28"/>
          <w:szCs w:val="28"/>
          <w:lang w:eastAsia="ru-RU"/>
        </w:rPr>
        <w:t>ую МПК</w:t>
      </w:r>
      <w:r w:rsidRPr="009114DF">
        <w:rPr>
          <w:rFonts w:ascii="Times New Roman" w:hAnsi="Times New Roman"/>
          <w:sz w:val="28"/>
          <w:szCs w:val="28"/>
          <w:lang w:val="x-none" w:eastAsia="ru-RU"/>
        </w:rPr>
        <w:t>, семейный анамнез ОП, низк</w:t>
      </w:r>
      <w:r w:rsidRPr="009114DF">
        <w:rPr>
          <w:rFonts w:ascii="Times New Roman" w:hAnsi="Times New Roman"/>
          <w:sz w:val="28"/>
          <w:szCs w:val="28"/>
          <w:lang w:eastAsia="ru-RU"/>
        </w:rPr>
        <w:t>ую</w:t>
      </w:r>
      <w:r w:rsidRPr="009114DF">
        <w:rPr>
          <w:rFonts w:ascii="Times New Roman" w:hAnsi="Times New Roman"/>
          <w:sz w:val="28"/>
          <w:szCs w:val="28"/>
          <w:lang w:val="x-none" w:eastAsia="ru-RU"/>
        </w:rPr>
        <w:t xml:space="preserve"> физическ</w:t>
      </w:r>
      <w:r w:rsidRPr="009114DF">
        <w:rPr>
          <w:rFonts w:ascii="Times New Roman" w:hAnsi="Times New Roman"/>
          <w:sz w:val="28"/>
          <w:szCs w:val="28"/>
          <w:lang w:eastAsia="ru-RU"/>
        </w:rPr>
        <w:t>ую</w:t>
      </w:r>
      <w:r w:rsidRPr="009114DF">
        <w:rPr>
          <w:rFonts w:ascii="Times New Roman" w:hAnsi="Times New Roman"/>
          <w:sz w:val="28"/>
          <w:szCs w:val="28"/>
          <w:lang w:val="x-none" w:eastAsia="ru-RU"/>
        </w:rPr>
        <w:t xml:space="preserve"> активность, курение, злоупотребление алкоголем, дефицит витамина D, недостаточное потребление кальция, гипогонадизм, ранн</w:t>
      </w:r>
      <w:r w:rsidRPr="009114DF">
        <w:rPr>
          <w:rFonts w:ascii="Times New Roman" w:hAnsi="Times New Roman"/>
          <w:sz w:val="28"/>
          <w:szCs w:val="28"/>
          <w:lang w:eastAsia="ru-RU"/>
        </w:rPr>
        <w:t xml:space="preserve">юю </w:t>
      </w:r>
      <w:r w:rsidRPr="009114DF">
        <w:rPr>
          <w:rFonts w:ascii="Times New Roman" w:hAnsi="Times New Roman"/>
          <w:sz w:val="28"/>
          <w:szCs w:val="28"/>
          <w:lang w:val="x-none" w:eastAsia="ru-RU"/>
        </w:rPr>
        <w:t>менопауз</w:t>
      </w:r>
      <w:r w:rsidRPr="009114DF">
        <w:rPr>
          <w:rFonts w:ascii="Times New Roman" w:hAnsi="Times New Roman"/>
          <w:sz w:val="28"/>
          <w:szCs w:val="28"/>
          <w:lang w:eastAsia="ru-RU"/>
        </w:rPr>
        <w:t>у</w:t>
      </w:r>
      <w:r w:rsidRPr="009114DF">
        <w:rPr>
          <w:rFonts w:ascii="Times New Roman" w:hAnsi="Times New Roman"/>
          <w:sz w:val="28"/>
          <w:szCs w:val="28"/>
          <w:lang w:val="x-none" w:eastAsia="ru-RU"/>
        </w:rPr>
        <w:t>, длительн</w:t>
      </w:r>
      <w:r w:rsidRPr="009114DF">
        <w:rPr>
          <w:rFonts w:ascii="Times New Roman" w:hAnsi="Times New Roman"/>
          <w:sz w:val="28"/>
          <w:szCs w:val="28"/>
          <w:lang w:eastAsia="ru-RU"/>
        </w:rPr>
        <w:t>ую</w:t>
      </w:r>
      <w:r w:rsidRPr="009114DF">
        <w:rPr>
          <w:rFonts w:ascii="Times New Roman" w:hAnsi="Times New Roman"/>
          <w:sz w:val="28"/>
          <w:szCs w:val="28"/>
          <w:lang w:val="x-none" w:eastAsia="ru-RU"/>
        </w:rPr>
        <w:t xml:space="preserve"> иммобилизаци</w:t>
      </w:r>
      <w:r w:rsidRPr="009114DF">
        <w:rPr>
          <w:rFonts w:ascii="Times New Roman" w:hAnsi="Times New Roman"/>
          <w:sz w:val="28"/>
          <w:szCs w:val="28"/>
          <w:lang w:eastAsia="ru-RU"/>
        </w:rPr>
        <w:t xml:space="preserve">ю. </w:t>
      </w:r>
      <w:r w:rsidRPr="009114DF">
        <w:rPr>
          <w:rFonts w:ascii="Times New Roman" w:hAnsi="Times New Roman"/>
          <w:sz w:val="28"/>
          <w:szCs w:val="28"/>
          <w:lang w:val="x-none" w:eastAsia="ru-RU"/>
        </w:rPr>
        <w:t xml:space="preserve">Активация клеточного звена иммунитета и повышенная продукция провоспалительных цитокинов, высокая активность РА и функциональная недостаточность суставов, снижение физической (двигательной) активности, гормональные нарушения, снижение клиренса креатинина, скорости клубочковой фильтрации, повышение концентрации гомоцистеина в плазме крови, осложнения терапии </w:t>
      </w:r>
      <w:r w:rsidRPr="009114DF">
        <w:rPr>
          <w:rFonts w:ascii="Times New Roman" w:hAnsi="Times New Roman"/>
          <w:sz w:val="28"/>
          <w:szCs w:val="28"/>
          <w:lang w:eastAsia="ru-RU"/>
        </w:rPr>
        <w:t>глюкокортикоидами</w:t>
      </w:r>
      <w:r w:rsidRPr="009114DF">
        <w:rPr>
          <w:rFonts w:ascii="Times New Roman" w:hAnsi="Times New Roman"/>
          <w:sz w:val="28"/>
          <w:szCs w:val="28"/>
          <w:lang w:val="x-none" w:eastAsia="ru-RU"/>
        </w:rPr>
        <w:t>, цитостатиками рассматриваются как самостоятельные ФР</w:t>
      </w:r>
      <w:r w:rsidRPr="009114DF">
        <w:rPr>
          <w:rFonts w:ascii="Times New Roman" w:hAnsi="Times New Roman"/>
          <w:sz w:val="28"/>
          <w:szCs w:val="28"/>
          <w:lang w:eastAsia="ru-RU"/>
        </w:rPr>
        <w:t xml:space="preserve"> развития вторичного ОП </w:t>
      </w:r>
      <w:r w:rsidRPr="009114DF">
        <w:rPr>
          <w:rFonts w:ascii="Times New Roman" w:hAnsi="Times New Roman"/>
          <w:sz w:val="28"/>
          <w:szCs w:val="28"/>
          <w:lang w:val="x-none" w:eastAsia="ru-RU"/>
        </w:rPr>
        <w:t>[</w:t>
      </w:r>
      <w:r w:rsidRPr="009114DF">
        <w:rPr>
          <w:rFonts w:ascii="Times New Roman" w:hAnsi="Times New Roman"/>
          <w:sz w:val="28"/>
          <w:szCs w:val="28"/>
          <w:lang w:eastAsia="ru-RU"/>
        </w:rPr>
        <w:t>26</w:t>
      </w:r>
      <w:r w:rsidRPr="009114DF">
        <w:rPr>
          <w:rFonts w:ascii="Times New Roman" w:hAnsi="Times New Roman"/>
          <w:sz w:val="28"/>
          <w:szCs w:val="28"/>
          <w:lang w:val="x-none" w:eastAsia="ru-RU"/>
        </w:rPr>
        <w:t>].</w:t>
      </w:r>
    </w:p>
    <w:p w:rsidR="00D15389" w:rsidRPr="009114DF" w:rsidRDefault="00D15389" w:rsidP="00D15389">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lastRenderedPageBreak/>
        <w:t xml:space="preserve">В клинических рекомендациях предложена классификация факторов риска в зависимости от уровней значимости (уровни доказательности). К наиболее значимым </w:t>
      </w:r>
      <w:proofErr w:type="gramStart"/>
      <w:r w:rsidRPr="009114DF">
        <w:rPr>
          <w:rFonts w:ascii="Times New Roman" w:eastAsia="Times New Roman" w:hAnsi="Times New Roman"/>
          <w:sz w:val="28"/>
          <w:szCs w:val="28"/>
          <w:lang w:eastAsia="ru-RU"/>
        </w:rPr>
        <w:t>ФР</w:t>
      </w:r>
      <w:proofErr w:type="gramEnd"/>
      <w:r w:rsidRPr="009114DF">
        <w:rPr>
          <w:rFonts w:ascii="Times New Roman" w:eastAsia="Times New Roman" w:hAnsi="Times New Roman"/>
          <w:sz w:val="28"/>
          <w:szCs w:val="28"/>
          <w:lang w:eastAsia="ru-RU"/>
        </w:rPr>
        <w:t xml:space="preserve"> относятся ФР с уровнем доказательности А.</w:t>
      </w:r>
    </w:p>
    <w:p w:rsidR="00D15389" w:rsidRPr="009114DF" w:rsidRDefault="00D15389" w:rsidP="00D15389">
      <w:pPr>
        <w:spacing w:after="0" w:line="360" w:lineRule="auto"/>
        <w:ind w:left="851"/>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Предшествующие переломы и падения</w:t>
      </w:r>
    </w:p>
    <w:p w:rsidR="00D15389" w:rsidRPr="009114DF" w:rsidRDefault="00D15389" w:rsidP="00D15389">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Предшествующие переломы являются наиболее значимым немодифицируемым фактором риска ОП и остеопоротических переломов, имеющим даже большее значение, чем МПК (уровень доказательности А) [</w:t>
      </w:r>
      <w:r w:rsidR="007308E8" w:rsidRPr="009114DF">
        <w:rPr>
          <w:rFonts w:ascii="Times New Roman" w:eastAsia="Times New Roman" w:hAnsi="Times New Roman"/>
          <w:sz w:val="28"/>
          <w:szCs w:val="28"/>
          <w:lang w:eastAsia="ru-RU"/>
        </w:rPr>
        <w:t>64, 72</w:t>
      </w:r>
      <w:r w:rsidR="00372B3C" w:rsidRPr="009114DF">
        <w:rPr>
          <w:rFonts w:ascii="Times New Roman" w:eastAsia="Times New Roman" w:hAnsi="Times New Roman"/>
          <w:sz w:val="28"/>
          <w:szCs w:val="28"/>
          <w:lang w:eastAsia="ru-RU"/>
        </w:rPr>
        <w:t xml:space="preserve">, </w:t>
      </w:r>
      <w:r w:rsidR="00EC4BD2" w:rsidRPr="009114DF">
        <w:rPr>
          <w:rFonts w:ascii="Times New Roman" w:eastAsia="Times New Roman" w:hAnsi="Times New Roman"/>
          <w:sz w:val="28"/>
          <w:szCs w:val="28"/>
          <w:lang w:eastAsia="ru-RU"/>
        </w:rPr>
        <w:t>201</w:t>
      </w:r>
      <w:r w:rsidRPr="009114DF">
        <w:rPr>
          <w:rFonts w:ascii="Times New Roman" w:eastAsia="Times New Roman" w:hAnsi="Times New Roman"/>
          <w:sz w:val="28"/>
          <w:szCs w:val="28"/>
          <w:lang w:eastAsia="ru-RU"/>
        </w:rPr>
        <w:t>]. Малотравматичными переломами считаются переломы, произошедшие спонтанно или при падении с высоты собственного роста или ниже. Следует отметить, что риск последующих переломов выш</w:t>
      </w:r>
      <w:r w:rsidR="00F94DB5" w:rsidRPr="009114DF">
        <w:rPr>
          <w:rFonts w:ascii="Times New Roman" w:eastAsia="Times New Roman" w:hAnsi="Times New Roman"/>
          <w:sz w:val="28"/>
          <w:szCs w:val="28"/>
          <w:lang w:eastAsia="ru-RU"/>
        </w:rPr>
        <w:t>е предшествующего</w:t>
      </w:r>
      <w:r w:rsidR="00F94DB5" w:rsidRPr="009114DF">
        <w:rPr>
          <w:rFonts w:ascii="Times New Roman" w:eastAsia="Times New Roman" w:hAnsi="Times New Roman"/>
          <w:sz w:val="28"/>
          <w:szCs w:val="28"/>
          <w:lang w:eastAsia="ru-RU"/>
        </w:rPr>
        <w:br/>
        <w:t>в 2,2 раза [35</w:t>
      </w:r>
      <w:r w:rsidRPr="009114DF">
        <w:rPr>
          <w:rFonts w:ascii="Times New Roman" w:eastAsia="Times New Roman" w:hAnsi="Times New Roman"/>
          <w:sz w:val="28"/>
          <w:szCs w:val="28"/>
          <w:lang w:eastAsia="ru-RU"/>
        </w:rPr>
        <w:t xml:space="preserve">]. Большинству переломов при минимальном уровне травмы предшествуют падения. Падения – важный </w:t>
      </w:r>
      <w:proofErr w:type="gramStart"/>
      <w:r w:rsidRPr="009114DF">
        <w:rPr>
          <w:rFonts w:ascii="Times New Roman" w:eastAsia="Times New Roman" w:hAnsi="Times New Roman"/>
          <w:sz w:val="28"/>
          <w:szCs w:val="28"/>
          <w:lang w:eastAsia="ru-RU"/>
        </w:rPr>
        <w:t>ФР</w:t>
      </w:r>
      <w:proofErr w:type="gramEnd"/>
      <w:r w:rsidRPr="009114DF">
        <w:rPr>
          <w:rFonts w:ascii="Times New Roman" w:eastAsia="Times New Roman" w:hAnsi="Times New Roman"/>
          <w:sz w:val="28"/>
          <w:szCs w:val="28"/>
          <w:lang w:eastAsia="ru-RU"/>
        </w:rPr>
        <w:t xml:space="preserve"> остеопоротических переломов [</w:t>
      </w:r>
      <w:r w:rsidR="00957C16" w:rsidRPr="009114DF">
        <w:rPr>
          <w:rFonts w:ascii="Times New Roman" w:eastAsia="Times New Roman" w:hAnsi="Times New Roman"/>
          <w:sz w:val="28"/>
          <w:szCs w:val="28"/>
          <w:lang w:eastAsia="ru-RU"/>
        </w:rPr>
        <w:t>165</w:t>
      </w:r>
      <w:r w:rsidRPr="009114DF">
        <w:rPr>
          <w:rFonts w:ascii="Times New Roman" w:eastAsia="Times New Roman" w:hAnsi="Times New Roman"/>
          <w:sz w:val="28"/>
          <w:szCs w:val="28"/>
          <w:lang w:eastAsia="ru-RU"/>
        </w:rPr>
        <w:t xml:space="preserve">, </w:t>
      </w:r>
      <w:r w:rsidR="00EC4BD2" w:rsidRPr="009114DF">
        <w:rPr>
          <w:rFonts w:ascii="Times New Roman" w:eastAsia="Times New Roman" w:hAnsi="Times New Roman"/>
          <w:sz w:val="28"/>
          <w:szCs w:val="28"/>
          <w:lang w:eastAsia="ru-RU"/>
        </w:rPr>
        <w:t>201</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851"/>
        <w:contextualSpacing/>
        <w:jc w:val="both"/>
        <w:rPr>
          <w:rFonts w:ascii="Times New Roman" w:eastAsia="Times New Roman" w:hAnsi="Times New Roman"/>
          <w:b/>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Низкая минеральная плотность кости</w:t>
      </w:r>
      <w:r w:rsidRPr="009114DF">
        <w:rPr>
          <w:rFonts w:ascii="Times New Roman" w:eastAsia="Times New Roman" w:hAnsi="Times New Roman"/>
          <w:b/>
          <w:sz w:val="28"/>
          <w:szCs w:val="28"/>
          <w:lang w:eastAsia="ru-RU"/>
        </w:rPr>
        <w:t xml:space="preserve"> </w:t>
      </w:r>
    </w:p>
    <w:p w:rsidR="00D15389" w:rsidRPr="009114DF" w:rsidRDefault="00D15389" w:rsidP="00D15389">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Низкая МПК – значимый фактор риска ОП (уровень доказательности А). Развитие перелома при низкой МПК связано с интенсивностью нагрузки, превосходящей прочность кости [</w:t>
      </w:r>
      <w:r w:rsidR="00041E69" w:rsidRPr="009114DF">
        <w:rPr>
          <w:rFonts w:ascii="Times New Roman" w:eastAsia="Times New Roman" w:hAnsi="Times New Roman"/>
          <w:sz w:val="28"/>
          <w:szCs w:val="28"/>
          <w:lang w:eastAsia="ru-RU"/>
        </w:rPr>
        <w:t>99</w:t>
      </w:r>
      <w:r w:rsidR="00266791" w:rsidRPr="009114DF">
        <w:rPr>
          <w:rFonts w:ascii="Times New Roman" w:eastAsia="Times New Roman" w:hAnsi="Times New Roman"/>
          <w:sz w:val="28"/>
          <w:szCs w:val="28"/>
          <w:lang w:eastAsia="ru-RU"/>
        </w:rPr>
        <w:t>, 142</w:t>
      </w:r>
      <w:r w:rsidRPr="009114DF">
        <w:rPr>
          <w:rFonts w:ascii="Times New Roman" w:eastAsia="Times New Roman" w:hAnsi="Times New Roman"/>
          <w:sz w:val="28"/>
          <w:szCs w:val="28"/>
          <w:lang w:eastAsia="ru-RU"/>
        </w:rPr>
        <w:t>].</w:t>
      </w:r>
    </w:p>
    <w:p w:rsidR="00D15389" w:rsidRPr="009114DF" w:rsidRDefault="00D15389" w:rsidP="00D15389">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Поскольку возможность исследования качества костной ткани на установках магнитно-ядерного резонанса высокой разрешающей способности в России достаточно низкая, диагноз ОП в настоящее время базируется на данных денситометрии с определением МПК, являющейся эквивалентом качества минеральной костной массы. Диагностика МПК проводится методом двухэнергетической </w:t>
      </w:r>
      <w:proofErr w:type="gramStart"/>
      <w:r w:rsidRPr="009114DF">
        <w:rPr>
          <w:rFonts w:ascii="Times New Roman" w:eastAsia="Times New Roman" w:hAnsi="Times New Roman"/>
          <w:sz w:val="28"/>
          <w:szCs w:val="28"/>
          <w:lang w:eastAsia="ru-RU"/>
        </w:rPr>
        <w:t>рентгеновской</w:t>
      </w:r>
      <w:proofErr w:type="gramEnd"/>
      <w:r w:rsidRPr="009114DF">
        <w:rPr>
          <w:rFonts w:ascii="Times New Roman" w:eastAsia="Times New Roman" w:hAnsi="Times New Roman"/>
          <w:sz w:val="28"/>
          <w:szCs w:val="28"/>
          <w:lang w:eastAsia="ru-RU"/>
        </w:rPr>
        <w:t xml:space="preserve"> абсорбциометрии. Наиболее широко распространена абсорбциометрия с определением минеральной плотности в области </w:t>
      </w:r>
      <w:r w:rsidRPr="009114DF">
        <w:rPr>
          <w:rFonts w:ascii="Times New Roman" w:eastAsia="Times New Roman" w:hAnsi="Times New Roman"/>
          <w:sz w:val="28"/>
          <w:szCs w:val="28"/>
          <w:lang w:val="en-US" w:eastAsia="ru-RU"/>
        </w:rPr>
        <w:t>I</w:t>
      </w:r>
      <w:r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val="en-US" w:eastAsia="ru-RU"/>
        </w:rPr>
        <w:t>IV</w:t>
      </w:r>
      <w:r w:rsidRPr="009114DF">
        <w:rPr>
          <w:rFonts w:ascii="Times New Roman" w:eastAsia="Times New Roman" w:hAnsi="Times New Roman"/>
          <w:sz w:val="28"/>
          <w:szCs w:val="28"/>
          <w:lang w:eastAsia="ru-RU"/>
        </w:rPr>
        <w:t xml:space="preserve"> тел поясничных позвонков и тазобедренного сустава, так как распространенность переломов коррелирует с МПК поясничного отдела позвоночника и проксимального отдела бедра (уровень доказательности А) [6</w:t>
      </w:r>
      <w:r w:rsidR="007308E8" w:rsidRPr="009114DF">
        <w:rPr>
          <w:rFonts w:ascii="Times New Roman" w:eastAsia="Times New Roman" w:hAnsi="Times New Roman"/>
          <w:sz w:val="28"/>
          <w:szCs w:val="28"/>
          <w:lang w:eastAsia="ru-RU"/>
        </w:rPr>
        <w:t>6</w:t>
      </w:r>
      <w:r w:rsidRPr="009114DF">
        <w:rPr>
          <w:rFonts w:ascii="Times New Roman" w:eastAsia="Times New Roman" w:hAnsi="Times New Roman"/>
          <w:sz w:val="28"/>
          <w:szCs w:val="28"/>
          <w:lang w:eastAsia="ru-RU"/>
        </w:rPr>
        <w:t xml:space="preserve">, </w:t>
      </w:r>
      <w:r w:rsidR="00041E69" w:rsidRPr="009114DF">
        <w:rPr>
          <w:rFonts w:ascii="Times New Roman" w:eastAsia="Times New Roman" w:hAnsi="Times New Roman"/>
          <w:sz w:val="28"/>
          <w:szCs w:val="28"/>
          <w:lang w:eastAsia="ru-RU"/>
        </w:rPr>
        <w:t>91</w:t>
      </w:r>
      <w:r w:rsidRPr="009114DF">
        <w:rPr>
          <w:rFonts w:ascii="Times New Roman" w:eastAsia="Times New Roman" w:hAnsi="Times New Roman"/>
          <w:sz w:val="28"/>
          <w:szCs w:val="28"/>
          <w:lang w:eastAsia="ru-RU"/>
        </w:rPr>
        <w:t xml:space="preserve">]. В современной клинической практике </w:t>
      </w:r>
      <w:proofErr w:type="gramStart"/>
      <w:r w:rsidRPr="009114DF">
        <w:rPr>
          <w:rFonts w:ascii="Times New Roman" w:eastAsia="Times New Roman" w:hAnsi="Times New Roman"/>
          <w:sz w:val="28"/>
          <w:szCs w:val="28"/>
          <w:lang w:eastAsia="ru-RU"/>
        </w:rPr>
        <w:t>индивидуальная</w:t>
      </w:r>
      <w:proofErr w:type="gramEnd"/>
      <w:r w:rsidRPr="009114DF">
        <w:rPr>
          <w:rFonts w:ascii="Times New Roman" w:eastAsia="Times New Roman" w:hAnsi="Times New Roman"/>
          <w:sz w:val="28"/>
          <w:szCs w:val="28"/>
          <w:lang w:eastAsia="ru-RU"/>
        </w:rPr>
        <w:t xml:space="preserve"> МПК сравнивается с </w:t>
      </w:r>
      <w:r w:rsidRPr="009114DF">
        <w:rPr>
          <w:rFonts w:ascii="Times New Roman" w:eastAsia="Times New Roman" w:hAnsi="Times New Roman"/>
          <w:sz w:val="28"/>
          <w:szCs w:val="28"/>
          <w:lang w:eastAsia="ru-RU"/>
        </w:rPr>
        <w:lastRenderedPageBreak/>
        <w:t xml:space="preserve">референсной базой данных. Наиболее приемлемый способ оценки МПК – использование </w:t>
      </w:r>
      <w:proofErr w:type="gramStart"/>
      <w:r w:rsidRPr="009114DF">
        <w:rPr>
          <w:rFonts w:ascii="Times New Roman" w:eastAsia="Times New Roman" w:hAnsi="Times New Roman"/>
          <w:sz w:val="28"/>
          <w:szCs w:val="28"/>
          <w:lang w:eastAsia="ru-RU"/>
        </w:rPr>
        <w:t>Т-</w:t>
      </w:r>
      <w:proofErr w:type="gramEnd"/>
      <w:r w:rsidRPr="009114DF">
        <w:rPr>
          <w:rFonts w:ascii="Times New Roman" w:eastAsia="Times New Roman" w:hAnsi="Times New Roman"/>
          <w:sz w:val="28"/>
          <w:szCs w:val="28"/>
          <w:lang w:eastAsia="ru-RU"/>
        </w:rPr>
        <w:t xml:space="preserve"> и </w:t>
      </w:r>
      <w:r w:rsidRPr="009114DF">
        <w:rPr>
          <w:rFonts w:ascii="Times New Roman" w:eastAsia="Times New Roman" w:hAnsi="Times New Roman"/>
          <w:sz w:val="28"/>
          <w:szCs w:val="28"/>
          <w:lang w:val="en-US" w:eastAsia="ru-RU"/>
        </w:rPr>
        <w:t>Z</w:t>
      </w:r>
      <w:r w:rsidRPr="009114DF">
        <w:rPr>
          <w:rFonts w:ascii="Times New Roman" w:eastAsia="Times New Roman" w:hAnsi="Times New Roman"/>
          <w:sz w:val="28"/>
          <w:szCs w:val="28"/>
          <w:lang w:eastAsia="ru-RU"/>
        </w:rPr>
        <w:t>-критериев [</w:t>
      </w:r>
      <w:r w:rsidR="00041E69" w:rsidRPr="009114DF">
        <w:rPr>
          <w:rFonts w:ascii="Times New Roman" w:eastAsia="Times New Roman" w:hAnsi="Times New Roman"/>
          <w:sz w:val="28"/>
          <w:szCs w:val="28"/>
          <w:lang w:eastAsia="ru-RU"/>
        </w:rPr>
        <w:t>91</w:t>
      </w:r>
      <w:r w:rsidRPr="009114DF">
        <w:rPr>
          <w:rFonts w:ascii="Times New Roman" w:eastAsia="Times New Roman" w:hAnsi="Times New Roman"/>
          <w:sz w:val="28"/>
          <w:szCs w:val="28"/>
          <w:lang w:eastAsia="ru-RU"/>
        </w:rPr>
        <w:t xml:space="preserve">, </w:t>
      </w:r>
      <w:r w:rsidR="00266791" w:rsidRPr="009114DF">
        <w:rPr>
          <w:rFonts w:ascii="Times New Roman" w:eastAsia="Times New Roman" w:hAnsi="Times New Roman"/>
          <w:sz w:val="28"/>
          <w:szCs w:val="28"/>
          <w:lang w:eastAsia="ru-RU"/>
        </w:rPr>
        <w:t>141</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В ряде эпидемиологических исследований показано, что снижение костной массы приводит к повышению риска перелома любой локализации, при этом снижение МПК на 1 </w:t>
      </w:r>
      <w:r w:rsidRPr="009114DF">
        <w:rPr>
          <w:rFonts w:ascii="Times New Roman" w:eastAsia="Times New Roman" w:hAnsi="Times New Roman"/>
          <w:sz w:val="28"/>
          <w:szCs w:val="28"/>
          <w:lang w:val="en-US" w:eastAsia="ru-RU"/>
        </w:rPr>
        <w:t>SD</w:t>
      </w:r>
      <w:r w:rsidRPr="009114DF">
        <w:rPr>
          <w:rFonts w:ascii="Times New Roman" w:eastAsia="Times New Roman" w:hAnsi="Times New Roman"/>
          <w:sz w:val="28"/>
          <w:szCs w:val="28"/>
          <w:lang w:eastAsia="ru-RU"/>
        </w:rPr>
        <w:t xml:space="preserve"> (стандартное отклонение) от нормы приводит к 1,5-кратному увеличению риска переломов [</w:t>
      </w:r>
      <w:r w:rsidR="00BD6504" w:rsidRPr="009114DF">
        <w:rPr>
          <w:rFonts w:ascii="Times New Roman" w:eastAsia="Times New Roman" w:hAnsi="Times New Roman"/>
          <w:sz w:val="28"/>
          <w:szCs w:val="28"/>
          <w:lang w:eastAsia="ru-RU"/>
        </w:rPr>
        <w:t>148</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1069"/>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 xml:space="preserve">Пол </w:t>
      </w:r>
    </w:p>
    <w:p w:rsidR="00D15389" w:rsidRPr="009114DF" w:rsidRDefault="00D15389" w:rsidP="00D15389">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Женский пол является фактором риска РА ОП</w:t>
      </w:r>
      <w:r w:rsidR="007308E8" w:rsidRPr="009114DF">
        <w:rPr>
          <w:rFonts w:ascii="Times New Roman" w:eastAsia="Times New Roman" w:hAnsi="Times New Roman"/>
          <w:sz w:val="28"/>
          <w:szCs w:val="28"/>
          <w:lang w:eastAsia="ru-RU"/>
        </w:rPr>
        <w:t xml:space="preserve"> (уровень доказательности А) [71</w:t>
      </w:r>
      <w:r w:rsidRPr="009114DF">
        <w:rPr>
          <w:rFonts w:ascii="Times New Roman" w:eastAsia="Times New Roman" w:hAnsi="Times New Roman"/>
          <w:sz w:val="28"/>
          <w:szCs w:val="28"/>
          <w:lang w:eastAsia="ru-RU"/>
        </w:rPr>
        <w:t xml:space="preserve">, </w:t>
      </w:r>
      <w:r w:rsidR="00957C16" w:rsidRPr="009114DF">
        <w:rPr>
          <w:rFonts w:ascii="Times New Roman" w:eastAsia="Times New Roman" w:hAnsi="Times New Roman"/>
          <w:sz w:val="28"/>
          <w:szCs w:val="28"/>
          <w:lang w:eastAsia="ru-RU"/>
        </w:rPr>
        <w:t>164</w:t>
      </w:r>
      <w:r w:rsidRPr="009114DF">
        <w:rPr>
          <w:rFonts w:ascii="Times New Roman" w:eastAsia="Times New Roman" w:hAnsi="Times New Roman"/>
          <w:sz w:val="28"/>
          <w:szCs w:val="28"/>
          <w:lang w:eastAsia="ru-RU"/>
        </w:rPr>
        <w:t>]. Половое распределение больных (Ж</w:t>
      </w:r>
      <w:proofErr w:type="gramStart"/>
      <w:r w:rsidRPr="009114DF">
        <w:rPr>
          <w:rFonts w:ascii="Times New Roman" w:eastAsia="Times New Roman" w:hAnsi="Times New Roman"/>
          <w:sz w:val="28"/>
          <w:szCs w:val="28"/>
          <w:lang w:eastAsia="ru-RU"/>
        </w:rPr>
        <w:t>:М</w:t>
      </w:r>
      <w:proofErr w:type="gramEnd"/>
      <w:r w:rsidRPr="009114DF">
        <w:rPr>
          <w:rFonts w:ascii="Times New Roman" w:eastAsia="Times New Roman" w:hAnsi="Times New Roman"/>
          <w:sz w:val="28"/>
          <w:szCs w:val="28"/>
          <w:lang w:eastAsia="ru-RU"/>
        </w:rPr>
        <w:t xml:space="preserve">=5,5:1) демонстрирует тот факт, что РА в России является преимущественно «женским» заболеванием. </w:t>
      </w:r>
      <w:proofErr w:type="gramStart"/>
      <w:r w:rsidRPr="009114DF">
        <w:rPr>
          <w:rFonts w:ascii="Times New Roman" w:eastAsia="Times New Roman" w:hAnsi="Times New Roman"/>
          <w:sz w:val="28"/>
          <w:szCs w:val="28"/>
          <w:lang w:eastAsia="ru-RU"/>
        </w:rPr>
        <w:t>Преобладание женщин среди больных РА, частое возникновение и обострение течения заболевания в период выраженных гормональных перестроек организма (пубертатный, лактации и менопаузы у женщин) и, наоборот, клиническая ремиссия во время беременности, изменение течения РА при приеме контрацептивов, содержащих эстрогены или андрогены, – все это свидетельствует о большом значении половых гормонов в развитии этой патологии [</w:t>
      </w:r>
      <w:r w:rsidR="00957C16" w:rsidRPr="009114DF">
        <w:rPr>
          <w:rFonts w:ascii="Times New Roman" w:eastAsia="Times New Roman" w:hAnsi="Times New Roman"/>
          <w:sz w:val="28"/>
          <w:szCs w:val="28"/>
          <w:lang w:eastAsia="ru-RU"/>
        </w:rPr>
        <w:t>166</w:t>
      </w:r>
      <w:r w:rsidRPr="009114DF">
        <w:rPr>
          <w:rFonts w:ascii="Times New Roman" w:eastAsia="Times New Roman" w:hAnsi="Times New Roman"/>
          <w:sz w:val="28"/>
          <w:szCs w:val="28"/>
          <w:lang w:eastAsia="ru-RU"/>
        </w:rPr>
        <w:t xml:space="preserve">]. </w:t>
      </w:r>
      <w:proofErr w:type="gramEnd"/>
    </w:p>
    <w:p w:rsidR="00D15389" w:rsidRPr="009114DF" w:rsidRDefault="00D15389" w:rsidP="00D15389">
      <w:pPr>
        <w:spacing w:after="0" w:line="360" w:lineRule="auto"/>
        <w:ind w:left="1069"/>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 xml:space="preserve">Возраст </w:t>
      </w:r>
    </w:p>
    <w:p w:rsidR="00D15389" w:rsidRPr="009114DF" w:rsidRDefault="00D15389" w:rsidP="00BD6504">
      <w:pPr>
        <w:shd w:val="clear" w:color="auto" w:fill="FFFFFF"/>
        <w:spacing w:after="0" w:line="360" w:lineRule="auto"/>
        <w:ind w:firstLine="705"/>
        <w:jc w:val="both"/>
        <w:rPr>
          <w:rFonts w:ascii="Times New Roman" w:eastAsia="Times New Roman" w:hAnsi="Times New Roman"/>
          <w:bCs/>
          <w:iCs/>
          <w:sz w:val="28"/>
          <w:szCs w:val="28"/>
          <w:lang w:eastAsia="ru-RU"/>
        </w:rPr>
      </w:pPr>
      <w:r w:rsidRPr="009114DF">
        <w:rPr>
          <w:rFonts w:ascii="Times New Roman" w:eastAsia="Times New Roman" w:hAnsi="Times New Roman"/>
          <w:sz w:val="28"/>
          <w:szCs w:val="28"/>
          <w:lang w:eastAsia="ru-RU"/>
        </w:rPr>
        <w:t xml:space="preserve">Согласно клиническим рекомендациям, возраст 65 лет и старше является фактором риска развития ОП (уровень доказательности А) [34].  Однако однозначного мнения по поводу возрастных особенностей нет. Так, некоторые авторы полагают, что при РА имеет место более существенная потеря костной ткани у молодых пациентов, чем у больных </w:t>
      </w:r>
      <w:proofErr w:type="gramStart"/>
      <w:r w:rsidRPr="009114DF">
        <w:rPr>
          <w:rFonts w:ascii="Times New Roman" w:eastAsia="Times New Roman" w:hAnsi="Times New Roman"/>
          <w:sz w:val="28"/>
          <w:szCs w:val="28"/>
          <w:lang w:eastAsia="ru-RU"/>
        </w:rPr>
        <w:t>более старшего</w:t>
      </w:r>
      <w:proofErr w:type="gramEnd"/>
      <w:r w:rsidRPr="009114DF">
        <w:rPr>
          <w:rFonts w:ascii="Times New Roman" w:eastAsia="Times New Roman" w:hAnsi="Times New Roman"/>
          <w:sz w:val="28"/>
          <w:szCs w:val="28"/>
          <w:lang w:eastAsia="ru-RU"/>
        </w:rPr>
        <w:t xml:space="preserve"> возраста </w:t>
      </w:r>
      <w:r w:rsidRPr="009114DF">
        <w:rPr>
          <w:rFonts w:ascii="Times New Roman" w:eastAsia="Times New Roman" w:hAnsi="Times New Roman"/>
          <w:bCs/>
          <w:iCs/>
          <w:sz w:val="28"/>
          <w:szCs w:val="28"/>
          <w:lang w:eastAsia="ru-RU"/>
        </w:rPr>
        <w:t>[</w:t>
      </w:r>
      <w:r w:rsidR="00A05647" w:rsidRPr="009114DF">
        <w:rPr>
          <w:rFonts w:ascii="Times New Roman" w:eastAsia="Times New Roman" w:hAnsi="Times New Roman"/>
          <w:bCs/>
          <w:iCs/>
          <w:sz w:val="28"/>
          <w:szCs w:val="28"/>
          <w:lang w:eastAsia="ru-RU"/>
        </w:rPr>
        <w:t>107</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 xml:space="preserve">. В то же время у женщин с РА в постменопаузе МПК в различных отделах скелета также ниже возрастной нормы </w:t>
      </w:r>
      <w:r w:rsidRPr="009114DF">
        <w:rPr>
          <w:rFonts w:ascii="Times New Roman" w:eastAsia="Times New Roman" w:hAnsi="Times New Roman"/>
          <w:bCs/>
          <w:iCs/>
          <w:sz w:val="28"/>
          <w:szCs w:val="28"/>
          <w:lang w:eastAsia="ru-RU"/>
        </w:rPr>
        <w:t>[</w:t>
      </w:r>
      <w:r w:rsidR="00BD6504" w:rsidRPr="009114DF">
        <w:rPr>
          <w:rFonts w:ascii="Times New Roman" w:eastAsia="Times New Roman" w:hAnsi="Times New Roman"/>
          <w:bCs/>
          <w:iCs/>
          <w:sz w:val="28"/>
          <w:szCs w:val="28"/>
          <w:lang w:eastAsia="ru-RU"/>
        </w:rPr>
        <w:t>158</w:t>
      </w:r>
      <w:r w:rsidRPr="009114DF">
        <w:rPr>
          <w:rFonts w:ascii="Times New Roman" w:eastAsia="Times New Roman" w:hAnsi="Times New Roman"/>
          <w:bCs/>
          <w:iCs/>
          <w:sz w:val="28"/>
          <w:szCs w:val="28"/>
          <w:lang w:eastAsia="ru-RU"/>
        </w:rPr>
        <w:t>]</w:t>
      </w:r>
      <w:r w:rsidR="00895638" w:rsidRPr="009114DF">
        <w:rPr>
          <w:rFonts w:ascii="Times New Roman" w:eastAsia="Times New Roman" w:hAnsi="Times New Roman"/>
          <w:sz w:val="28"/>
          <w:szCs w:val="28"/>
          <w:lang w:eastAsia="ru-RU"/>
        </w:rPr>
        <w:t xml:space="preserve">. В работе </w:t>
      </w:r>
      <w:r w:rsidRPr="009114DF">
        <w:rPr>
          <w:rFonts w:ascii="Times New Roman" w:eastAsia="Times New Roman" w:hAnsi="Times New Roman"/>
          <w:sz w:val="28"/>
          <w:szCs w:val="28"/>
          <w:lang w:eastAsia="ru-RU"/>
        </w:rPr>
        <w:t xml:space="preserve">А. А. Мурадянец и соавт. отмечено, что у больных в группе старше 50 лет показатели МПК были достоверно ниже, чем у более молодых пациентов </w:t>
      </w:r>
      <w:r w:rsidRPr="009114DF">
        <w:rPr>
          <w:rFonts w:ascii="Times New Roman" w:eastAsia="Times New Roman" w:hAnsi="Times New Roman"/>
          <w:bCs/>
          <w:iCs/>
          <w:sz w:val="28"/>
          <w:szCs w:val="28"/>
          <w:lang w:eastAsia="ru-RU"/>
        </w:rPr>
        <w:t>[45]</w:t>
      </w:r>
      <w:r w:rsidRPr="009114DF">
        <w:rPr>
          <w:rFonts w:ascii="Times New Roman" w:eastAsia="Times New Roman" w:hAnsi="Times New Roman"/>
          <w:sz w:val="28"/>
          <w:szCs w:val="28"/>
          <w:lang w:eastAsia="ru-RU"/>
        </w:rPr>
        <w:t xml:space="preserve">.  Однако другие авторы не обнаружили различий по показателям МПК между больными РА в пременопаузальном и постменопаузальном периоде </w:t>
      </w:r>
      <w:r w:rsidRPr="009114DF">
        <w:rPr>
          <w:rFonts w:ascii="Times New Roman" w:eastAsia="Times New Roman" w:hAnsi="Times New Roman"/>
          <w:bCs/>
          <w:iCs/>
          <w:sz w:val="28"/>
          <w:szCs w:val="28"/>
          <w:lang w:eastAsia="ru-RU"/>
        </w:rPr>
        <w:t>[</w:t>
      </w:r>
      <w:r w:rsidR="00266791" w:rsidRPr="009114DF">
        <w:rPr>
          <w:rFonts w:ascii="Times New Roman" w:eastAsia="Times New Roman" w:hAnsi="Times New Roman"/>
          <w:bCs/>
          <w:iCs/>
          <w:sz w:val="28"/>
          <w:szCs w:val="28"/>
          <w:lang w:eastAsia="ru-RU"/>
        </w:rPr>
        <w:t>143</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w:t>
      </w:r>
    </w:p>
    <w:p w:rsidR="00D15389" w:rsidRPr="009114DF" w:rsidRDefault="00D15389" w:rsidP="00D15389">
      <w:pPr>
        <w:spacing w:after="0" w:line="360" w:lineRule="auto"/>
        <w:ind w:left="1069"/>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Переломы бедра у родителей</w:t>
      </w:r>
    </w:p>
    <w:p w:rsidR="00D15389" w:rsidRPr="009114DF" w:rsidRDefault="00D15389" w:rsidP="00D15389">
      <w:pPr>
        <w:spacing w:after="0" w:line="360" w:lineRule="auto"/>
        <w:ind w:firstLine="663"/>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lastRenderedPageBreak/>
        <w:t xml:space="preserve">Семейный анамнез ОП является фактором риска развития ОП (уровень доказательности А). У людей с семейным анамнезом ОП наблюдается более </w:t>
      </w:r>
      <w:proofErr w:type="gramStart"/>
      <w:r w:rsidRPr="009114DF">
        <w:rPr>
          <w:rFonts w:ascii="Times New Roman" w:eastAsia="Times New Roman" w:hAnsi="Times New Roman"/>
          <w:sz w:val="28"/>
          <w:szCs w:val="28"/>
          <w:lang w:eastAsia="ru-RU"/>
        </w:rPr>
        <w:t>низкая</w:t>
      </w:r>
      <w:proofErr w:type="gramEnd"/>
      <w:r w:rsidRPr="009114DF">
        <w:rPr>
          <w:rFonts w:ascii="Times New Roman" w:eastAsia="Times New Roman" w:hAnsi="Times New Roman"/>
          <w:sz w:val="28"/>
          <w:szCs w:val="28"/>
          <w:lang w:eastAsia="ru-RU"/>
        </w:rPr>
        <w:t xml:space="preserve"> МПК. Считается, что это связано с низким пиком костной массы в таких семьях. Семейный анамнез включает в себя не только диагноз ОП, но и наличие кифоза и перелома при минимальной травме у родственников (матери, отца и сестер</w:t>
      </w:r>
      <w:r w:rsidR="00F94DB5" w:rsidRPr="009114DF">
        <w:rPr>
          <w:rFonts w:ascii="Times New Roman" w:eastAsia="Times New Roman" w:hAnsi="Times New Roman"/>
          <w:sz w:val="28"/>
          <w:szCs w:val="28"/>
          <w:lang w:eastAsia="ru-RU"/>
        </w:rPr>
        <w:t xml:space="preserve"> в возрасте после 45–50 лет) [36</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1069"/>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 xml:space="preserve">Гинекологический анамнез </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К немодифицируемым </w:t>
      </w:r>
      <w:proofErr w:type="gramStart"/>
      <w:r w:rsidRPr="009114DF">
        <w:rPr>
          <w:rFonts w:ascii="Times New Roman" w:eastAsia="Times New Roman" w:hAnsi="Times New Roman"/>
          <w:sz w:val="28"/>
          <w:szCs w:val="28"/>
          <w:lang w:eastAsia="ru-RU"/>
        </w:rPr>
        <w:t>ФР</w:t>
      </w:r>
      <w:proofErr w:type="gramEnd"/>
      <w:r w:rsidRPr="009114DF">
        <w:rPr>
          <w:rFonts w:ascii="Times New Roman" w:eastAsia="Times New Roman" w:hAnsi="Times New Roman"/>
          <w:sz w:val="28"/>
          <w:szCs w:val="28"/>
          <w:lang w:eastAsia="ru-RU"/>
        </w:rPr>
        <w:t xml:space="preserve"> относится дефицит половых гормонов (уровень доказательности А). У женщин наиболее значимым фактором является ранняя менопауза (до 45 лет) [</w:t>
      </w:r>
      <w:r w:rsidR="00F94DB5" w:rsidRPr="009114DF">
        <w:rPr>
          <w:rFonts w:ascii="Times New Roman" w:eastAsia="Times New Roman" w:hAnsi="Times New Roman"/>
          <w:sz w:val="28"/>
          <w:szCs w:val="28"/>
          <w:lang w:eastAsia="ru-RU"/>
        </w:rPr>
        <w:t>36</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Функционирование костной ткани в большей степени зависит от гормонального состояния. Отмечено, что изменения гормонального статуса в пубертатном и постменопаузальном периоде оказывают значимое влияние на органы и ткани всего организма, в том числе и на костную ткань. В ходе исследований показано, что потеря костной ткани в постменопаузальном периоде  расцениваетс</w:t>
      </w:r>
      <w:r w:rsidR="007308E8" w:rsidRPr="009114DF">
        <w:rPr>
          <w:rFonts w:ascii="Times New Roman" w:eastAsia="Times New Roman" w:hAnsi="Times New Roman"/>
          <w:sz w:val="28"/>
          <w:szCs w:val="28"/>
          <w:lang w:eastAsia="ru-RU"/>
        </w:rPr>
        <w:t xml:space="preserve">я как один из основных </w:t>
      </w:r>
      <w:proofErr w:type="gramStart"/>
      <w:r w:rsidR="007308E8" w:rsidRPr="009114DF">
        <w:rPr>
          <w:rFonts w:ascii="Times New Roman" w:eastAsia="Times New Roman" w:hAnsi="Times New Roman"/>
          <w:sz w:val="28"/>
          <w:szCs w:val="28"/>
          <w:lang w:eastAsia="ru-RU"/>
        </w:rPr>
        <w:t>ФР</w:t>
      </w:r>
      <w:proofErr w:type="gramEnd"/>
      <w:r w:rsidR="007308E8" w:rsidRPr="009114DF">
        <w:rPr>
          <w:rFonts w:ascii="Times New Roman" w:eastAsia="Times New Roman" w:hAnsi="Times New Roman"/>
          <w:sz w:val="28"/>
          <w:szCs w:val="28"/>
          <w:lang w:eastAsia="ru-RU"/>
        </w:rPr>
        <w:t xml:space="preserve"> ОП [44</w:t>
      </w:r>
      <w:r w:rsidRPr="009114DF">
        <w:rPr>
          <w:rFonts w:ascii="Times New Roman" w:eastAsia="Times New Roman" w:hAnsi="Times New Roman"/>
          <w:sz w:val="28"/>
          <w:szCs w:val="28"/>
          <w:lang w:eastAsia="ru-RU"/>
        </w:rPr>
        <w:t xml:space="preserve">, </w:t>
      </w:r>
      <w:r w:rsidR="00957C16" w:rsidRPr="009114DF">
        <w:rPr>
          <w:rFonts w:ascii="Times New Roman" w:eastAsia="Times New Roman" w:hAnsi="Times New Roman"/>
          <w:sz w:val="28"/>
          <w:szCs w:val="28"/>
          <w:lang w:eastAsia="ru-RU"/>
        </w:rPr>
        <w:t>168</w:t>
      </w:r>
      <w:r w:rsidRPr="009114DF">
        <w:rPr>
          <w:rFonts w:ascii="Times New Roman" w:eastAsia="Times New Roman" w:hAnsi="Times New Roman"/>
          <w:sz w:val="28"/>
          <w:szCs w:val="28"/>
          <w:lang w:eastAsia="ru-RU"/>
        </w:rPr>
        <w:t>].</w:t>
      </w:r>
    </w:p>
    <w:p w:rsidR="00D15389" w:rsidRPr="009114DF" w:rsidRDefault="00D15389" w:rsidP="00D15389">
      <w:pPr>
        <w:spacing w:after="0" w:line="360" w:lineRule="auto"/>
        <w:ind w:left="1069"/>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Потребление молочных продуктов</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pacing w:val="-4"/>
          <w:sz w:val="28"/>
          <w:szCs w:val="28"/>
          <w:lang w:eastAsia="ru-RU"/>
        </w:rPr>
        <w:t>Доказано, что одним из ведущих критических звеньев патогенеза ОП является недостаточное поступление кальция с пищей, что увеличивает риск переломов костей (уровень доказательности А) [</w:t>
      </w:r>
      <w:r w:rsidR="00F94DB5" w:rsidRPr="009114DF">
        <w:rPr>
          <w:rFonts w:ascii="Times New Roman" w:eastAsia="Times New Roman" w:hAnsi="Times New Roman"/>
          <w:sz w:val="28"/>
          <w:szCs w:val="28"/>
          <w:lang w:eastAsia="ru-RU"/>
        </w:rPr>
        <w:t>36</w:t>
      </w:r>
      <w:r w:rsidRPr="009114DF">
        <w:rPr>
          <w:rFonts w:ascii="Times New Roman" w:eastAsia="Times New Roman" w:hAnsi="Times New Roman"/>
          <w:spacing w:val="-4"/>
          <w:sz w:val="28"/>
          <w:szCs w:val="28"/>
          <w:lang w:eastAsia="ru-RU"/>
        </w:rPr>
        <w:t>]. Исследования взаимосвязи потребления кальция и состояния костной ткани показали, что кальций замедляет возрастзависимую потерю костной ткани (уровень доказательности В) и может снижать риск переломов костей (уровень доказательности С). По данным Национального института здравоохранения США, оптимальное потребление ионизированного кальция составляет 1000 мг</w:t>
      </w:r>
      <w:r w:rsidRPr="009114DF">
        <w:rPr>
          <w:rFonts w:ascii="Times New Roman" w:eastAsia="Times New Roman" w:hAnsi="Times New Roman"/>
          <w:sz w:val="28"/>
          <w:szCs w:val="28"/>
          <w:lang w:eastAsia="ru-RU"/>
        </w:rPr>
        <w:t xml:space="preserve"> в сутки для женщин в постменопаузе, находящихся на заместительной гормональной терапии, и 1500 мг в сутки для женщин без заместительной гормональной терапии [</w:t>
      </w:r>
      <w:r w:rsidR="00266791" w:rsidRPr="009114DF">
        <w:rPr>
          <w:rFonts w:ascii="Times New Roman" w:eastAsia="Times New Roman" w:hAnsi="Times New Roman"/>
          <w:sz w:val="28"/>
          <w:szCs w:val="28"/>
          <w:lang w:eastAsia="ru-RU"/>
        </w:rPr>
        <w:t>135</w:t>
      </w:r>
      <w:r w:rsidRPr="009114DF">
        <w:rPr>
          <w:rFonts w:ascii="Times New Roman" w:eastAsia="Times New Roman" w:hAnsi="Times New Roman"/>
          <w:sz w:val="28"/>
          <w:szCs w:val="28"/>
          <w:lang w:eastAsia="ru-RU"/>
        </w:rPr>
        <w:t>]. По мнению большинства авторов, оптимальное потребление кальция достоверно снижает скорость потери костной массы у л</w:t>
      </w:r>
      <w:r w:rsidR="00F94DB5" w:rsidRPr="009114DF">
        <w:rPr>
          <w:rFonts w:ascii="Times New Roman" w:eastAsia="Times New Roman" w:hAnsi="Times New Roman"/>
          <w:sz w:val="28"/>
          <w:szCs w:val="28"/>
          <w:lang w:eastAsia="ru-RU"/>
        </w:rPr>
        <w:t>иц старшей возрастной группы [37</w:t>
      </w:r>
      <w:r w:rsidRPr="009114DF">
        <w:rPr>
          <w:rFonts w:ascii="Times New Roman" w:eastAsia="Times New Roman" w:hAnsi="Times New Roman"/>
          <w:sz w:val="28"/>
          <w:szCs w:val="28"/>
          <w:lang w:eastAsia="ru-RU"/>
        </w:rPr>
        <w:t xml:space="preserve">, </w:t>
      </w:r>
      <w:r w:rsidR="00266791" w:rsidRPr="009114DF">
        <w:rPr>
          <w:rFonts w:ascii="Times New Roman" w:eastAsia="Times New Roman" w:hAnsi="Times New Roman"/>
          <w:sz w:val="28"/>
          <w:szCs w:val="28"/>
          <w:lang w:eastAsia="ru-RU"/>
        </w:rPr>
        <w:t>135</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lastRenderedPageBreak/>
        <w:t xml:space="preserve">Большое значение при изучении факторов ОП уделяют употреблению молочных продуктов, так как они являются одним из основных источников «пищевого кальция» [62, </w:t>
      </w:r>
      <w:r w:rsidR="00BD6504" w:rsidRPr="009114DF">
        <w:rPr>
          <w:rFonts w:ascii="Times New Roman" w:eastAsia="Times New Roman" w:hAnsi="Times New Roman"/>
          <w:sz w:val="28"/>
          <w:szCs w:val="28"/>
          <w:lang w:eastAsia="ru-RU"/>
        </w:rPr>
        <w:t>156</w:t>
      </w:r>
      <w:r w:rsidRPr="009114DF">
        <w:rPr>
          <w:rFonts w:ascii="Times New Roman" w:eastAsia="Times New Roman" w:hAnsi="Times New Roman"/>
          <w:sz w:val="28"/>
          <w:szCs w:val="28"/>
          <w:lang w:eastAsia="ru-RU"/>
        </w:rPr>
        <w:t>]. В ряде работ отмечено влияние молока на процессы развития костной системы у детей. Вероятность достижения пиковой костной массы у людей, потребляющих большое количество молочных продуктов в детском возрасте, значительно выше. Отмечено, что положительное влияние молочных продуктов на МПК у женщин сохраняется вплоть до менопаузального периода [</w:t>
      </w:r>
      <w:r w:rsidR="00266791" w:rsidRPr="009114DF">
        <w:rPr>
          <w:rFonts w:ascii="Times New Roman" w:eastAsia="Times New Roman" w:hAnsi="Times New Roman"/>
          <w:sz w:val="28"/>
          <w:szCs w:val="28"/>
          <w:lang w:eastAsia="ru-RU"/>
        </w:rPr>
        <w:t>136</w:t>
      </w:r>
      <w:r w:rsidRPr="009114DF">
        <w:rPr>
          <w:rFonts w:ascii="Times New Roman" w:eastAsia="Times New Roman" w:hAnsi="Times New Roman"/>
          <w:sz w:val="28"/>
          <w:szCs w:val="28"/>
          <w:lang w:eastAsia="ru-RU"/>
        </w:rPr>
        <w:t>]. Однако существуют работы, в которых не доказано значимое влияние потребления «пищевого» кальция, включа</w:t>
      </w:r>
      <w:r w:rsidR="00041E69" w:rsidRPr="009114DF">
        <w:rPr>
          <w:rFonts w:ascii="Times New Roman" w:eastAsia="Times New Roman" w:hAnsi="Times New Roman"/>
          <w:sz w:val="28"/>
          <w:szCs w:val="28"/>
          <w:lang w:eastAsia="ru-RU"/>
        </w:rPr>
        <w:t>я молочные продукты, на МПК [93</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1069"/>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 xml:space="preserve">Дефицит витамина </w:t>
      </w:r>
      <w:r w:rsidRPr="009114DF">
        <w:rPr>
          <w:rFonts w:ascii="Times New Roman" w:eastAsia="Times New Roman" w:hAnsi="Times New Roman"/>
          <w:sz w:val="28"/>
          <w:szCs w:val="28"/>
          <w:lang w:val="en-US" w:eastAsia="ru-RU"/>
        </w:rPr>
        <w:t>D</w:t>
      </w:r>
    </w:p>
    <w:p w:rsidR="00D15389" w:rsidRPr="009114DF" w:rsidRDefault="00D15389" w:rsidP="00D15389">
      <w:pPr>
        <w:spacing w:after="0" w:line="360" w:lineRule="auto"/>
        <w:ind w:left="-57" w:firstLine="720"/>
        <w:jc w:val="both"/>
        <w:rPr>
          <w:rFonts w:ascii="Times New Roman" w:eastAsia="Times New Roman" w:hAnsi="Times New Roman"/>
          <w:b/>
          <w:spacing w:val="-4"/>
          <w:sz w:val="28"/>
          <w:szCs w:val="28"/>
          <w:lang w:eastAsia="ru-RU"/>
        </w:rPr>
      </w:pPr>
      <w:r w:rsidRPr="009114DF">
        <w:rPr>
          <w:rFonts w:ascii="Times New Roman" w:eastAsia="Times New Roman" w:hAnsi="Times New Roman"/>
          <w:sz w:val="28"/>
          <w:szCs w:val="28"/>
          <w:lang w:eastAsia="ru-RU"/>
        </w:rPr>
        <w:t xml:space="preserve">Дефицит витамина </w:t>
      </w:r>
      <w:r w:rsidRPr="009114DF">
        <w:rPr>
          <w:rFonts w:ascii="Times New Roman" w:eastAsia="Times New Roman" w:hAnsi="Times New Roman"/>
          <w:sz w:val="28"/>
          <w:szCs w:val="28"/>
          <w:lang w:val="en-US" w:eastAsia="ru-RU"/>
        </w:rPr>
        <w:t>D</w:t>
      </w:r>
      <w:r w:rsidRPr="009114DF">
        <w:rPr>
          <w:rFonts w:ascii="Times New Roman" w:eastAsia="Times New Roman" w:hAnsi="Times New Roman"/>
          <w:sz w:val="28"/>
          <w:szCs w:val="28"/>
          <w:lang w:eastAsia="ru-RU"/>
        </w:rPr>
        <w:t xml:space="preserve"> является распространенным модифицируемым фактором риска ОП (уровень доказательности А) [</w:t>
      </w:r>
      <w:r w:rsidR="00F94DB5" w:rsidRPr="009114DF">
        <w:rPr>
          <w:rFonts w:ascii="Times New Roman" w:eastAsia="Times New Roman" w:hAnsi="Times New Roman"/>
          <w:sz w:val="28"/>
          <w:szCs w:val="28"/>
          <w:lang w:eastAsia="ru-RU"/>
        </w:rPr>
        <w:t>36</w:t>
      </w:r>
      <w:r w:rsidRPr="009114DF">
        <w:rPr>
          <w:rFonts w:ascii="Times New Roman" w:eastAsia="Times New Roman" w:hAnsi="Times New Roman"/>
          <w:sz w:val="28"/>
          <w:szCs w:val="28"/>
          <w:lang w:eastAsia="ru-RU"/>
        </w:rPr>
        <w:t xml:space="preserve">]. Витамин </w:t>
      </w:r>
      <w:r w:rsidRPr="009114DF">
        <w:rPr>
          <w:rFonts w:ascii="Times New Roman" w:eastAsia="Times New Roman" w:hAnsi="Times New Roman"/>
          <w:sz w:val="28"/>
          <w:szCs w:val="28"/>
          <w:lang w:val="en-US" w:eastAsia="ru-RU"/>
        </w:rPr>
        <w:t>D</w:t>
      </w:r>
      <w:r w:rsidRPr="009114DF">
        <w:rPr>
          <w:rFonts w:ascii="Times New Roman" w:eastAsia="Times New Roman" w:hAnsi="Times New Roman"/>
          <w:sz w:val="28"/>
          <w:szCs w:val="28"/>
          <w:lang w:eastAsia="ru-RU"/>
        </w:rPr>
        <w:t xml:space="preserve"> необходим для обеспечения абсорбции кальция и обменных процессов в костной ткани. </w:t>
      </w:r>
      <w:r w:rsidRPr="009114DF">
        <w:rPr>
          <w:rFonts w:ascii="Times New Roman" w:eastAsia="Times New Roman" w:hAnsi="Times New Roman"/>
          <w:spacing w:val="-4"/>
          <w:sz w:val="28"/>
          <w:szCs w:val="28"/>
          <w:lang w:eastAsia="ru-RU"/>
        </w:rPr>
        <w:t xml:space="preserve">Недостаточность витамина </w:t>
      </w:r>
      <w:r w:rsidRPr="009114DF">
        <w:rPr>
          <w:rFonts w:ascii="Times New Roman" w:eastAsia="Times New Roman" w:hAnsi="Times New Roman"/>
          <w:spacing w:val="-4"/>
          <w:sz w:val="28"/>
          <w:szCs w:val="28"/>
          <w:lang w:val="en-US" w:eastAsia="ru-RU"/>
        </w:rPr>
        <w:t>D</w:t>
      </w:r>
      <w:r w:rsidRPr="009114DF">
        <w:rPr>
          <w:rFonts w:ascii="Times New Roman" w:eastAsia="Times New Roman" w:hAnsi="Times New Roman"/>
          <w:spacing w:val="-4"/>
          <w:sz w:val="28"/>
          <w:szCs w:val="28"/>
          <w:lang w:eastAsia="ru-RU"/>
        </w:rPr>
        <w:t xml:space="preserve"> обусловливает вторичное повышение уровня кальцийтропного регулятора – паратгормона, который способствует выведению кальция из костей, снижая тем </w:t>
      </w:r>
      <w:r w:rsidR="00041E69" w:rsidRPr="009114DF">
        <w:rPr>
          <w:rFonts w:ascii="Times New Roman" w:eastAsia="Times New Roman" w:hAnsi="Times New Roman"/>
          <w:spacing w:val="-4"/>
          <w:sz w:val="28"/>
          <w:szCs w:val="28"/>
          <w:lang w:eastAsia="ru-RU"/>
        </w:rPr>
        <w:t>самым минеральную плотность [94</w:t>
      </w:r>
      <w:r w:rsidRPr="009114DF">
        <w:rPr>
          <w:rFonts w:ascii="Times New Roman" w:eastAsia="Times New Roman" w:hAnsi="Times New Roman"/>
          <w:spacing w:val="-4"/>
          <w:sz w:val="28"/>
          <w:szCs w:val="28"/>
          <w:lang w:eastAsia="ru-RU"/>
        </w:rPr>
        <w:t xml:space="preserve">, </w:t>
      </w:r>
      <w:r w:rsidR="0004338D" w:rsidRPr="009114DF">
        <w:rPr>
          <w:rFonts w:ascii="Times New Roman" w:eastAsia="Times New Roman" w:hAnsi="Times New Roman"/>
          <w:spacing w:val="-4"/>
          <w:sz w:val="28"/>
          <w:szCs w:val="28"/>
          <w:lang w:eastAsia="ru-RU"/>
        </w:rPr>
        <w:t>182</w:t>
      </w:r>
      <w:r w:rsidRPr="009114DF">
        <w:rPr>
          <w:rFonts w:ascii="Times New Roman" w:eastAsia="Times New Roman" w:hAnsi="Times New Roman"/>
          <w:spacing w:val="-4"/>
          <w:sz w:val="28"/>
          <w:szCs w:val="28"/>
          <w:lang w:eastAsia="ru-RU"/>
        </w:rPr>
        <w:t xml:space="preserve">]. </w:t>
      </w:r>
    </w:p>
    <w:p w:rsidR="00D15389" w:rsidRPr="009114DF" w:rsidRDefault="00D15389" w:rsidP="00D15389">
      <w:pPr>
        <w:spacing w:after="0" w:line="360" w:lineRule="auto"/>
        <w:ind w:left="1069"/>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Физическая активность</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Факторами риска развития ОП являются снижение физической активности и длительная иммобилизация (уровень доказательности В) [</w:t>
      </w:r>
      <w:r w:rsidR="00F94DB5" w:rsidRPr="009114DF">
        <w:rPr>
          <w:rFonts w:ascii="Times New Roman" w:eastAsia="Times New Roman" w:hAnsi="Times New Roman"/>
          <w:sz w:val="28"/>
          <w:szCs w:val="28"/>
          <w:lang w:eastAsia="ru-RU"/>
        </w:rPr>
        <w:t>36</w:t>
      </w:r>
      <w:r w:rsidRPr="009114DF">
        <w:rPr>
          <w:rFonts w:ascii="Times New Roman" w:eastAsia="Times New Roman" w:hAnsi="Times New Roman"/>
          <w:sz w:val="28"/>
          <w:szCs w:val="28"/>
          <w:lang w:eastAsia="ru-RU"/>
        </w:rPr>
        <w:t>]. Существует положительная корреляционная связь между адекватной физической нагрузкой в юношеском возрасте, достижением оптимального уровня пика костной массы и целевыми параметрами МПК [</w:t>
      </w:r>
      <w:r w:rsidR="00266791" w:rsidRPr="009114DF">
        <w:rPr>
          <w:rFonts w:ascii="Times New Roman" w:eastAsia="Times New Roman" w:hAnsi="Times New Roman"/>
          <w:sz w:val="28"/>
          <w:szCs w:val="28"/>
          <w:lang w:eastAsia="ru-RU"/>
        </w:rPr>
        <w:t>135</w:t>
      </w:r>
      <w:r w:rsidRPr="009114DF">
        <w:rPr>
          <w:rFonts w:ascii="Times New Roman" w:eastAsia="Times New Roman" w:hAnsi="Times New Roman"/>
          <w:sz w:val="28"/>
          <w:szCs w:val="28"/>
          <w:lang w:eastAsia="ru-RU"/>
        </w:rPr>
        <w:t xml:space="preserve">]. Физическая нагрузка (ФН) приводит к увеличению толщины кортикального слоя и изменяет диаметр диафизов длинных костей конечностей. Отмечено, что ходьба три раза в неделю на расстояние </w:t>
      </w:r>
      <w:smartTag w:uri="urn:schemas-microsoft-com:office:smarttags" w:element="metricconverter">
        <w:smartTagPr>
          <w:attr w:name="ProductID" w:val="1,5 км"/>
        </w:smartTagPr>
        <w:r w:rsidRPr="009114DF">
          <w:rPr>
            <w:rFonts w:ascii="Times New Roman" w:eastAsia="Times New Roman" w:hAnsi="Times New Roman"/>
            <w:sz w:val="28"/>
            <w:szCs w:val="28"/>
            <w:lang w:eastAsia="ru-RU"/>
          </w:rPr>
          <w:t>1,5 км</w:t>
        </w:r>
      </w:smartTag>
      <w:r w:rsidRPr="009114DF">
        <w:rPr>
          <w:rFonts w:ascii="Times New Roman" w:eastAsia="Times New Roman" w:hAnsi="Times New Roman"/>
          <w:sz w:val="28"/>
          <w:szCs w:val="28"/>
          <w:lang w:eastAsia="ru-RU"/>
        </w:rPr>
        <w:t xml:space="preserve"> может выполнять протективную функцию [</w:t>
      </w:r>
      <w:r w:rsidR="00266791" w:rsidRPr="009114DF">
        <w:rPr>
          <w:rFonts w:ascii="Times New Roman" w:eastAsia="Times New Roman" w:hAnsi="Times New Roman"/>
          <w:sz w:val="28"/>
          <w:szCs w:val="28"/>
          <w:lang w:val="en-US" w:eastAsia="ru-RU"/>
        </w:rPr>
        <w:t>140</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1069"/>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Иммобилизация</w:t>
      </w:r>
    </w:p>
    <w:p w:rsidR="00D15389" w:rsidRPr="009114DF" w:rsidRDefault="00D15389" w:rsidP="00D15389">
      <w:pPr>
        <w:spacing w:after="0" w:line="360" w:lineRule="auto"/>
        <w:ind w:firstLine="663"/>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Длительная иммобилизация является значимым фактором риска как ОП, так и переломов костей (уровень доказательности </w:t>
      </w:r>
      <w:r w:rsidRPr="009114DF">
        <w:rPr>
          <w:rFonts w:ascii="Times New Roman" w:eastAsia="Times New Roman" w:hAnsi="Times New Roman"/>
          <w:sz w:val="28"/>
          <w:szCs w:val="28"/>
          <w:lang w:val="en-US" w:eastAsia="ru-RU"/>
        </w:rPr>
        <w:t>D</w:t>
      </w:r>
      <w:r w:rsidRPr="009114DF">
        <w:rPr>
          <w:rFonts w:ascii="Times New Roman" w:eastAsia="Times New Roman" w:hAnsi="Times New Roman"/>
          <w:sz w:val="28"/>
          <w:szCs w:val="28"/>
          <w:lang w:eastAsia="ru-RU"/>
        </w:rPr>
        <w:t xml:space="preserve">) у больных, более двух месяцев </w:t>
      </w:r>
      <w:r w:rsidRPr="009114DF">
        <w:rPr>
          <w:rFonts w:ascii="Times New Roman" w:eastAsia="Times New Roman" w:hAnsi="Times New Roman"/>
          <w:sz w:val="28"/>
          <w:szCs w:val="28"/>
          <w:lang w:eastAsia="ru-RU"/>
        </w:rPr>
        <w:lastRenderedPageBreak/>
        <w:t>прикованных к постели, или у лиц, находящихся по роду своей профессии в условиях невесомости, так как потеря костной массы в этих случаях составляет 0,35–0,4% ежемесячно [</w:t>
      </w:r>
      <w:r w:rsidR="00266791" w:rsidRPr="009114DF">
        <w:rPr>
          <w:rFonts w:ascii="Times New Roman" w:eastAsia="Times New Roman" w:hAnsi="Times New Roman"/>
          <w:sz w:val="28"/>
          <w:szCs w:val="28"/>
          <w:lang w:eastAsia="ru-RU"/>
        </w:rPr>
        <w:t>135</w:t>
      </w:r>
      <w:r w:rsidRPr="009114DF">
        <w:rPr>
          <w:rFonts w:ascii="Times New Roman" w:eastAsia="Times New Roman" w:hAnsi="Times New Roman"/>
          <w:sz w:val="28"/>
          <w:szCs w:val="28"/>
          <w:lang w:eastAsia="ru-RU"/>
        </w:rPr>
        <w:t xml:space="preserve">]. Иммобилизация при РА также сопровождается повышением риска переломов. Риск их развития, по данным </w:t>
      </w:r>
      <w:r w:rsidRPr="009114DF">
        <w:rPr>
          <w:rFonts w:ascii="Times New Roman" w:eastAsia="Times New Roman" w:hAnsi="Times New Roman"/>
          <w:sz w:val="28"/>
          <w:szCs w:val="28"/>
          <w:lang w:val="en-US" w:eastAsia="ru-RU"/>
        </w:rPr>
        <w:t>N</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F</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Laan</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et</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al</w:t>
      </w:r>
      <w:r w:rsidRPr="009114DF">
        <w:rPr>
          <w:rFonts w:ascii="Times New Roman" w:eastAsia="Times New Roman" w:hAnsi="Times New Roman"/>
          <w:sz w:val="28"/>
          <w:szCs w:val="28"/>
          <w:lang w:eastAsia="ru-RU"/>
        </w:rPr>
        <w:t>., составляет 1</w:t>
      </w:r>
      <w:proofErr w:type="gramStart"/>
      <w:r w:rsidRPr="009114DF">
        <w:rPr>
          <w:rFonts w:ascii="Times New Roman" w:eastAsia="Times New Roman" w:hAnsi="Times New Roman"/>
          <w:sz w:val="28"/>
          <w:szCs w:val="28"/>
          <w:lang w:eastAsia="ru-RU"/>
        </w:rPr>
        <w:t>,2</w:t>
      </w:r>
      <w:proofErr w:type="gramEnd"/>
      <w:r w:rsidRPr="009114DF">
        <w:rPr>
          <w:rFonts w:ascii="Times New Roman" w:eastAsia="Times New Roman" w:hAnsi="Times New Roman"/>
          <w:sz w:val="28"/>
          <w:szCs w:val="28"/>
          <w:lang w:eastAsia="ru-RU"/>
        </w:rPr>
        <w:t>–2,5% [</w:t>
      </w:r>
      <w:r w:rsidR="00266791" w:rsidRPr="009114DF">
        <w:rPr>
          <w:rFonts w:ascii="Times New Roman" w:eastAsia="Times New Roman" w:hAnsi="Times New Roman"/>
          <w:sz w:val="28"/>
          <w:szCs w:val="28"/>
          <w:lang w:eastAsia="ru-RU"/>
        </w:rPr>
        <w:t>147</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993"/>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 xml:space="preserve">Курение </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Курение в больших дозах является достоверным независимым фактором риска ОП как у мужчин, так и у женщин. </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МПК у курильщиков в 1,5–2 раза ниже, чем </w:t>
      </w:r>
      <w:proofErr w:type="gramStart"/>
      <w:r w:rsidRPr="009114DF">
        <w:rPr>
          <w:rFonts w:ascii="Times New Roman" w:eastAsia="Times New Roman" w:hAnsi="Times New Roman"/>
          <w:sz w:val="28"/>
          <w:szCs w:val="28"/>
          <w:lang w:eastAsia="ru-RU"/>
        </w:rPr>
        <w:t>у</w:t>
      </w:r>
      <w:proofErr w:type="gramEnd"/>
      <w:r w:rsidRPr="009114DF">
        <w:rPr>
          <w:rFonts w:ascii="Times New Roman" w:eastAsia="Times New Roman" w:hAnsi="Times New Roman"/>
          <w:sz w:val="28"/>
          <w:szCs w:val="28"/>
          <w:lang w:eastAsia="ru-RU"/>
        </w:rPr>
        <w:t xml:space="preserve"> некурящих. Негативное влияние курения связано со снижением массы тела, уменьшением абсорбции кальция и уровня эстрадиола, а также прямым токсическим действием на костную ткань, и зависит от длительности и интенсивности курения [</w:t>
      </w:r>
      <w:r w:rsidR="00F94DB5" w:rsidRPr="009114DF">
        <w:rPr>
          <w:rFonts w:ascii="Times New Roman" w:eastAsia="Times New Roman" w:hAnsi="Times New Roman"/>
          <w:sz w:val="28"/>
          <w:szCs w:val="28"/>
          <w:lang w:eastAsia="ru-RU"/>
        </w:rPr>
        <w:t>36</w:t>
      </w:r>
      <w:r w:rsidRPr="009114DF">
        <w:rPr>
          <w:rFonts w:ascii="Times New Roman" w:eastAsia="Times New Roman" w:hAnsi="Times New Roman"/>
          <w:sz w:val="28"/>
          <w:szCs w:val="28"/>
          <w:lang w:eastAsia="ru-RU"/>
        </w:rPr>
        <w:t xml:space="preserve">, </w:t>
      </w:r>
      <w:r w:rsidR="00266791" w:rsidRPr="009114DF">
        <w:rPr>
          <w:rFonts w:ascii="Times New Roman" w:eastAsia="Times New Roman" w:hAnsi="Times New Roman"/>
          <w:sz w:val="28"/>
          <w:szCs w:val="28"/>
          <w:lang w:eastAsia="ru-RU"/>
        </w:rPr>
        <w:t>135</w:t>
      </w:r>
      <w:r w:rsidRPr="009114DF">
        <w:rPr>
          <w:rFonts w:ascii="Times New Roman" w:eastAsia="Times New Roman" w:hAnsi="Times New Roman"/>
          <w:sz w:val="28"/>
          <w:szCs w:val="28"/>
          <w:lang w:eastAsia="ru-RU"/>
        </w:rPr>
        <w:t>]. Отмечено, что после прекращения курения риск переломов снижается, но для этого необходим продолжительный период. По некоторым данным, после прекращения курения риск переломов снижается у мужчин спустя 5 лет,</w:t>
      </w:r>
      <w:r w:rsidRPr="009114DF">
        <w:rPr>
          <w:rFonts w:ascii="Times New Roman" w:eastAsia="Times New Roman" w:hAnsi="Times New Roman"/>
          <w:sz w:val="28"/>
          <w:szCs w:val="28"/>
          <w:lang w:eastAsia="ru-RU"/>
        </w:rPr>
        <w:br/>
        <w:t>у женщин – через 10 лет [</w:t>
      </w:r>
      <w:r w:rsidR="00266791" w:rsidRPr="009114DF">
        <w:rPr>
          <w:rFonts w:ascii="Times New Roman" w:eastAsia="Times New Roman" w:hAnsi="Times New Roman"/>
          <w:sz w:val="28"/>
          <w:szCs w:val="28"/>
          <w:lang w:eastAsia="ru-RU"/>
        </w:rPr>
        <w:t>135</w:t>
      </w:r>
      <w:r w:rsidRPr="009114DF">
        <w:rPr>
          <w:rFonts w:ascii="Times New Roman" w:eastAsia="Times New Roman" w:hAnsi="Times New Roman"/>
          <w:sz w:val="28"/>
          <w:szCs w:val="28"/>
          <w:lang w:eastAsia="ru-RU"/>
        </w:rPr>
        <w:t>].</w:t>
      </w:r>
    </w:p>
    <w:p w:rsidR="00D15389" w:rsidRPr="009114DF" w:rsidRDefault="00D15389" w:rsidP="00D15389">
      <w:pPr>
        <w:spacing w:after="0" w:line="360" w:lineRule="auto"/>
        <w:ind w:left="993"/>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 xml:space="preserve">Злоупотребление алкоголем </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Алкоголь в умеренных дозах оказывает «протективное» действие на костный метаболизм, но его избыточное употребление приводит к потере костной массы. Потребление алкоголя более 36 мл в пересчете на чистый этанол считается </w:t>
      </w:r>
      <w:proofErr w:type="gramStart"/>
      <w:r w:rsidRPr="009114DF">
        <w:rPr>
          <w:rFonts w:ascii="Times New Roman" w:eastAsia="Times New Roman" w:hAnsi="Times New Roman"/>
          <w:sz w:val="28"/>
          <w:szCs w:val="28"/>
          <w:lang w:eastAsia="ru-RU"/>
        </w:rPr>
        <w:t>ФР</w:t>
      </w:r>
      <w:proofErr w:type="gramEnd"/>
      <w:r w:rsidRPr="009114DF">
        <w:rPr>
          <w:rFonts w:ascii="Times New Roman" w:eastAsia="Times New Roman" w:hAnsi="Times New Roman"/>
          <w:sz w:val="28"/>
          <w:szCs w:val="28"/>
          <w:lang w:eastAsia="ru-RU"/>
        </w:rPr>
        <w:t xml:space="preserve"> развития переломов [</w:t>
      </w:r>
      <w:r w:rsidR="00F94DB5" w:rsidRPr="009114DF">
        <w:rPr>
          <w:rFonts w:ascii="Times New Roman" w:eastAsia="Times New Roman" w:hAnsi="Times New Roman"/>
          <w:sz w:val="28"/>
          <w:szCs w:val="28"/>
          <w:lang w:eastAsia="ru-RU"/>
        </w:rPr>
        <w:t>36</w:t>
      </w:r>
      <w:r w:rsidRPr="009114DF">
        <w:rPr>
          <w:rFonts w:ascii="Times New Roman" w:eastAsia="Times New Roman" w:hAnsi="Times New Roman"/>
          <w:sz w:val="28"/>
          <w:szCs w:val="28"/>
          <w:lang w:eastAsia="ru-RU"/>
        </w:rPr>
        <w:t xml:space="preserve">]. Предполагается, что влияние алкоголя на остеогенез связано с его прямым антипролиферативным эффектом на остеобласты. Имеются данные об изменении уровней паратиреодного гормона, кальцитонина и витамина </w:t>
      </w:r>
      <w:r w:rsidRPr="009114DF">
        <w:rPr>
          <w:rFonts w:ascii="Times New Roman" w:eastAsia="Times New Roman" w:hAnsi="Times New Roman"/>
          <w:sz w:val="28"/>
          <w:szCs w:val="28"/>
          <w:lang w:val="en-US" w:eastAsia="ru-RU"/>
        </w:rPr>
        <w:t>D</w:t>
      </w:r>
      <w:r w:rsidRPr="009114DF">
        <w:rPr>
          <w:rFonts w:ascii="Times New Roman" w:eastAsia="Times New Roman" w:hAnsi="Times New Roman"/>
          <w:sz w:val="28"/>
          <w:szCs w:val="28"/>
          <w:lang w:eastAsia="ru-RU"/>
        </w:rPr>
        <w:t xml:space="preserve"> на фоне приема различных доз алкоголя, нарушении абсорбции кальция и витамина </w:t>
      </w:r>
      <w:r w:rsidRPr="009114DF">
        <w:rPr>
          <w:rFonts w:ascii="Times New Roman" w:eastAsia="Times New Roman" w:hAnsi="Times New Roman"/>
          <w:sz w:val="28"/>
          <w:szCs w:val="28"/>
          <w:lang w:val="en-US" w:eastAsia="ru-RU"/>
        </w:rPr>
        <w:t>D</w:t>
      </w:r>
      <w:r w:rsidRPr="009114DF">
        <w:rPr>
          <w:rFonts w:ascii="Times New Roman" w:eastAsia="Times New Roman" w:hAnsi="Times New Roman"/>
          <w:sz w:val="28"/>
          <w:szCs w:val="28"/>
          <w:lang w:eastAsia="ru-RU"/>
        </w:rPr>
        <w:t xml:space="preserve"> [</w:t>
      </w:r>
      <w:r w:rsidR="00266791" w:rsidRPr="009114DF">
        <w:rPr>
          <w:rFonts w:ascii="Times New Roman" w:eastAsia="Times New Roman" w:hAnsi="Times New Roman"/>
          <w:sz w:val="28"/>
          <w:szCs w:val="28"/>
          <w:lang w:eastAsia="ru-RU"/>
        </w:rPr>
        <w:t>135</w:t>
      </w:r>
      <w:r w:rsidRPr="009114DF">
        <w:rPr>
          <w:rFonts w:ascii="Times New Roman" w:eastAsia="Times New Roman" w:hAnsi="Times New Roman"/>
          <w:sz w:val="28"/>
          <w:szCs w:val="28"/>
          <w:lang w:eastAsia="ru-RU"/>
        </w:rPr>
        <w:t>].</w:t>
      </w:r>
    </w:p>
    <w:p w:rsidR="00D15389" w:rsidRPr="009114DF" w:rsidRDefault="00D15389" w:rsidP="00D15389">
      <w:pPr>
        <w:spacing w:after="0" w:line="360" w:lineRule="auto"/>
        <w:ind w:left="993"/>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 xml:space="preserve">Хронические заболевания </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В последние годы выполнено большое количество систематических обзоров и крупных проспективных  когортных исследований по оценке влияния различных заболеваний на риск развития остеопоротических переломов. К </w:t>
      </w:r>
      <w:proofErr w:type="gramStart"/>
      <w:r w:rsidRPr="009114DF">
        <w:rPr>
          <w:rFonts w:ascii="Times New Roman" w:eastAsia="Times New Roman" w:hAnsi="Times New Roman"/>
          <w:sz w:val="28"/>
          <w:szCs w:val="28"/>
          <w:lang w:eastAsia="ru-RU"/>
        </w:rPr>
        <w:t xml:space="preserve">заболеваниям, </w:t>
      </w:r>
      <w:r w:rsidRPr="009114DF">
        <w:rPr>
          <w:rFonts w:ascii="Times New Roman" w:eastAsia="Times New Roman" w:hAnsi="Times New Roman"/>
          <w:sz w:val="28"/>
          <w:szCs w:val="28"/>
          <w:lang w:eastAsia="ru-RU"/>
        </w:rPr>
        <w:lastRenderedPageBreak/>
        <w:t>имеющим наибольшую доказательную базу относятся</w:t>
      </w:r>
      <w:proofErr w:type="gramEnd"/>
      <w:r w:rsidRPr="009114DF">
        <w:rPr>
          <w:rFonts w:ascii="Times New Roman" w:eastAsia="Times New Roman" w:hAnsi="Times New Roman"/>
          <w:sz w:val="28"/>
          <w:szCs w:val="28"/>
          <w:lang w:eastAsia="ru-RU"/>
        </w:rPr>
        <w:t>: тиреотоксикоз, первичный гиперпаратиреоз, ревматоидный артрит, нарушение мозгового кровообращения, сахарный диабет, хроническая почечная недостаточность (ХПН), хронические заболевания печени [</w:t>
      </w:r>
      <w:r w:rsidR="00DB4CFA" w:rsidRPr="009114DF">
        <w:rPr>
          <w:rFonts w:ascii="Times New Roman" w:eastAsia="Times New Roman" w:hAnsi="Times New Roman"/>
          <w:sz w:val="28"/>
          <w:szCs w:val="28"/>
          <w:lang w:eastAsia="ru-RU"/>
        </w:rPr>
        <w:t>9</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993"/>
        <w:contextualSpacing/>
        <w:jc w:val="both"/>
        <w:rPr>
          <w:rFonts w:ascii="Times New Roman" w:eastAsia="Times New Roman" w:hAnsi="Times New Roman"/>
          <w:i/>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Прием лекарственных препаратов</w:t>
      </w:r>
      <w:r w:rsidRPr="009114DF">
        <w:rPr>
          <w:rFonts w:ascii="Times New Roman" w:eastAsia="Times New Roman" w:hAnsi="Times New Roman"/>
          <w:i/>
          <w:sz w:val="28"/>
          <w:szCs w:val="28"/>
          <w:lang w:eastAsia="ru-RU"/>
        </w:rPr>
        <w:t xml:space="preserve"> </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Прием некоторых лекарственных препаратов может приводить к развитию ОП, остеомаляции либо сочетанию этих процессов. К таким препаратам в первую очередь относят ГК, снотворные, седативные препараты, диуретики и антациды [</w:t>
      </w:r>
      <w:r w:rsidR="00F94DB5" w:rsidRPr="009114DF">
        <w:rPr>
          <w:rFonts w:ascii="Times New Roman" w:eastAsia="Times New Roman" w:hAnsi="Times New Roman"/>
          <w:sz w:val="28"/>
          <w:szCs w:val="28"/>
          <w:lang w:eastAsia="ru-RU"/>
        </w:rPr>
        <w:t>36</w:t>
      </w:r>
      <w:r w:rsidRPr="009114DF">
        <w:rPr>
          <w:rFonts w:ascii="Times New Roman" w:eastAsia="Times New Roman" w:hAnsi="Times New Roman"/>
          <w:sz w:val="28"/>
          <w:szCs w:val="28"/>
          <w:lang w:eastAsia="ru-RU"/>
        </w:rPr>
        <w:t xml:space="preserve">]. </w:t>
      </w:r>
    </w:p>
    <w:p w:rsidR="00D15389" w:rsidRPr="009114DF" w:rsidRDefault="00D15389" w:rsidP="00266791">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Системное назначение ГК на срок более трех месяцев (уровень доказательности А) – один из наиболее распространенных модифицируемых факторов риска ОП [26, </w:t>
      </w:r>
      <w:r w:rsidR="00EC4BD2" w:rsidRPr="009114DF">
        <w:rPr>
          <w:rFonts w:ascii="Times New Roman" w:eastAsia="Times New Roman" w:hAnsi="Times New Roman"/>
          <w:sz w:val="28"/>
          <w:szCs w:val="28"/>
          <w:lang w:eastAsia="ru-RU"/>
        </w:rPr>
        <w:t>205</w:t>
      </w:r>
      <w:r w:rsidRPr="009114DF">
        <w:rPr>
          <w:rFonts w:ascii="Times New Roman" w:eastAsia="Times New Roman" w:hAnsi="Times New Roman"/>
          <w:sz w:val="28"/>
          <w:szCs w:val="28"/>
          <w:lang w:eastAsia="ru-RU"/>
        </w:rPr>
        <w:t>]. По результатам  метаанализа 23 исследований, оценивающих в качестве клинических исходов переломы у больных, получивших ГК в дозе 5 мг/сутки и более, установлено, что  относительный риск переломов любой локализации был значимо выше по сравнению с лицами того же возраста и пола, не принимающих ГК. Выявлена тесная взаимосвязь между снижением МПК и повышением риска ОП при приеме ГК [</w:t>
      </w:r>
      <w:r w:rsidR="00266791" w:rsidRPr="009114DF">
        <w:rPr>
          <w:rFonts w:ascii="Times New Roman" w:eastAsia="Times New Roman" w:hAnsi="Times New Roman"/>
          <w:sz w:val="28"/>
          <w:szCs w:val="28"/>
          <w:lang w:eastAsia="ru-RU"/>
        </w:rPr>
        <w:t>139</w:t>
      </w:r>
      <w:r w:rsidRPr="009114DF">
        <w:rPr>
          <w:rFonts w:ascii="Times New Roman" w:eastAsia="Times New Roman" w:hAnsi="Times New Roman"/>
          <w:sz w:val="28"/>
          <w:szCs w:val="28"/>
          <w:lang w:eastAsia="ru-RU"/>
        </w:rPr>
        <w:t xml:space="preserve">, </w:t>
      </w:r>
      <w:r w:rsidR="00EC4BD2" w:rsidRPr="009114DF">
        <w:rPr>
          <w:rFonts w:ascii="Times New Roman" w:eastAsia="Times New Roman" w:hAnsi="Times New Roman"/>
          <w:sz w:val="28"/>
          <w:szCs w:val="28"/>
          <w:lang w:eastAsia="ru-RU"/>
        </w:rPr>
        <w:t>202</w:t>
      </w:r>
      <w:r w:rsidRPr="009114DF">
        <w:rPr>
          <w:rFonts w:ascii="Times New Roman" w:eastAsia="Times New Roman" w:hAnsi="Times New Roman"/>
          <w:sz w:val="28"/>
          <w:szCs w:val="28"/>
          <w:lang w:eastAsia="ru-RU"/>
        </w:rPr>
        <w:t xml:space="preserve">]. По данным </w:t>
      </w:r>
      <w:r w:rsidRPr="009114DF">
        <w:rPr>
          <w:rFonts w:ascii="Times New Roman" w:eastAsia="NewtonC" w:hAnsi="Times New Roman"/>
          <w:sz w:val="28"/>
          <w:szCs w:val="28"/>
          <w:lang w:val="en-US" w:eastAsia="ru-RU"/>
        </w:rPr>
        <w:t>J</w:t>
      </w:r>
      <w:r w:rsidRPr="009114DF">
        <w:rPr>
          <w:rFonts w:ascii="Times New Roman" w:eastAsia="NewtonC" w:hAnsi="Times New Roman"/>
          <w:sz w:val="28"/>
          <w:szCs w:val="28"/>
          <w:lang w:eastAsia="ru-RU"/>
        </w:rPr>
        <w:t xml:space="preserve">. </w:t>
      </w:r>
      <w:r w:rsidRPr="009114DF">
        <w:rPr>
          <w:rFonts w:ascii="Times New Roman" w:eastAsia="NewtonC" w:hAnsi="Times New Roman"/>
          <w:sz w:val="28"/>
          <w:szCs w:val="28"/>
          <w:lang w:val="en-US" w:eastAsia="ru-RU"/>
        </w:rPr>
        <w:t>D</w:t>
      </w:r>
      <w:r w:rsidRPr="009114DF">
        <w:rPr>
          <w:rFonts w:ascii="Times New Roman" w:eastAsia="NewtonC" w:hAnsi="Times New Roman"/>
          <w:sz w:val="28"/>
          <w:szCs w:val="28"/>
          <w:lang w:eastAsia="ru-RU"/>
        </w:rPr>
        <w:t xml:space="preserve">. </w:t>
      </w:r>
      <w:r w:rsidRPr="009114DF">
        <w:rPr>
          <w:rFonts w:ascii="Times New Roman" w:eastAsia="NewtonC" w:hAnsi="Times New Roman"/>
          <w:sz w:val="28"/>
          <w:szCs w:val="28"/>
          <w:lang w:val="en-US" w:eastAsia="ru-RU"/>
        </w:rPr>
        <w:t>Adachi</w:t>
      </w:r>
      <w:r w:rsidRPr="009114DF">
        <w:rPr>
          <w:rFonts w:ascii="Times New Roman" w:eastAsia="NewtonC" w:hAnsi="Times New Roman"/>
          <w:sz w:val="28"/>
          <w:szCs w:val="28"/>
          <w:lang w:eastAsia="ru-RU"/>
        </w:rPr>
        <w:t xml:space="preserve">, </w:t>
      </w:r>
      <w:r w:rsidRPr="009114DF">
        <w:rPr>
          <w:rFonts w:ascii="Times New Roman" w:eastAsia="NewtonC" w:hAnsi="Times New Roman"/>
          <w:sz w:val="28"/>
          <w:szCs w:val="28"/>
          <w:lang w:val="en-US" w:eastAsia="ru-RU"/>
        </w:rPr>
        <w:t>W</w:t>
      </w:r>
      <w:r w:rsidRPr="009114DF">
        <w:rPr>
          <w:rFonts w:ascii="Times New Roman" w:eastAsia="NewtonC" w:hAnsi="Times New Roman"/>
          <w:sz w:val="28"/>
          <w:szCs w:val="28"/>
          <w:lang w:eastAsia="ru-RU"/>
        </w:rPr>
        <w:t xml:space="preserve">. </w:t>
      </w:r>
      <w:r w:rsidRPr="009114DF">
        <w:rPr>
          <w:rFonts w:ascii="Times New Roman" w:eastAsia="NewtonC" w:hAnsi="Times New Roman"/>
          <w:sz w:val="28"/>
          <w:szCs w:val="28"/>
          <w:lang w:val="en-US" w:eastAsia="ru-RU"/>
        </w:rPr>
        <w:t>P</w:t>
      </w:r>
      <w:r w:rsidRPr="009114DF">
        <w:rPr>
          <w:rFonts w:ascii="Times New Roman" w:eastAsia="NewtonC" w:hAnsi="Times New Roman"/>
          <w:sz w:val="28"/>
          <w:szCs w:val="28"/>
          <w:lang w:eastAsia="ru-RU"/>
        </w:rPr>
        <w:t xml:space="preserve">. </w:t>
      </w:r>
      <w:r w:rsidRPr="009114DF">
        <w:rPr>
          <w:rFonts w:ascii="Times New Roman" w:eastAsia="NewtonC" w:hAnsi="Times New Roman"/>
          <w:sz w:val="28"/>
          <w:szCs w:val="28"/>
          <w:lang w:val="en-US" w:eastAsia="ru-RU"/>
        </w:rPr>
        <w:t>Olszynski</w:t>
      </w:r>
      <w:r w:rsidRPr="009114DF">
        <w:rPr>
          <w:rFonts w:ascii="Times New Roman" w:eastAsia="NewtonC" w:hAnsi="Times New Roman"/>
          <w:sz w:val="28"/>
          <w:szCs w:val="28"/>
          <w:lang w:eastAsia="ru-RU"/>
        </w:rPr>
        <w:t xml:space="preserve"> </w:t>
      </w:r>
      <w:r w:rsidRPr="009114DF">
        <w:rPr>
          <w:rFonts w:ascii="Times New Roman" w:eastAsia="NewtonC" w:hAnsi="Times New Roman"/>
          <w:sz w:val="28"/>
          <w:szCs w:val="28"/>
          <w:lang w:val="en-US" w:eastAsia="ru-RU"/>
        </w:rPr>
        <w:t>et</w:t>
      </w:r>
      <w:r w:rsidRPr="009114DF">
        <w:rPr>
          <w:rFonts w:ascii="Times New Roman" w:eastAsia="NewtonC" w:hAnsi="Times New Roman"/>
          <w:sz w:val="28"/>
          <w:szCs w:val="28"/>
          <w:lang w:eastAsia="ru-RU"/>
        </w:rPr>
        <w:t xml:space="preserve"> </w:t>
      </w:r>
      <w:r w:rsidRPr="009114DF">
        <w:rPr>
          <w:rFonts w:ascii="Times New Roman" w:eastAsia="NewtonC" w:hAnsi="Times New Roman"/>
          <w:sz w:val="28"/>
          <w:szCs w:val="28"/>
          <w:lang w:val="en-US" w:eastAsia="ru-RU"/>
        </w:rPr>
        <w:t>al</w:t>
      </w:r>
      <w:r w:rsidRPr="009114DF">
        <w:rPr>
          <w:rFonts w:ascii="Times New Roman" w:eastAsia="NewtonC" w:hAnsi="Times New Roman"/>
          <w:sz w:val="28"/>
          <w:szCs w:val="28"/>
          <w:lang w:eastAsia="ru-RU"/>
        </w:rPr>
        <w:t>.,</w:t>
      </w:r>
      <w:r w:rsidRPr="009114DF">
        <w:rPr>
          <w:rFonts w:ascii="Times New Roman" w:eastAsia="Times New Roman" w:hAnsi="Times New Roman"/>
          <w:sz w:val="28"/>
          <w:szCs w:val="28"/>
          <w:lang w:eastAsia="ru-RU"/>
        </w:rPr>
        <w:t xml:space="preserve"> наибольший риск развития ОП имеют больные, принимающие ГК в дозе 7,5 мг/сутки и более в преднизолоновом эквиваленте (уровень доказательности А) [</w:t>
      </w:r>
      <w:r w:rsidR="00041E69" w:rsidRPr="009114DF">
        <w:rPr>
          <w:rFonts w:ascii="Times New Roman" w:eastAsia="Times New Roman" w:hAnsi="Times New Roman"/>
          <w:sz w:val="28"/>
          <w:szCs w:val="28"/>
          <w:lang w:eastAsia="ru-RU"/>
        </w:rPr>
        <w:t>87</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993"/>
        <w:contextualSpacing/>
        <w:jc w:val="both"/>
        <w:rPr>
          <w:rFonts w:ascii="Times New Roman" w:eastAsia="Times New Roman" w:hAnsi="Times New Roman"/>
          <w:sz w:val="28"/>
          <w:szCs w:val="28"/>
          <w:lang w:eastAsia="ru-RU"/>
        </w:rPr>
      </w:pPr>
      <w:r w:rsidRPr="009114DF">
        <w:rPr>
          <w:sz w:val="28"/>
          <w:szCs w:val="28"/>
        </w:rPr>
        <w:t xml:space="preserve">▪ </w:t>
      </w:r>
      <w:r w:rsidRPr="009114DF">
        <w:rPr>
          <w:rFonts w:ascii="Times New Roman" w:eastAsia="Times New Roman" w:hAnsi="Times New Roman"/>
          <w:sz w:val="28"/>
          <w:szCs w:val="28"/>
          <w:lang w:eastAsia="ru-RU"/>
        </w:rPr>
        <w:t>Антропометрические данные</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Низкая масса тела или низкий индекс массы тела (ИМТ) – индикатор низкой массы МПК, при этом патологическое значение имеет потеря массы тела более 10% от исходных параметров в возрасте старше 25 лет [</w:t>
      </w:r>
      <w:r w:rsidR="00F94DB5" w:rsidRPr="009114DF">
        <w:rPr>
          <w:rFonts w:ascii="Times New Roman" w:eastAsia="Times New Roman" w:hAnsi="Times New Roman"/>
          <w:sz w:val="28"/>
          <w:szCs w:val="28"/>
          <w:lang w:eastAsia="ru-RU"/>
        </w:rPr>
        <w:t>36</w:t>
      </w:r>
      <w:r w:rsidRPr="009114DF">
        <w:rPr>
          <w:rFonts w:ascii="Times New Roman" w:eastAsia="Times New Roman" w:hAnsi="Times New Roman"/>
          <w:sz w:val="28"/>
          <w:szCs w:val="28"/>
          <w:lang w:eastAsia="ru-RU"/>
        </w:rPr>
        <w:t xml:space="preserve">]. </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 большинстве исследований доказана положительная связь между массой тела и МПК [</w:t>
      </w:r>
      <w:r w:rsidR="00F94DB5" w:rsidRPr="009114DF">
        <w:rPr>
          <w:rFonts w:ascii="Times New Roman" w:eastAsia="Times New Roman" w:hAnsi="Times New Roman"/>
          <w:sz w:val="28"/>
          <w:szCs w:val="28"/>
          <w:lang w:eastAsia="ru-RU"/>
        </w:rPr>
        <w:t>36</w:t>
      </w:r>
      <w:r w:rsidRPr="009114DF">
        <w:rPr>
          <w:rFonts w:ascii="Times New Roman" w:eastAsia="Times New Roman" w:hAnsi="Times New Roman"/>
          <w:sz w:val="28"/>
          <w:szCs w:val="28"/>
          <w:lang w:eastAsia="ru-RU"/>
        </w:rPr>
        <w:t xml:space="preserve">, </w:t>
      </w:r>
      <w:r w:rsidR="00EC4BD2" w:rsidRPr="009114DF">
        <w:rPr>
          <w:rFonts w:ascii="Times New Roman" w:eastAsia="Times New Roman" w:hAnsi="Times New Roman"/>
          <w:sz w:val="28"/>
          <w:szCs w:val="28"/>
          <w:lang w:eastAsia="ru-RU"/>
        </w:rPr>
        <w:t>211</w:t>
      </w:r>
      <w:r w:rsidRPr="009114DF">
        <w:rPr>
          <w:rFonts w:ascii="Times New Roman" w:eastAsia="Times New Roman" w:hAnsi="Times New Roman"/>
          <w:sz w:val="28"/>
          <w:szCs w:val="28"/>
          <w:lang w:eastAsia="ru-RU"/>
        </w:rPr>
        <w:t>].</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Немаловажное значение имеет количество жировой и мышечной ткани в организме. Жировая ткань, принимающая участие в конверсии андрогенов и эстрогенов, оказывает положительное влияние на состояние костной ткани у </w:t>
      </w:r>
      <w:r w:rsidRPr="009114DF">
        <w:rPr>
          <w:rFonts w:ascii="Times New Roman" w:eastAsia="Times New Roman" w:hAnsi="Times New Roman"/>
          <w:sz w:val="28"/>
          <w:szCs w:val="28"/>
          <w:lang w:eastAsia="ru-RU"/>
        </w:rPr>
        <w:lastRenderedPageBreak/>
        <w:t>женщин в постменопаузе и играет роль «защитной подушки», смягчая силу удара при падении [</w:t>
      </w:r>
      <w:r w:rsidR="00BD6504" w:rsidRPr="009114DF">
        <w:rPr>
          <w:rFonts w:ascii="Times New Roman" w:eastAsia="Times New Roman" w:hAnsi="Times New Roman"/>
          <w:sz w:val="28"/>
          <w:szCs w:val="28"/>
          <w:lang w:eastAsia="ru-RU"/>
        </w:rPr>
        <w:t>161</w:t>
      </w:r>
      <w:r w:rsidRPr="009114DF">
        <w:rPr>
          <w:rFonts w:ascii="Times New Roman" w:eastAsia="Times New Roman" w:hAnsi="Times New Roman"/>
          <w:sz w:val="28"/>
          <w:szCs w:val="28"/>
          <w:lang w:eastAsia="ru-RU"/>
        </w:rPr>
        <w:t>].</w:t>
      </w:r>
    </w:p>
    <w:p w:rsidR="00D15389" w:rsidRPr="009114DF" w:rsidRDefault="00D15389" w:rsidP="00D15389">
      <w:pPr>
        <w:spacing w:after="0" w:line="360" w:lineRule="auto"/>
        <w:ind w:left="-57" w:firstLine="72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Рост человека может влиять на риск развития перелома. В большинстве исследований показано, что женщины, имеющие рост более </w:t>
      </w:r>
      <w:smartTag w:uri="urn:schemas-microsoft-com:office:smarttags" w:element="metricconverter">
        <w:smartTagPr>
          <w:attr w:name="ProductID" w:val="169 см"/>
        </w:smartTagPr>
        <w:r w:rsidRPr="009114DF">
          <w:rPr>
            <w:rFonts w:ascii="Times New Roman" w:eastAsia="Times New Roman" w:hAnsi="Times New Roman"/>
            <w:sz w:val="28"/>
            <w:szCs w:val="28"/>
            <w:lang w:eastAsia="ru-RU"/>
          </w:rPr>
          <w:t>169 см</w:t>
        </w:r>
      </w:smartTag>
      <w:r w:rsidRPr="009114DF">
        <w:rPr>
          <w:rFonts w:ascii="Times New Roman" w:eastAsia="Times New Roman" w:hAnsi="Times New Roman"/>
          <w:sz w:val="28"/>
          <w:szCs w:val="28"/>
          <w:lang w:eastAsia="ru-RU"/>
        </w:rPr>
        <w:t xml:space="preserve">, имеют значимо больший риск переломов, чем женщины, рост которых менее </w:t>
      </w:r>
      <w:smartTag w:uri="urn:schemas-microsoft-com:office:smarttags" w:element="metricconverter">
        <w:smartTagPr>
          <w:attr w:name="ProductID" w:val="159 см"/>
        </w:smartTagPr>
        <w:r w:rsidRPr="009114DF">
          <w:rPr>
            <w:rFonts w:ascii="Times New Roman" w:eastAsia="Times New Roman" w:hAnsi="Times New Roman"/>
            <w:sz w:val="28"/>
            <w:szCs w:val="28"/>
            <w:lang w:eastAsia="ru-RU"/>
          </w:rPr>
          <w:t>159 см</w:t>
        </w:r>
      </w:smartTag>
      <w:r w:rsidRPr="009114DF">
        <w:rPr>
          <w:rFonts w:ascii="Times New Roman" w:eastAsia="Times New Roman" w:hAnsi="Times New Roman"/>
          <w:sz w:val="28"/>
          <w:szCs w:val="28"/>
          <w:lang w:eastAsia="ru-RU"/>
        </w:rPr>
        <w:t xml:space="preserve"> [</w:t>
      </w:r>
      <w:r w:rsidR="00EC4BD2" w:rsidRPr="009114DF">
        <w:rPr>
          <w:rFonts w:ascii="Times New Roman" w:eastAsia="Times New Roman" w:hAnsi="Times New Roman"/>
          <w:sz w:val="28"/>
          <w:szCs w:val="28"/>
          <w:lang w:eastAsia="ru-RU"/>
        </w:rPr>
        <w:t>199</w:t>
      </w:r>
      <w:r w:rsidRPr="009114DF">
        <w:rPr>
          <w:rFonts w:ascii="Times New Roman" w:eastAsia="Times New Roman" w:hAnsi="Times New Roman"/>
          <w:sz w:val="28"/>
          <w:szCs w:val="28"/>
          <w:lang w:eastAsia="ru-RU"/>
        </w:rPr>
        <w:t xml:space="preserve">].  </w:t>
      </w:r>
    </w:p>
    <w:p w:rsidR="00CF7FBB" w:rsidRPr="009114DF" w:rsidRDefault="00CF7FBB" w:rsidP="00F71B34">
      <w:pPr>
        <w:spacing w:after="0" w:line="360" w:lineRule="auto"/>
        <w:ind w:firstLine="709"/>
        <w:jc w:val="both"/>
        <w:rPr>
          <w:rFonts w:ascii="Times New Roman" w:eastAsia="Times New Roman" w:hAnsi="Times New Roman"/>
          <w:b/>
          <w:sz w:val="28"/>
          <w:szCs w:val="28"/>
          <w:lang w:eastAsia="ru-RU"/>
        </w:rPr>
      </w:pPr>
    </w:p>
    <w:p w:rsidR="00CF7FBB" w:rsidRPr="009114DF" w:rsidRDefault="00CF7FBB" w:rsidP="002230F3">
      <w:pPr>
        <w:pStyle w:val="ad"/>
        <w:numPr>
          <w:ilvl w:val="1"/>
          <w:numId w:val="23"/>
        </w:numPr>
        <w:shd w:val="clear" w:color="auto" w:fill="FFFFFF"/>
        <w:spacing w:after="0" w:line="360" w:lineRule="auto"/>
        <w:jc w:val="both"/>
        <w:rPr>
          <w:rFonts w:ascii="Times New Roman" w:hAnsi="Times New Roman"/>
          <w:b/>
          <w:sz w:val="28"/>
          <w:szCs w:val="28"/>
          <w:lang w:eastAsia="ru-RU"/>
        </w:rPr>
      </w:pPr>
      <w:r w:rsidRPr="009114DF">
        <w:rPr>
          <w:rFonts w:ascii="Times New Roman" w:hAnsi="Times New Roman"/>
          <w:b/>
          <w:sz w:val="28"/>
          <w:szCs w:val="28"/>
          <w:lang w:eastAsia="ru-RU"/>
        </w:rPr>
        <w:t>С</w:t>
      </w:r>
      <w:r w:rsidRPr="009114DF">
        <w:rPr>
          <w:rFonts w:ascii="Times New Roman" w:hAnsi="Times New Roman"/>
          <w:b/>
          <w:sz w:val="28"/>
          <w:szCs w:val="28"/>
          <w:lang w:val="x-none" w:eastAsia="ru-RU"/>
        </w:rPr>
        <w:t xml:space="preserve">амостоятельные </w:t>
      </w:r>
      <w:r w:rsidRPr="009114DF">
        <w:rPr>
          <w:rFonts w:ascii="Times New Roman" w:hAnsi="Times New Roman"/>
          <w:b/>
          <w:sz w:val="28"/>
          <w:szCs w:val="28"/>
          <w:lang w:eastAsia="ru-RU"/>
        </w:rPr>
        <w:t>факторы риска развития вторичного остеопороза</w:t>
      </w:r>
    </w:p>
    <w:p w:rsidR="002230F3" w:rsidRPr="009114DF" w:rsidRDefault="002230F3" w:rsidP="002230F3">
      <w:pPr>
        <w:pStyle w:val="ad"/>
        <w:shd w:val="clear" w:color="auto" w:fill="FFFFFF"/>
        <w:spacing w:after="0" w:line="360" w:lineRule="auto"/>
        <w:ind w:left="1425"/>
        <w:jc w:val="both"/>
        <w:rPr>
          <w:rFonts w:ascii="Times New Roman" w:eastAsia="Times New Roman" w:hAnsi="Times New Roman"/>
          <w:b/>
          <w:bCs/>
          <w:sz w:val="28"/>
          <w:szCs w:val="28"/>
          <w:lang w:eastAsia="ru-RU"/>
        </w:rPr>
      </w:pPr>
    </w:p>
    <w:p w:rsidR="00CF7FBB" w:rsidRPr="009114DF" w:rsidRDefault="00CF7FBB" w:rsidP="00F71B34">
      <w:pPr>
        <w:shd w:val="clear" w:color="auto" w:fill="FFFFFF"/>
        <w:spacing w:after="0" w:line="360" w:lineRule="auto"/>
        <w:ind w:firstLine="705"/>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Снижение МПК при РА обусловлено разнообразными факторами: длительностью заболевания, активностью воспалительного процесса, тя</w:t>
      </w:r>
      <w:r w:rsidR="00AE4E20" w:rsidRPr="009114DF">
        <w:rPr>
          <w:rFonts w:ascii="Times New Roman" w:eastAsia="Times New Roman" w:hAnsi="Times New Roman"/>
          <w:sz w:val="28"/>
          <w:szCs w:val="28"/>
          <w:lang w:eastAsia="ru-RU"/>
        </w:rPr>
        <w:t>жестью функциональных нарушений</w:t>
      </w:r>
      <w:r w:rsidRPr="009114DF">
        <w:rPr>
          <w:rFonts w:ascii="Times New Roman" w:eastAsia="Times New Roman" w:hAnsi="Times New Roman"/>
          <w:sz w:val="28"/>
          <w:szCs w:val="28"/>
          <w:lang w:eastAsia="ru-RU"/>
        </w:rPr>
        <w:t>. Однако трактовка результатов изучения зависимости МПК от клинических вариантов РА у разных авторов достаточно неоднозначна.</w:t>
      </w:r>
    </w:p>
    <w:p w:rsidR="00CF7FBB" w:rsidRPr="009114DF" w:rsidRDefault="00CF7FBB" w:rsidP="00F71B34">
      <w:pPr>
        <w:shd w:val="clear" w:color="auto" w:fill="FFFFFF"/>
        <w:spacing w:after="0" w:line="360" w:lineRule="auto"/>
        <w:ind w:firstLine="705"/>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Большинством авторов отмечается высокая скорость потери костной массы на ранних сроках заболевания. Так, </w:t>
      </w:r>
      <w:r w:rsidRPr="009114DF">
        <w:rPr>
          <w:rFonts w:ascii="Times New Roman" w:eastAsia="Times New Roman" w:hAnsi="Times New Roman"/>
          <w:sz w:val="28"/>
          <w:szCs w:val="28"/>
          <w:lang w:val="en-US" w:eastAsia="ru-RU"/>
        </w:rPr>
        <w:t>B</w:t>
      </w:r>
      <w:r w:rsidRPr="009114DF">
        <w:rPr>
          <w:rFonts w:ascii="Times New Roman" w:eastAsia="Times New Roman" w:hAnsi="Times New Roman"/>
          <w:sz w:val="28"/>
          <w:szCs w:val="28"/>
          <w:lang w:eastAsia="ru-RU"/>
        </w:rPr>
        <w:t>.</w:t>
      </w:r>
      <w:r w:rsidR="006444BF"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Shenstone</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et</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al</w:t>
      </w:r>
      <w:r w:rsidRPr="009114DF">
        <w:rPr>
          <w:rFonts w:ascii="Times New Roman" w:eastAsia="Times New Roman" w:hAnsi="Times New Roman"/>
          <w:sz w:val="28"/>
          <w:szCs w:val="28"/>
          <w:lang w:eastAsia="ru-RU"/>
        </w:rPr>
        <w:t xml:space="preserve">. </w:t>
      </w:r>
      <w:r w:rsidR="00AE4E20" w:rsidRPr="009114DF">
        <w:rPr>
          <w:rFonts w:ascii="Times New Roman" w:eastAsia="Times New Roman" w:hAnsi="Times New Roman"/>
          <w:bCs/>
          <w:iCs/>
          <w:sz w:val="28"/>
          <w:szCs w:val="28"/>
          <w:lang w:eastAsia="ru-RU"/>
        </w:rPr>
        <w:t>[</w:t>
      </w:r>
      <w:r w:rsidR="0004338D" w:rsidRPr="009114DF">
        <w:rPr>
          <w:rFonts w:ascii="Times New Roman" w:eastAsia="Times New Roman" w:hAnsi="Times New Roman"/>
          <w:bCs/>
          <w:iCs/>
          <w:sz w:val="28"/>
          <w:szCs w:val="28"/>
          <w:lang w:eastAsia="ru-RU"/>
        </w:rPr>
        <w:t>181</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 xml:space="preserve"> проведено проспективное годовое исследование МПК у 67 больных РА с длительностью заболевания до 5 лет, в их число вошли 16 пациентов с длительностью РА менее 6 месяцев. У больных с длительностью заболевания до 6 месяцев МПК шейки бедра уменьшилась на 3,9%, в то время как в целом этот показатель в контрольной группе составил лишь 0,2%. У больных с давностью заболевания более 6 месяцев отличий в скорости потери МПК от контрольных групп не выявлено. В исследовании </w:t>
      </w:r>
      <w:r w:rsidRPr="009114DF">
        <w:rPr>
          <w:rFonts w:ascii="Times New Roman" w:eastAsia="Times New Roman" w:hAnsi="Times New Roman"/>
          <w:sz w:val="28"/>
          <w:szCs w:val="28"/>
          <w:lang w:val="en-US" w:eastAsia="ru-RU"/>
        </w:rPr>
        <w:t>Kroot</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et</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al</w:t>
      </w:r>
      <w:r w:rsidRPr="009114DF">
        <w:rPr>
          <w:rFonts w:ascii="Times New Roman" w:eastAsia="Times New Roman" w:hAnsi="Times New Roman"/>
          <w:sz w:val="28"/>
          <w:szCs w:val="28"/>
          <w:lang w:eastAsia="ru-RU"/>
        </w:rPr>
        <w:t xml:space="preserve">.  </w:t>
      </w:r>
      <w:r w:rsidR="00AE4E20" w:rsidRPr="009114DF">
        <w:rPr>
          <w:rFonts w:ascii="Times New Roman" w:eastAsia="Times New Roman" w:hAnsi="Times New Roman"/>
          <w:bCs/>
          <w:iCs/>
          <w:sz w:val="28"/>
          <w:szCs w:val="28"/>
          <w:lang w:eastAsia="ru-RU"/>
        </w:rPr>
        <w:t>[</w:t>
      </w:r>
      <w:r w:rsidR="00BD6504" w:rsidRPr="009114DF">
        <w:rPr>
          <w:rFonts w:ascii="Times New Roman" w:eastAsia="Times New Roman" w:hAnsi="Times New Roman"/>
          <w:bCs/>
          <w:iCs/>
          <w:sz w:val="28"/>
          <w:szCs w:val="28"/>
          <w:lang w:eastAsia="ru-RU"/>
        </w:rPr>
        <w:t>151</w:t>
      </w:r>
      <w:r w:rsidRPr="009114DF">
        <w:rPr>
          <w:rFonts w:ascii="Times New Roman" w:eastAsia="Times New Roman" w:hAnsi="Times New Roman"/>
          <w:bCs/>
          <w:iCs/>
          <w:sz w:val="28"/>
          <w:szCs w:val="28"/>
          <w:lang w:eastAsia="ru-RU"/>
        </w:rPr>
        <w:t xml:space="preserve">] </w:t>
      </w:r>
      <w:r w:rsidRPr="009114DF">
        <w:rPr>
          <w:rFonts w:ascii="Times New Roman" w:eastAsia="Times New Roman" w:hAnsi="Times New Roman"/>
          <w:sz w:val="28"/>
          <w:szCs w:val="28"/>
          <w:lang w:eastAsia="ru-RU"/>
        </w:rPr>
        <w:t>МПК в шейке бедра измерялась с интервалом 6 лет у 76 больных РА с исходной средней давностью заболевания 2,4 года. Среднегодовая потеря МПК в группе пациентов составила 0,28% в год, что не отличалось от популяционных данных.</w:t>
      </w:r>
    </w:p>
    <w:p w:rsidR="00CF7FBB" w:rsidRPr="009114DF" w:rsidRDefault="00CF7FBB" w:rsidP="00F71B34">
      <w:pPr>
        <w:shd w:val="clear" w:color="auto" w:fill="FFFFFF"/>
        <w:spacing w:after="0" w:line="360" w:lineRule="auto"/>
        <w:ind w:firstLine="705"/>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Много работ посвящено изучению зависимости МПК от активности РА. Имеются данные о том, что выраженность и степень прогрессирования </w:t>
      </w:r>
      <w:r w:rsidRPr="009114DF">
        <w:rPr>
          <w:rFonts w:ascii="Times New Roman" w:eastAsia="Times New Roman" w:hAnsi="Times New Roman"/>
          <w:sz w:val="28"/>
          <w:szCs w:val="28"/>
          <w:lang w:eastAsia="ru-RU"/>
        </w:rPr>
        <w:lastRenderedPageBreak/>
        <w:t xml:space="preserve">суставного повреждения при РА коррелирует с персистирующим увеличением </w:t>
      </w:r>
      <w:r w:rsidR="008B56CB" w:rsidRPr="009114DF">
        <w:rPr>
          <w:rFonts w:ascii="Times New Roman" w:eastAsia="Times New Roman" w:hAnsi="Times New Roman"/>
          <w:sz w:val="28"/>
          <w:szCs w:val="28"/>
          <w:lang w:eastAsia="ru-RU"/>
        </w:rPr>
        <w:t>скорости оседания эритроцитов (</w:t>
      </w:r>
      <w:r w:rsidRPr="009114DF">
        <w:rPr>
          <w:rFonts w:ascii="Times New Roman" w:eastAsia="Times New Roman" w:hAnsi="Times New Roman"/>
          <w:sz w:val="28"/>
          <w:szCs w:val="28"/>
          <w:lang w:eastAsia="ru-RU"/>
        </w:rPr>
        <w:t>СОЭ</w:t>
      </w:r>
      <w:r w:rsidR="008B56CB"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и </w:t>
      </w:r>
      <w:proofErr w:type="gramStart"/>
      <w:r w:rsidR="008B56CB" w:rsidRPr="009114DF">
        <w:rPr>
          <w:rFonts w:ascii="Times New Roman" w:eastAsia="Times New Roman" w:hAnsi="Times New Roman"/>
          <w:sz w:val="28"/>
          <w:szCs w:val="28"/>
          <w:lang w:eastAsia="ru-RU"/>
        </w:rPr>
        <w:t>С-реактивного</w:t>
      </w:r>
      <w:proofErr w:type="gramEnd"/>
      <w:r w:rsidR="008B56CB" w:rsidRPr="009114DF">
        <w:rPr>
          <w:rFonts w:ascii="Times New Roman" w:eastAsia="Times New Roman" w:hAnsi="Times New Roman"/>
          <w:sz w:val="28"/>
          <w:szCs w:val="28"/>
          <w:lang w:eastAsia="ru-RU"/>
        </w:rPr>
        <w:t xml:space="preserve"> белка (</w:t>
      </w:r>
      <w:r w:rsidRPr="009114DF">
        <w:rPr>
          <w:rFonts w:ascii="Times New Roman" w:eastAsia="Times New Roman" w:hAnsi="Times New Roman"/>
          <w:sz w:val="28"/>
          <w:szCs w:val="28"/>
          <w:lang w:eastAsia="ru-RU"/>
        </w:rPr>
        <w:t>СРБ</w:t>
      </w:r>
      <w:r w:rsidR="008B56CB"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w:t>
      </w:r>
      <w:r w:rsidR="007D56F8" w:rsidRPr="009114DF">
        <w:rPr>
          <w:rFonts w:ascii="Times New Roman" w:eastAsia="Times New Roman" w:hAnsi="Times New Roman"/>
          <w:bCs/>
          <w:iCs/>
          <w:sz w:val="28"/>
          <w:szCs w:val="28"/>
          <w:lang w:eastAsia="ru-RU"/>
        </w:rPr>
        <w:t>[</w:t>
      </w:r>
      <w:r w:rsidR="00DB4CFA" w:rsidRPr="009114DF">
        <w:rPr>
          <w:rFonts w:ascii="Times New Roman" w:eastAsia="Times New Roman" w:hAnsi="Times New Roman"/>
          <w:bCs/>
          <w:iCs/>
          <w:sz w:val="28"/>
          <w:szCs w:val="28"/>
          <w:lang w:eastAsia="ru-RU"/>
        </w:rPr>
        <w:t>19</w:t>
      </w:r>
      <w:r w:rsidR="00AE4E20" w:rsidRPr="009114DF">
        <w:rPr>
          <w:rFonts w:ascii="Times New Roman" w:eastAsia="Times New Roman" w:hAnsi="Times New Roman"/>
          <w:bCs/>
          <w:iCs/>
          <w:sz w:val="28"/>
          <w:szCs w:val="28"/>
          <w:lang w:eastAsia="ru-RU"/>
        </w:rPr>
        <w:t>,</w:t>
      </w:r>
      <w:r w:rsidR="006444BF" w:rsidRPr="009114DF">
        <w:rPr>
          <w:rFonts w:ascii="Times New Roman" w:eastAsia="Times New Roman" w:hAnsi="Times New Roman"/>
          <w:bCs/>
          <w:iCs/>
          <w:sz w:val="28"/>
          <w:szCs w:val="28"/>
          <w:lang w:eastAsia="ru-RU"/>
        </w:rPr>
        <w:t xml:space="preserve"> </w:t>
      </w:r>
      <w:r w:rsidR="006D17D9" w:rsidRPr="009114DF">
        <w:rPr>
          <w:rFonts w:ascii="Times New Roman" w:eastAsia="Times New Roman" w:hAnsi="Times New Roman"/>
          <w:bCs/>
          <w:iCs/>
          <w:sz w:val="28"/>
          <w:szCs w:val="28"/>
          <w:lang w:eastAsia="ru-RU"/>
        </w:rPr>
        <w:t>126</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 Обширное исследование, касающееся изучения связи между потерей костной массы и воспалительной активностью при РА, проведено</w:t>
      </w:r>
      <w:r w:rsidR="006444BF"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val="en-US" w:eastAsia="ru-RU"/>
        </w:rPr>
        <w:t>A</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Gough</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et</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al</w:t>
      </w:r>
      <w:r w:rsidRPr="009114DF">
        <w:rPr>
          <w:rFonts w:ascii="Times New Roman" w:eastAsia="Times New Roman" w:hAnsi="Times New Roman"/>
          <w:sz w:val="28"/>
          <w:szCs w:val="28"/>
          <w:lang w:eastAsia="ru-RU"/>
        </w:rPr>
        <w:t xml:space="preserve">., где авторы исследовали МПК в динамике у 148 больных с ранним РА. Через 12 месяцев наблюдалось достоверное снижение МПК в поясничном отделе позвоночника и вертеле бедренной кости </w:t>
      </w:r>
      <w:r w:rsidR="00AE4E20" w:rsidRPr="009114DF">
        <w:rPr>
          <w:rFonts w:ascii="Times New Roman" w:eastAsia="Times New Roman" w:hAnsi="Times New Roman"/>
          <w:bCs/>
          <w:iCs/>
          <w:sz w:val="28"/>
          <w:szCs w:val="28"/>
          <w:lang w:eastAsia="ru-RU"/>
        </w:rPr>
        <w:t>[</w:t>
      </w:r>
      <w:r w:rsidR="00243567" w:rsidRPr="009114DF">
        <w:rPr>
          <w:rFonts w:ascii="Times New Roman" w:eastAsia="Times New Roman" w:hAnsi="Times New Roman"/>
          <w:bCs/>
          <w:iCs/>
          <w:sz w:val="28"/>
          <w:szCs w:val="28"/>
          <w:lang w:eastAsia="ru-RU"/>
        </w:rPr>
        <w:t>126</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 xml:space="preserve">. </w:t>
      </w:r>
    </w:p>
    <w:p w:rsidR="00CF7FBB" w:rsidRPr="009114DF" w:rsidRDefault="00CF7FBB" w:rsidP="00F71B34">
      <w:pPr>
        <w:shd w:val="clear" w:color="auto" w:fill="FFFFFF"/>
        <w:spacing w:after="0" w:line="360" w:lineRule="auto"/>
        <w:ind w:firstLine="705"/>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ab/>
        <w:t>Исследования, проведенные Е.</w:t>
      </w:r>
      <w:r w:rsidR="006444BF"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Л. Насоновым и соавт.  (43 женщины с РА: 20 пациенток в пременопаузе, 23 – в постменопаузе), показали, что выраженность снижения МПК в поясничном отделе позвоночника и шейке бедра коррелировала с активностью воспалительного процесса. У больных со </w:t>
      </w:r>
      <w:r w:rsidR="00DE5A43" w:rsidRPr="009114DF">
        <w:rPr>
          <w:rFonts w:ascii="Times New Roman" w:eastAsia="Times New Roman" w:hAnsi="Times New Roman"/>
          <w:sz w:val="28"/>
          <w:szCs w:val="28"/>
          <w:lang w:eastAsia="ru-RU"/>
        </w:rPr>
        <w:t>второ</w:t>
      </w:r>
      <w:r w:rsidRPr="009114DF">
        <w:rPr>
          <w:rFonts w:ascii="Times New Roman" w:eastAsia="Times New Roman" w:hAnsi="Times New Roman"/>
          <w:sz w:val="28"/>
          <w:szCs w:val="28"/>
          <w:lang w:eastAsia="ru-RU"/>
        </w:rPr>
        <w:t xml:space="preserve">й степенью активности МПК как в шейке бедра, так и в поясничном отделе позвоночника достоверно ниже, чем при </w:t>
      </w:r>
      <w:r w:rsidR="00DE5A43" w:rsidRPr="009114DF">
        <w:rPr>
          <w:rFonts w:ascii="Times New Roman" w:eastAsia="Times New Roman" w:hAnsi="Times New Roman"/>
          <w:sz w:val="28"/>
          <w:szCs w:val="28"/>
          <w:lang w:eastAsia="ru-RU"/>
        </w:rPr>
        <w:t>перво</w:t>
      </w:r>
      <w:r w:rsidRPr="009114DF">
        <w:rPr>
          <w:rFonts w:ascii="Times New Roman" w:eastAsia="Times New Roman" w:hAnsi="Times New Roman"/>
          <w:sz w:val="28"/>
          <w:szCs w:val="28"/>
          <w:lang w:eastAsia="ru-RU"/>
        </w:rPr>
        <w:t xml:space="preserve">й степени активности </w:t>
      </w:r>
      <w:r w:rsidR="00B435B9" w:rsidRPr="009114DF">
        <w:rPr>
          <w:rFonts w:ascii="Times New Roman" w:eastAsia="Times New Roman" w:hAnsi="Times New Roman"/>
          <w:bCs/>
          <w:iCs/>
          <w:sz w:val="28"/>
          <w:szCs w:val="28"/>
          <w:lang w:eastAsia="ru-RU"/>
        </w:rPr>
        <w:t>[46</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 Аналогичные данные получены и в работе И.</w:t>
      </w:r>
      <w:r w:rsidR="006444BF"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Н. Тотрова с участием</w:t>
      </w:r>
      <w:r w:rsidR="006444BF"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eastAsia="ru-RU"/>
        </w:rPr>
        <w:t>320 больных РА (54 мужчин</w:t>
      </w:r>
      <w:r w:rsidR="006444BF" w:rsidRPr="009114DF">
        <w:rPr>
          <w:rFonts w:ascii="Times New Roman" w:eastAsia="Times New Roman" w:hAnsi="Times New Roman"/>
          <w:sz w:val="28"/>
          <w:szCs w:val="28"/>
          <w:lang w:eastAsia="ru-RU"/>
        </w:rPr>
        <w:t>ы</w:t>
      </w:r>
      <w:r w:rsidRPr="009114DF">
        <w:rPr>
          <w:rFonts w:ascii="Times New Roman" w:eastAsia="Times New Roman" w:hAnsi="Times New Roman"/>
          <w:sz w:val="28"/>
          <w:szCs w:val="28"/>
          <w:lang w:eastAsia="ru-RU"/>
        </w:rPr>
        <w:t xml:space="preserve"> и 266 женщин), где по результатам корреляционного анализа выявлена положительная связь между показателями МПК и СОЭ </w:t>
      </w:r>
      <w:r w:rsidR="00B435B9" w:rsidRPr="009114DF">
        <w:rPr>
          <w:rFonts w:ascii="Times New Roman" w:eastAsia="Times New Roman" w:hAnsi="Times New Roman"/>
          <w:bCs/>
          <w:iCs/>
          <w:sz w:val="28"/>
          <w:szCs w:val="28"/>
          <w:lang w:eastAsia="ru-RU"/>
        </w:rPr>
        <w:t>[81</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w:t>
      </w:r>
    </w:p>
    <w:p w:rsidR="00CF7FBB" w:rsidRPr="009114DF" w:rsidRDefault="00CF7FBB" w:rsidP="006444BF">
      <w:pPr>
        <w:shd w:val="clear" w:color="auto" w:fill="FFFFFF"/>
        <w:spacing w:after="0" w:line="350" w:lineRule="auto"/>
        <w:ind w:firstLine="705"/>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По данным О.</w:t>
      </w:r>
      <w:r w:rsidR="006444BF"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В. Котлубей, в начальный период РА снижение МПК наблюдается без явных рентгенологических проявлений. С повышением стадии (</w:t>
      </w:r>
      <w:r w:rsidRPr="009114DF">
        <w:rPr>
          <w:rFonts w:ascii="Times New Roman" w:eastAsia="Times New Roman" w:hAnsi="Times New Roman"/>
          <w:sz w:val="28"/>
          <w:szCs w:val="28"/>
          <w:lang w:val="en-US" w:eastAsia="ru-RU"/>
        </w:rPr>
        <w:t>I</w:t>
      </w:r>
      <w:r w:rsidR="006444BF"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val="en-US" w:eastAsia="ru-RU"/>
        </w:rPr>
        <w:t>II</w:t>
      </w:r>
      <w:r w:rsidRPr="009114DF">
        <w:rPr>
          <w:rFonts w:ascii="Times New Roman" w:eastAsia="Times New Roman" w:hAnsi="Times New Roman"/>
          <w:sz w:val="28"/>
          <w:szCs w:val="28"/>
          <w:lang w:eastAsia="ru-RU"/>
        </w:rPr>
        <w:t xml:space="preserve"> стадия) МПК, по данным рентгенографии, снижается, но при </w:t>
      </w:r>
      <w:r w:rsidRPr="009114DF">
        <w:rPr>
          <w:rFonts w:ascii="Times New Roman" w:eastAsia="Times New Roman" w:hAnsi="Times New Roman"/>
          <w:sz w:val="28"/>
          <w:szCs w:val="28"/>
          <w:lang w:val="en-US" w:eastAsia="ru-RU"/>
        </w:rPr>
        <w:t>III</w:t>
      </w:r>
      <w:r w:rsidR="006444BF"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val="en-US" w:eastAsia="ru-RU"/>
        </w:rPr>
        <w:t>IV</w:t>
      </w:r>
      <w:r w:rsidRPr="009114DF">
        <w:rPr>
          <w:rFonts w:ascii="Times New Roman" w:eastAsia="Times New Roman" w:hAnsi="Times New Roman"/>
          <w:sz w:val="28"/>
          <w:szCs w:val="28"/>
          <w:lang w:eastAsia="ru-RU"/>
        </w:rPr>
        <w:t xml:space="preserve">  стадии МПК мало отличается от соответствующего показателя при</w:t>
      </w:r>
      <w:r w:rsidR="006444BF"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val="en-US" w:eastAsia="ru-RU"/>
        </w:rPr>
        <w:t>II</w:t>
      </w:r>
      <w:r w:rsidRPr="009114DF">
        <w:rPr>
          <w:rFonts w:ascii="Times New Roman" w:eastAsia="Times New Roman" w:hAnsi="Times New Roman"/>
          <w:sz w:val="28"/>
          <w:szCs w:val="28"/>
          <w:lang w:eastAsia="ru-RU"/>
        </w:rPr>
        <w:t xml:space="preserve"> стадии </w:t>
      </w:r>
      <w:r w:rsidR="00F94DB5" w:rsidRPr="009114DF">
        <w:rPr>
          <w:rFonts w:ascii="Times New Roman" w:eastAsia="Times New Roman" w:hAnsi="Times New Roman"/>
          <w:bCs/>
          <w:iCs/>
          <w:sz w:val="28"/>
          <w:szCs w:val="28"/>
          <w:lang w:eastAsia="ru-RU"/>
        </w:rPr>
        <w:t>[34</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 Однако результаты,</w:t>
      </w:r>
      <w:r w:rsidR="006444BF"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полученные Д.</w:t>
      </w:r>
      <w:r w:rsidR="006444BF"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А. Гукасян</w:t>
      </w:r>
      <w:r w:rsidR="008B56CB"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свидетельствуют о том, что прогрессирование суставной деструкции сопровождается достоверным снижением показателей МПК </w:t>
      </w:r>
      <w:r w:rsidR="00B435B9" w:rsidRPr="009114DF">
        <w:rPr>
          <w:rFonts w:ascii="Times New Roman" w:eastAsia="Times New Roman" w:hAnsi="Times New Roman"/>
          <w:bCs/>
          <w:iCs/>
          <w:sz w:val="28"/>
          <w:szCs w:val="28"/>
          <w:lang w:eastAsia="ru-RU"/>
        </w:rPr>
        <w:t>[</w:t>
      </w:r>
      <w:r w:rsidR="00007E92" w:rsidRPr="009114DF">
        <w:rPr>
          <w:rFonts w:ascii="Times New Roman" w:eastAsia="Times New Roman" w:hAnsi="Times New Roman"/>
          <w:bCs/>
          <w:iCs/>
          <w:sz w:val="28"/>
          <w:szCs w:val="28"/>
          <w:lang w:eastAsia="ru-RU"/>
        </w:rPr>
        <w:t>24</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 xml:space="preserve">. </w:t>
      </w:r>
    </w:p>
    <w:p w:rsidR="00CF7FBB" w:rsidRPr="009114DF" w:rsidRDefault="00CF7FBB" w:rsidP="006444BF">
      <w:pPr>
        <w:shd w:val="clear" w:color="auto" w:fill="FFFFFF"/>
        <w:spacing w:after="0" w:line="350" w:lineRule="auto"/>
        <w:ind w:firstLine="705"/>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Степень уменьшения МПК коррелирует с выраженностью функциональной недостаточности. Ухудшение функционального состояния играет важную роль на поздних этапах заболевания. Иммобилизация при РА сопровождается повышением риска переломов. Риск их развития</w:t>
      </w:r>
      <w:r w:rsidR="006444BF"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по данным </w:t>
      </w:r>
      <w:r w:rsidRPr="009114DF">
        <w:rPr>
          <w:rFonts w:ascii="Times New Roman" w:eastAsia="Times New Roman" w:hAnsi="Times New Roman"/>
          <w:sz w:val="28"/>
          <w:szCs w:val="28"/>
          <w:lang w:val="en-US" w:eastAsia="ru-RU"/>
        </w:rPr>
        <w:t>N</w:t>
      </w:r>
      <w:r w:rsidRPr="009114DF">
        <w:rPr>
          <w:rFonts w:ascii="Times New Roman" w:eastAsia="Times New Roman" w:hAnsi="Times New Roman"/>
          <w:sz w:val="28"/>
          <w:szCs w:val="28"/>
          <w:lang w:eastAsia="ru-RU"/>
        </w:rPr>
        <w:t>.</w:t>
      </w:r>
      <w:r w:rsidR="006444BF"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F</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Laan</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et</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al</w:t>
      </w:r>
      <w:r w:rsidRPr="009114DF">
        <w:rPr>
          <w:rFonts w:ascii="Times New Roman" w:eastAsia="Times New Roman" w:hAnsi="Times New Roman"/>
          <w:sz w:val="28"/>
          <w:szCs w:val="28"/>
          <w:lang w:eastAsia="ru-RU"/>
        </w:rPr>
        <w:t>.</w:t>
      </w:r>
      <w:r w:rsidR="006444BF"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составляет 1</w:t>
      </w:r>
      <w:proofErr w:type="gramStart"/>
      <w:r w:rsidRPr="009114DF">
        <w:rPr>
          <w:rFonts w:ascii="Times New Roman" w:eastAsia="Times New Roman" w:hAnsi="Times New Roman"/>
          <w:sz w:val="28"/>
          <w:szCs w:val="28"/>
          <w:lang w:eastAsia="ru-RU"/>
        </w:rPr>
        <w:t>,2</w:t>
      </w:r>
      <w:proofErr w:type="gramEnd"/>
      <w:r w:rsidR="006444BF"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1,5% </w:t>
      </w:r>
      <w:r w:rsidR="00B435B9" w:rsidRPr="009114DF">
        <w:rPr>
          <w:rFonts w:ascii="Times New Roman" w:eastAsia="Times New Roman" w:hAnsi="Times New Roman"/>
          <w:bCs/>
          <w:iCs/>
          <w:sz w:val="28"/>
          <w:szCs w:val="28"/>
          <w:lang w:eastAsia="ru-RU"/>
        </w:rPr>
        <w:t>[</w:t>
      </w:r>
      <w:r w:rsidR="00BD6504" w:rsidRPr="009114DF">
        <w:rPr>
          <w:rFonts w:ascii="Times New Roman" w:eastAsia="Times New Roman" w:hAnsi="Times New Roman"/>
          <w:bCs/>
          <w:iCs/>
          <w:sz w:val="28"/>
          <w:szCs w:val="28"/>
          <w:lang w:eastAsia="ru-RU"/>
        </w:rPr>
        <w:t>157</w:t>
      </w:r>
      <w:r w:rsidRPr="009114DF">
        <w:rPr>
          <w:rFonts w:ascii="Times New Roman" w:eastAsia="Times New Roman" w:hAnsi="Times New Roman"/>
          <w:bCs/>
          <w:iCs/>
          <w:sz w:val="28"/>
          <w:szCs w:val="28"/>
          <w:lang w:eastAsia="ru-RU"/>
        </w:rPr>
        <w:t>]</w:t>
      </w:r>
      <w:r w:rsidRPr="009114DF">
        <w:rPr>
          <w:rFonts w:ascii="Times New Roman" w:eastAsia="Times New Roman" w:hAnsi="Times New Roman"/>
          <w:sz w:val="28"/>
          <w:szCs w:val="28"/>
          <w:lang w:eastAsia="ru-RU"/>
        </w:rPr>
        <w:t>.</w:t>
      </w:r>
    </w:p>
    <w:p w:rsidR="00CF7FBB" w:rsidRPr="009114DF" w:rsidRDefault="00CF7FBB" w:rsidP="006444BF">
      <w:pPr>
        <w:spacing w:after="0" w:line="35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lastRenderedPageBreak/>
        <w:t xml:space="preserve">Проблема ранней диагностики ОП при РА в настоящее время особенно актуальна, поскольку появилась возможность с помощью современных методов лечения предупредить развитие заболевания </w:t>
      </w:r>
      <w:r w:rsidR="00B435B9" w:rsidRPr="009114DF">
        <w:rPr>
          <w:rFonts w:ascii="Times New Roman" w:eastAsia="Times New Roman" w:hAnsi="Times New Roman"/>
          <w:sz w:val="28"/>
          <w:szCs w:val="28"/>
          <w:lang w:eastAsia="ru-RU"/>
        </w:rPr>
        <w:t>[</w:t>
      </w:r>
      <w:r w:rsidR="00BD6504" w:rsidRPr="009114DF">
        <w:rPr>
          <w:rFonts w:ascii="Times New Roman" w:eastAsia="Times New Roman" w:hAnsi="Times New Roman"/>
          <w:sz w:val="28"/>
          <w:szCs w:val="28"/>
          <w:lang w:eastAsia="ru-RU"/>
        </w:rPr>
        <w:t>153</w:t>
      </w:r>
      <w:r w:rsidR="00D91C23" w:rsidRPr="009114DF">
        <w:rPr>
          <w:rFonts w:ascii="Times New Roman" w:eastAsia="Times New Roman" w:hAnsi="Times New Roman"/>
          <w:sz w:val="28"/>
          <w:szCs w:val="28"/>
          <w:lang w:eastAsia="ru-RU"/>
        </w:rPr>
        <w:t>].</w:t>
      </w:r>
    </w:p>
    <w:p w:rsidR="001552FE" w:rsidRPr="009114DF" w:rsidRDefault="001552FE" w:rsidP="00225925">
      <w:pPr>
        <w:spacing w:after="0" w:line="360" w:lineRule="auto"/>
        <w:jc w:val="both"/>
        <w:rPr>
          <w:rFonts w:ascii="Times New Roman" w:eastAsia="Times New Roman" w:hAnsi="Times New Roman"/>
          <w:b/>
          <w:sz w:val="28"/>
          <w:szCs w:val="28"/>
          <w:lang w:eastAsia="ru-RU"/>
        </w:rPr>
      </w:pPr>
    </w:p>
    <w:p w:rsidR="00CF7FBB" w:rsidRPr="009114DF" w:rsidRDefault="00CF7FBB" w:rsidP="002230F3">
      <w:pPr>
        <w:pStyle w:val="ad"/>
        <w:numPr>
          <w:ilvl w:val="1"/>
          <w:numId w:val="23"/>
        </w:numPr>
        <w:spacing w:after="0" w:line="360" w:lineRule="auto"/>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 xml:space="preserve">Влияние терапии ревматоидного артрита на </w:t>
      </w:r>
      <w:r w:rsidR="006444BF" w:rsidRPr="009114DF">
        <w:rPr>
          <w:rFonts w:ascii="Times New Roman" w:eastAsia="Times New Roman" w:hAnsi="Times New Roman"/>
          <w:b/>
          <w:sz w:val="28"/>
          <w:szCs w:val="28"/>
          <w:lang w:eastAsia="ru-RU"/>
        </w:rPr>
        <w:t>минеральную плотность кости</w:t>
      </w:r>
    </w:p>
    <w:p w:rsidR="002230F3" w:rsidRPr="009114DF" w:rsidRDefault="002230F3" w:rsidP="002230F3">
      <w:pPr>
        <w:pStyle w:val="ad"/>
        <w:spacing w:after="0" w:line="360" w:lineRule="auto"/>
        <w:ind w:left="1425"/>
        <w:jc w:val="both"/>
        <w:rPr>
          <w:rFonts w:ascii="Times New Roman" w:eastAsia="Times New Roman" w:hAnsi="Times New Roman"/>
          <w:b/>
          <w:sz w:val="28"/>
          <w:szCs w:val="28"/>
          <w:lang w:eastAsia="ru-RU"/>
        </w:rPr>
      </w:pPr>
    </w:p>
    <w:p w:rsidR="002049BF" w:rsidRPr="009114DF" w:rsidRDefault="00CF7FBB" w:rsidP="002049BF">
      <w:pPr>
        <w:spacing w:after="0" w:line="360" w:lineRule="auto"/>
        <w:ind w:firstLine="663"/>
        <w:contextualSpacing/>
        <w:jc w:val="both"/>
        <w:rPr>
          <w:rFonts w:ascii="Times New Roman" w:hAnsi="Times New Roman"/>
          <w:kern w:val="2"/>
          <w:sz w:val="28"/>
          <w:szCs w:val="28"/>
          <w:lang w:eastAsia="ko-KR"/>
        </w:rPr>
      </w:pPr>
      <w:r w:rsidRPr="009114DF">
        <w:rPr>
          <w:rFonts w:ascii="Times New Roman" w:hAnsi="Times New Roman"/>
          <w:kern w:val="2"/>
          <w:sz w:val="28"/>
          <w:szCs w:val="28"/>
          <w:lang w:eastAsia="ko-KR"/>
        </w:rPr>
        <w:t>Современные принципы терапии</w:t>
      </w:r>
      <w:r w:rsidR="002049BF" w:rsidRPr="009114DF">
        <w:rPr>
          <w:rFonts w:ascii="Times New Roman" w:hAnsi="Times New Roman"/>
          <w:kern w:val="2"/>
          <w:sz w:val="28"/>
          <w:szCs w:val="28"/>
          <w:lang w:eastAsia="ko-KR"/>
        </w:rPr>
        <w:t xml:space="preserve"> РА предусматривают максимально </w:t>
      </w:r>
      <w:r w:rsidRPr="009114DF">
        <w:rPr>
          <w:rFonts w:ascii="Times New Roman" w:hAnsi="Times New Roman"/>
          <w:kern w:val="2"/>
          <w:sz w:val="28"/>
          <w:szCs w:val="28"/>
          <w:lang w:eastAsia="ko-KR"/>
        </w:rPr>
        <w:t xml:space="preserve">раннее назначение базисных противовоспалительных препаратов, широкое использование их комбинаций, своевременную смену препаратов при отсутствии эффекта от проводимой терапии. </w:t>
      </w:r>
    </w:p>
    <w:p w:rsidR="00CF7FBB" w:rsidRPr="009114DF" w:rsidRDefault="00CF7FBB" w:rsidP="00F71B34">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К базисным противовоспалительным препаратам относят группу различных по химической структуре лекарственных средств, объединенных способностью «модифицировать» течение РА, приводя к стойкому снижению активности заболевания и замедлению темпов рентг</w:t>
      </w:r>
      <w:r w:rsidR="00D7471A" w:rsidRPr="009114DF">
        <w:rPr>
          <w:rFonts w:ascii="Times New Roman" w:hAnsi="Times New Roman"/>
          <w:kern w:val="2"/>
          <w:sz w:val="28"/>
          <w:szCs w:val="28"/>
          <w:lang w:eastAsia="ko-KR"/>
        </w:rPr>
        <w:t>енологического прогрессирования и</w:t>
      </w:r>
      <w:r w:rsidRPr="009114DF">
        <w:rPr>
          <w:rFonts w:ascii="Times New Roman" w:hAnsi="Times New Roman"/>
          <w:kern w:val="2"/>
          <w:sz w:val="28"/>
          <w:szCs w:val="28"/>
          <w:lang w:eastAsia="ko-KR"/>
        </w:rPr>
        <w:t xml:space="preserve"> достижению</w:t>
      </w:r>
      <w:r w:rsidR="00D7471A" w:rsidRPr="009114DF">
        <w:rPr>
          <w:rFonts w:ascii="Times New Roman" w:hAnsi="Times New Roman"/>
          <w:kern w:val="2"/>
          <w:sz w:val="28"/>
          <w:szCs w:val="28"/>
          <w:lang w:eastAsia="ko-KR"/>
        </w:rPr>
        <w:t xml:space="preserve"> клинико-лабораторной ремиссии. </w:t>
      </w:r>
      <w:r w:rsidRPr="009114DF">
        <w:rPr>
          <w:rFonts w:ascii="Times New Roman" w:hAnsi="Times New Roman"/>
          <w:kern w:val="2"/>
          <w:sz w:val="28"/>
          <w:szCs w:val="28"/>
          <w:lang w:eastAsia="ko-KR"/>
        </w:rPr>
        <w:t xml:space="preserve">Эффективность БПВП зависит от многих факторов, к которым относятся выбор основного препарата, дозовый режим, сроки начала терапии. </w:t>
      </w:r>
    </w:p>
    <w:p w:rsidR="00CF7FBB" w:rsidRPr="009114DF" w:rsidRDefault="00CF7FBB" w:rsidP="00F71B34">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Сегодня золотым стандартом базисной терапии считается метотрексат </w:t>
      </w:r>
      <w:r w:rsidR="00BA59B7" w:rsidRPr="009114DF">
        <w:rPr>
          <w:rFonts w:ascii="Times New Roman" w:hAnsi="Times New Roman"/>
          <w:kern w:val="2"/>
          <w:sz w:val="28"/>
          <w:szCs w:val="28"/>
          <w:lang w:eastAsia="ko-KR"/>
        </w:rPr>
        <w:t xml:space="preserve">(МТХ) </w:t>
      </w:r>
      <w:r w:rsidR="00B435B9" w:rsidRPr="009114DF">
        <w:rPr>
          <w:rFonts w:ascii="Times New Roman" w:hAnsi="Times New Roman"/>
          <w:kern w:val="2"/>
          <w:sz w:val="28"/>
          <w:szCs w:val="28"/>
          <w:lang w:eastAsia="ko-KR"/>
        </w:rPr>
        <w:t>[48</w:t>
      </w:r>
      <w:r w:rsidR="004348B3"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w:t>
      </w:r>
    </w:p>
    <w:p w:rsidR="00CF7FBB" w:rsidRPr="009114DF" w:rsidRDefault="00CF7FBB" w:rsidP="00F71B34">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М</w:t>
      </w:r>
      <w:r w:rsidR="00BA59B7" w:rsidRPr="009114DF">
        <w:rPr>
          <w:rFonts w:ascii="Times New Roman" w:hAnsi="Times New Roman"/>
          <w:kern w:val="2"/>
          <w:sz w:val="28"/>
          <w:szCs w:val="28"/>
          <w:lang w:eastAsia="ko-KR"/>
        </w:rPr>
        <w:t>ТХ</w:t>
      </w:r>
      <w:r w:rsidRPr="009114DF">
        <w:rPr>
          <w:rFonts w:ascii="Times New Roman" w:hAnsi="Times New Roman"/>
          <w:kern w:val="2"/>
          <w:sz w:val="28"/>
          <w:szCs w:val="28"/>
          <w:lang w:eastAsia="ko-KR"/>
        </w:rPr>
        <w:t xml:space="preserve"> относится к группе антиметаболитов и по структуре напоминает фолиевую (птироглютаминовую) кислоту </w:t>
      </w:r>
      <w:r w:rsidR="004348B3" w:rsidRPr="009114DF">
        <w:rPr>
          <w:rFonts w:ascii="Times New Roman" w:hAnsi="Times New Roman"/>
          <w:kern w:val="2"/>
          <w:sz w:val="28"/>
          <w:szCs w:val="28"/>
          <w:lang w:eastAsia="ko-KR"/>
        </w:rPr>
        <w:t>[</w:t>
      </w:r>
      <w:r w:rsidR="00243567" w:rsidRPr="009114DF">
        <w:rPr>
          <w:rFonts w:ascii="Times New Roman" w:hAnsi="Times New Roman"/>
          <w:kern w:val="2"/>
          <w:sz w:val="28"/>
          <w:szCs w:val="28"/>
          <w:lang w:eastAsia="ko-KR"/>
        </w:rPr>
        <w:t>127</w:t>
      </w:r>
      <w:r w:rsidR="004348B3"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Основным фармакологическим эффектом МТ</w:t>
      </w:r>
      <w:r w:rsidR="00BA59B7" w:rsidRPr="009114DF">
        <w:rPr>
          <w:rFonts w:ascii="Times New Roman" w:hAnsi="Times New Roman"/>
          <w:kern w:val="2"/>
          <w:sz w:val="28"/>
          <w:szCs w:val="28"/>
          <w:lang w:eastAsia="ko-KR"/>
        </w:rPr>
        <w:t>Х</w:t>
      </w:r>
      <w:r w:rsidRPr="009114DF">
        <w:rPr>
          <w:rFonts w:ascii="Times New Roman" w:hAnsi="Times New Roman"/>
          <w:kern w:val="2"/>
          <w:sz w:val="28"/>
          <w:szCs w:val="28"/>
          <w:lang w:eastAsia="ko-KR"/>
        </w:rPr>
        <w:t xml:space="preserve"> является инактивация фермента дегидрофолатредуктазы, что приводит к истощению запасов внутриклеточных фолат</w:t>
      </w:r>
      <w:r w:rsidR="004348B3" w:rsidRPr="009114DF">
        <w:rPr>
          <w:rFonts w:ascii="Times New Roman" w:hAnsi="Times New Roman"/>
          <w:kern w:val="2"/>
          <w:sz w:val="28"/>
          <w:szCs w:val="28"/>
          <w:lang w:eastAsia="ko-KR"/>
        </w:rPr>
        <w:t>ов, необходимых для синтеза ДНК.</w:t>
      </w:r>
      <w:r w:rsidRPr="009114DF">
        <w:rPr>
          <w:rFonts w:ascii="Times New Roman" w:hAnsi="Times New Roman"/>
          <w:kern w:val="2"/>
          <w:sz w:val="28"/>
          <w:szCs w:val="28"/>
          <w:lang w:eastAsia="ko-KR"/>
        </w:rPr>
        <w:t xml:space="preserve"> Противовоспалительная активность низких доз МТ</w:t>
      </w:r>
      <w:r w:rsidR="00BA59B7" w:rsidRPr="009114DF">
        <w:rPr>
          <w:rFonts w:ascii="Times New Roman" w:hAnsi="Times New Roman"/>
          <w:kern w:val="2"/>
          <w:sz w:val="28"/>
          <w:szCs w:val="28"/>
          <w:lang w:eastAsia="ko-KR"/>
        </w:rPr>
        <w:t>Х</w:t>
      </w:r>
      <w:r w:rsidRPr="009114DF">
        <w:rPr>
          <w:rFonts w:ascii="Times New Roman" w:hAnsi="Times New Roman"/>
          <w:kern w:val="2"/>
          <w:sz w:val="28"/>
          <w:szCs w:val="28"/>
          <w:lang w:eastAsia="ko-KR"/>
        </w:rPr>
        <w:t xml:space="preserve"> реализуется за счет метаболитов, которые обладают способностью индуцировать образование мощного эндогенного антивоспалительн</w:t>
      </w:r>
      <w:r w:rsidR="004348B3" w:rsidRPr="009114DF">
        <w:rPr>
          <w:rFonts w:ascii="Times New Roman" w:hAnsi="Times New Roman"/>
          <w:kern w:val="2"/>
          <w:sz w:val="28"/>
          <w:szCs w:val="28"/>
          <w:lang w:eastAsia="ko-KR"/>
        </w:rPr>
        <w:t>ого медиатора</w:t>
      </w:r>
      <w:r w:rsidR="00CD2EDC" w:rsidRPr="009114DF">
        <w:rPr>
          <w:rFonts w:ascii="Times New Roman" w:hAnsi="Times New Roman"/>
          <w:kern w:val="2"/>
          <w:sz w:val="28"/>
          <w:szCs w:val="28"/>
          <w:lang w:eastAsia="ko-KR"/>
        </w:rPr>
        <w:t xml:space="preserve"> – </w:t>
      </w:r>
      <w:r w:rsidR="004348B3" w:rsidRPr="009114DF">
        <w:rPr>
          <w:rFonts w:ascii="Times New Roman" w:hAnsi="Times New Roman"/>
          <w:kern w:val="2"/>
          <w:sz w:val="28"/>
          <w:szCs w:val="28"/>
          <w:lang w:eastAsia="ko-KR"/>
        </w:rPr>
        <w:t>аденозина</w:t>
      </w:r>
      <w:r w:rsidRPr="009114DF">
        <w:rPr>
          <w:rFonts w:ascii="Times New Roman" w:hAnsi="Times New Roman"/>
          <w:kern w:val="2"/>
          <w:sz w:val="28"/>
          <w:szCs w:val="28"/>
          <w:lang w:eastAsia="ko-KR"/>
        </w:rPr>
        <w:t>. К аденозин-зависимым эффектам МТ</w:t>
      </w:r>
      <w:r w:rsidR="00BA59B7" w:rsidRPr="009114DF">
        <w:rPr>
          <w:rFonts w:ascii="Times New Roman" w:hAnsi="Times New Roman"/>
          <w:kern w:val="2"/>
          <w:sz w:val="28"/>
          <w:szCs w:val="28"/>
          <w:lang w:eastAsia="ko-KR"/>
        </w:rPr>
        <w:t>Х</w:t>
      </w:r>
      <w:r w:rsidRPr="009114DF">
        <w:rPr>
          <w:rFonts w:ascii="Times New Roman" w:hAnsi="Times New Roman"/>
          <w:kern w:val="2"/>
          <w:sz w:val="28"/>
          <w:szCs w:val="28"/>
          <w:lang w:eastAsia="ko-KR"/>
        </w:rPr>
        <w:t xml:space="preserve"> относят ингибирование хемотаксических агентов, фактора роста синовиальных фибробластов, лейкоцитарного фактора адгезии и </w:t>
      </w:r>
      <w:r w:rsidRPr="009114DF">
        <w:rPr>
          <w:rFonts w:ascii="Times New Roman" w:hAnsi="Times New Roman"/>
          <w:kern w:val="2"/>
          <w:sz w:val="28"/>
          <w:szCs w:val="28"/>
          <w:lang w:eastAsia="ko-KR"/>
        </w:rPr>
        <w:lastRenderedPageBreak/>
        <w:t>миграции иммунокомпетентных клеток через посткапиллярны</w:t>
      </w:r>
      <w:r w:rsidR="004348B3" w:rsidRPr="009114DF">
        <w:rPr>
          <w:rFonts w:ascii="Times New Roman" w:hAnsi="Times New Roman"/>
          <w:kern w:val="2"/>
          <w:sz w:val="28"/>
          <w:szCs w:val="28"/>
          <w:lang w:eastAsia="ko-KR"/>
        </w:rPr>
        <w:t>е венулы в зону воспаления и др.</w:t>
      </w:r>
      <w:r w:rsidRPr="009114DF">
        <w:rPr>
          <w:rFonts w:ascii="Times New Roman" w:hAnsi="Times New Roman"/>
          <w:kern w:val="2"/>
          <w:sz w:val="28"/>
          <w:szCs w:val="28"/>
          <w:lang w:eastAsia="ko-KR"/>
        </w:rPr>
        <w:t xml:space="preserve"> </w:t>
      </w:r>
      <w:r w:rsidR="004348B3" w:rsidRPr="009114DF">
        <w:rPr>
          <w:rFonts w:ascii="Times New Roman" w:hAnsi="Times New Roman"/>
          <w:kern w:val="2"/>
          <w:sz w:val="28"/>
          <w:szCs w:val="28"/>
          <w:lang w:eastAsia="ko-KR"/>
        </w:rPr>
        <w:t>[</w:t>
      </w:r>
      <w:r w:rsidR="00041E69" w:rsidRPr="009114DF">
        <w:rPr>
          <w:rFonts w:ascii="Times New Roman" w:hAnsi="Times New Roman"/>
          <w:kern w:val="2"/>
          <w:sz w:val="28"/>
          <w:szCs w:val="28"/>
          <w:lang w:val="en-US" w:eastAsia="ko-KR"/>
        </w:rPr>
        <w:t>100</w:t>
      </w:r>
      <w:r w:rsidR="004348B3" w:rsidRPr="009114DF">
        <w:rPr>
          <w:rFonts w:ascii="Times New Roman" w:hAnsi="Times New Roman"/>
          <w:kern w:val="2"/>
          <w:sz w:val="28"/>
          <w:szCs w:val="28"/>
          <w:lang w:eastAsia="ko-KR"/>
        </w:rPr>
        <w:t>].</w:t>
      </w:r>
    </w:p>
    <w:p w:rsidR="00CF7FBB" w:rsidRPr="009114DF" w:rsidRDefault="00BA59B7" w:rsidP="00F71B34">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обладает способностью подавлять синтез одного из ключевых провоспалительных цитокинов </w:t>
      </w:r>
      <w:r w:rsidR="006444BF"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ИЛ-1, а также ингибировать его связывание с соответствующим рецептором, что создает условия для торможения активации Т-хел</w:t>
      </w:r>
      <w:r w:rsidR="004348B3" w:rsidRPr="009114DF">
        <w:rPr>
          <w:rFonts w:ascii="Times New Roman" w:hAnsi="Times New Roman"/>
          <w:kern w:val="2"/>
          <w:sz w:val="28"/>
          <w:szCs w:val="28"/>
          <w:lang w:eastAsia="ko-KR"/>
        </w:rPr>
        <w:t>перов 1-го типа</w:t>
      </w:r>
      <w:r w:rsidR="00CF7FBB" w:rsidRPr="009114DF">
        <w:rPr>
          <w:rFonts w:ascii="Times New Roman" w:hAnsi="Times New Roman"/>
          <w:kern w:val="2"/>
          <w:sz w:val="28"/>
          <w:szCs w:val="28"/>
          <w:lang w:eastAsia="ko-KR"/>
        </w:rPr>
        <w:t xml:space="preserve">. Другая важная точка приложения </w:t>
      </w:r>
      <w:r w:rsidRPr="009114DF">
        <w:rPr>
          <w:rFonts w:ascii="Times New Roman" w:hAnsi="Times New Roman"/>
          <w:kern w:val="2"/>
          <w:sz w:val="28"/>
          <w:szCs w:val="28"/>
          <w:lang w:eastAsia="ko-KR"/>
        </w:rPr>
        <w:t>МТХ</w:t>
      </w:r>
      <w:r w:rsidR="00CD2EDC" w:rsidRPr="009114DF">
        <w:rPr>
          <w:rFonts w:ascii="Times New Roman" w:hAnsi="Times New Roman"/>
          <w:kern w:val="2"/>
          <w:sz w:val="28"/>
          <w:szCs w:val="28"/>
          <w:lang w:eastAsia="ko-KR"/>
        </w:rPr>
        <w:t xml:space="preserve"> – </w:t>
      </w:r>
      <w:r w:rsidR="00CF7FBB" w:rsidRPr="009114DF">
        <w:rPr>
          <w:rFonts w:ascii="Times New Roman" w:hAnsi="Times New Roman"/>
          <w:kern w:val="2"/>
          <w:sz w:val="28"/>
          <w:szCs w:val="28"/>
          <w:lang w:eastAsia="ko-KR"/>
        </w:rPr>
        <w:t>подавление экспрессии ФНО-</w:t>
      </w:r>
      <w:r w:rsidR="006444BF" w:rsidRPr="009114DF">
        <w:rPr>
          <w:rFonts w:ascii="Times New Roman" w:hAnsi="Times New Roman"/>
          <w:kern w:val="2"/>
          <w:sz w:val="28"/>
          <w:szCs w:val="28"/>
          <w:lang w:eastAsia="ko-KR"/>
        </w:rPr>
        <w:t>α</w:t>
      </w:r>
      <w:r w:rsidR="00CF7FBB" w:rsidRPr="009114DF">
        <w:rPr>
          <w:rFonts w:ascii="Times New Roman" w:hAnsi="Times New Roman"/>
          <w:kern w:val="2"/>
          <w:sz w:val="28"/>
          <w:szCs w:val="28"/>
          <w:lang w:eastAsia="ko-KR"/>
        </w:rPr>
        <w:t xml:space="preserve"> </w:t>
      </w:r>
      <w:r w:rsidR="00B435B9" w:rsidRPr="009114DF">
        <w:rPr>
          <w:rFonts w:ascii="Times New Roman" w:hAnsi="Times New Roman"/>
          <w:kern w:val="2"/>
          <w:sz w:val="28"/>
          <w:szCs w:val="28"/>
          <w:lang w:eastAsia="ko-KR"/>
        </w:rPr>
        <w:t>[</w:t>
      </w:r>
      <w:r w:rsidR="00266791" w:rsidRPr="009114DF">
        <w:rPr>
          <w:rFonts w:ascii="Times New Roman" w:hAnsi="Times New Roman"/>
          <w:kern w:val="2"/>
          <w:sz w:val="28"/>
          <w:szCs w:val="28"/>
          <w:lang w:eastAsia="ko-KR"/>
        </w:rPr>
        <w:t>132</w:t>
      </w:r>
      <w:r w:rsidR="00DB41BD" w:rsidRPr="009114DF">
        <w:rPr>
          <w:rFonts w:ascii="Times New Roman" w:hAnsi="Times New Roman"/>
          <w:kern w:val="2"/>
          <w:sz w:val="28"/>
          <w:szCs w:val="28"/>
          <w:lang w:eastAsia="ko-KR"/>
        </w:rPr>
        <w:t>]</w:t>
      </w:r>
      <w:r w:rsidR="004348B3"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 xml:space="preserve">По данным ряда авторов, на фоне лечения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наблюдается снижение экспрессии ФН</w:t>
      </w:r>
      <w:proofErr w:type="gramStart"/>
      <w:r w:rsidR="00CF7FBB" w:rsidRPr="009114DF">
        <w:rPr>
          <w:rFonts w:ascii="Times New Roman" w:hAnsi="Times New Roman"/>
          <w:kern w:val="2"/>
          <w:sz w:val="28"/>
          <w:szCs w:val="28"/>
          <w:lang w:eastAsia="ko-KR"/>
        </w:rPr>
        <w:t>О-</w:t>
      </w:r>
      <w:proofErr w:type="gramEnd"/>
      <w:r w:rsidR="002D5B97" w:rsidRPr="009114DF">
        <w:rPr>
          <w:rFonts w:ascii="Times New Roman" w:hAnsi="Times New Roman"/>
          <w:kern w:val="2"/>
          <w:sz w:val="28"/>
          <w:szCs w:val="28"/>
          <w:lang w:eastAsia="ko-KR"/>
        </w:rPr>
        <w:t>α</w:t>
      </w:r>
      <w:r w:rsidR="00CF7FBB" w:rsidRPr="009114DF">
        <w:rPr>
          <w:rFonts w:ascii="Times New Roman" w:hAnsi="Times New Roman"/>
          <w:kern w:val="2"/>
          <w:sz w:val="28"/>
          <w:szCs w:val="28"/>
          <w:lang w:eastAsia="ko-KR"/>
        </w:rPr>
        <w:t xml:space="preserve"> и ИЛ-1 в синовиальной ткани, полученной от пациентов с PA </w:t>
      </w:r>
      <w:r w:rsidR="00DB41BD" w:rsidRPr="009114DF">
        <w:rPr>
          <w:rFonts w:ascii="Times New Roman" w:hAnsi="Times New Roman"/>
          <w:kern w:val="2"/>
          <w:sz w:val="28"/>
          <w:szCs w:val="28"/>
          <w:lang w:eastAsia="ko-KR"/>
        </w:rPr>
        <w:t>[</w:t>
      </w:r>
      <w:r w:rsidR="00A05647" w:rsidRPr="009114DF">
        <w:rPr>
          <w:rFonts w:ascii="Times New Roman" w:hAnsi="Times New Roman"/>
          <w:kern w:val="2"/>
          <w:sz w:val="28"/>
          <w:szCs w:val="28"/>
          <w:lang w:eastAsia="ko-KR"/>
        </w:rPr>
        <w:t>110</w:t>
      </w:r>
      <w:r w:rsidR="00F6227E" w:rsidRPr="009114DF">
        <w:rPr>
          <w:rFonts w:ascii="Times New Roman" w:hAnsi="Times New Roman"/>
          <w:kern w:val="2"/>
          <w:sz w:val="28"/>
          <w:szCs w:val="28"/>
          <w:lang w:eastAsia="ko-KR"/>
        </w:rPr>
        <w:t xml:space="preserve">, </w:t>
      </w:r>
      <w:r w:rsidR="00BD6504" w:rsidRPr="009114DF">
        <w:rPr>
          <w:rFonts w:ascii="Times New Roman" w:hAnsi="Times New Roman"/>
          <w:kern w:val="2"/>
          <w:sz w:val="28"/>
          <w:szCs w:val="28"/>
          <w:lang w:eastAsia="ko-KR"/>
        </w:rPr>
        <w:t>149</w:t>
      </w:r>
      <w:r w:rsidR="00DB41BD"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Таким образом,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обладает очевидной иммуномодулирующей активностью, подавляя синтез провоспалительных и стимулируя продукцию </w:t>
      </w:r>
      <w:proofErr w:type="gramStart"/>
      <w:r w:rsidR="00CF7FBB" w:rsidRPr="009114DF">
        <w:rPr>
          <w:rFonts w:ascii="Times New Roman" w:hAnsi="Times New Roman"/>
          <w:kern w:val="2"/>
          <w:sz w:val="28"/>
          <w:szCs w:val="28"/>
          <w:lang w:eastAsia="ko-KR"/>
        </w:rPr>
        <w:t>противо</w:t>
      </w:r>
      <w:r w:rsidR="00DB41BD" w:rsidRPr="009114DF">
        <w:rPr>
          <w:rFonts w:ascii="Times New Roman" w:hAnsi="Times New Roman"/>
          <w:kern w:val="2"/>
          <w:sz w:val="28"/>
          <w:szCs w:val="28"/>
          <w:lang w:eastAsia="ko-KR"/>
        </w:rPr>
        <w:t>воспалительных</w:t>
      </w:r>
      <w:proofErr w:type="gramEnd"/>
      <w:r w:rsidR="00DB41BD" w:rsidRPr="009114DF">
        <w:rPr>
          <w:rFonts w:ascii="Times New Roman" w:hAnsi="Times New Roman"/>
          <w:kern w:val="2"/>
          <w:sz w:val="28"/>
          <w:szCs w:val="28"/>
          <w:lang w:eastAsia="ko-KR"/>
        </w:rPr>
        <w:t xml:space="preserve"> цитокинов</w:t>
      </w:r>
      <w:r w:rsidR="00CF7FBB" w:rsidRPr="009114DF">
        <w:rPr>
          <w:rFonts w:ascii="Times New Roman" w:hAnsi="Times New Roman"/>
          <w:kern w:val="2"/>
          <w:sz w:val="28"/>
          <w:szCs w:val="28"/>
          <w:lang w:eastAsia="ko-KR"/>
        </w:rPr>
        <w:t xml:space="preserve">. На основании многолетнего опыта можно считать, что внедрение в клиническую практику терапии низкими дозами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является важнейшим достижением в лечении РА. Метаанализ результатов плацебоконтролируемых исследований и данных о применении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в течение многих лет подтверждает это положение </w:t>
      </w:r>
      <w:r w:rsidR="000330BC" w:rsidRPr="009114DF">
        <w:rPr>
          <w:rFonts w:ascii="Times New Roman" w:hAnsi="Times New Roman"/>
          <w:kern w:val="2"/>
          <w:sz w:val="28"/>
          <w:szCs w:val="28"/>
          <w:lang w:eastAsia="ko-KR"/>
        </w:rPr>
        <w:t>[</w:t>
      </w:r>
      <w:r w:rsidR="0079721D" w:rsidRPr="009114DF">
        <w:rPr>
          <w:rFonts w:ascii="Times New Roman" w:hAnsi="Times New Roman"/>
          <w:kern w:val="2"/>
          <w:sz w:val="28"/>
          <w:szCs w:val="28"/>
          <w:lang w:eastAsia="ko-KR"/>
        </w:rPr>
        <w:t>2</w:t>
      </w:r>
      <w:r w:rsidR="000330BC" w:rsidRPr="009114DF">
        <w:rPr>
          <w:rFonts w:ascii="Times New Roman" w:hAnsi="Times New Roman"/>
          <w:kern w:val="2"/>
          <w:sz w:val="28"/>
          <w:szCs w:val="28"/>
          <w:lang w:eastAsia="ko-KR"/>
        </w:rPr>
        <w:t>2,</w:t>
      </w:r>
      <w:r w:rsidR="002D5B97" w:rsidRPr="009114DF">
        <w:rPr>
          <w:rFonts w:ascii="Times New Roman" w:hAnsi="Times New Roman"/>
          <w:kern w:val="2"/>
          <w:sz w:val="28"/>
          <w:szCs w:val="28"/>
          <w:lang w:eastAsia="ko-KR"/>
        </w:rPr>
        <w:t xml:space="preserve"> </w:t>
      </w:r>
      <w:r w:rsidR="000330BC" w:rsidRPr="009114DF">
        <w:rPr>
          <w:rFonts w:ascii="Times New Roman" w:hAnsi="Times New Roman"/>
          <w:kern w:val="2"/>
          <w:sz w:val="28"/>
          <w:szCs w:val="28"/>
          <w:lang w:eastAsia="ko-KR"/>
        </w:rPr>
        <w:t>49</w:t>
      </w:r>
      <w:r w:rsidR="0079721D"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 xml:space="preserve">К важнейшим параметрам болезнь-модифицирующих препаратов, в том числе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относится их влияние на прогрессирование дестру</w:t>
      </w:r>
      <w:r w:rsidR="0079721D" w:rsidRPr="009114DF">
        <w:rPr>
          <w:rFonts w:ascii="Times New Roman" w:hAnsi="Times New Roman"/>
          <w:kern w:val="2"/>
          <w:sz w:val="28"/>
          <w:szCs w:val="28"/>
          <w:lang w:eastAsia="ko-KR"/>
        </w:rPr>
        <w:t>кции суставов</w:t>
      </w:r>
      <w:r w:rsidR="00CF7FBB" w:rsidRPr="009114DF">
        <w:rPr>
          <w:rFonts w:ascii="Times New Roman" w:hAnsi="Times New Roman"/>
          <w:kern w:val="2"/>
          <w:sz w:val="28"/>
          <w:szCs w:val="28"/>
          <w:lang w:eastAsia="ko-KR"/>
        </w:rPr>
        <w:t xml:space="preserve">, которое коррелирует со степенью инвалидизации больных PA </w:t>
      </w:r>
      <w:r w:rsidR="0079721D" w:rsidRPr="009114DF">
        <w:rPr>
          <w:rFonts w:ascii="Times New Roman" w:hAnsi="Times New Roman"/>
          <w:kern w:val="2"/>
          <w:sz w:val="28"/>
          <w:szCs w:val="28"/>
          <w:lang w:eastAsia="ko-KR"/>
        </w:rPr>
        <w:t>[</w:t>
      </w:r>
      <w:r w:rsidR="0004338D" w:rsidRPr="009114DF">
        <w:rPr>
          <w:rFonts w:ascii="Times New Roman" w:hAnsi="Times New Roman"/>
          <w:kern w:val="2"/>
          <w:sz w:val="28"/>
          <w:szCs w:val="28"/>
          <w:lang w:eastAsia="ko-KR"/>
        </w:rPr>
        <w:t>178</w:t>
      </w:r>
      <w:r w:rsidR="0079721D"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В многочисленных исследованиях показана способность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существенно </w:t>
      </w:r>
      <w:proofErr w:type="gramStart"/>
      <w:r w:rsidR="00CF7FBB" w:rsidRPr="009114DF">
        <w:rPr>
          <w:rFonts w:ascii="Times New Roman" w:hAnsi="Times New Roman"/>
          <w:kern w:val="2"/>
          <w:sz w:val="28"/>
          <w:szCs w:val="28"/>
          <w:lang w:eastAsia="ko-KR"/>
        </w:rPr>
        <w:t>замедлять</w:t>
      </w:r>
      <w:proofErr w:type="gramEnd"/>
      <w:r w:rsidR="00CF7FBB" w:rsidRPr="009114DF">
        <w:rPr>
          <w:rFonts w:ascii="Times New Roman" w:hAnsi="Times New Roman"/>
          <w:kern w:val="2"/>
          <w:sz w:val="28"/>
          <w:szCs w:val="28"/>
          <w:lang w:eastAsia="ko-KR"/>
        </w:rPr>
        <w:t xml:space="preserve"> прогрессирование деструкции суставов по сравнению с препаратами золота, азатиоприном и другими БПВП. Так, в исследованиях</w:t>
      </w:r>
      <w:r w:rsidR="002D5B97" w:rsidRPr="009114DF">
        <w:rPr>
          <w:rFonts w:ascii="Times New Roman" w:hAnsi="Times New Roman"/>
          <w:kern w:val="2"/>
          <w:sz w:val="28"/>
          <w:szCs w:val="28"/>
          <w:lang w:eastAsia="ko-KR"/>
        </w:rPr>
        <w:br/>
      </w:r>
      <w:r w:rsidR="00CF7FBB" w:rsidRPr="009114DF">
        <w:rPr>
          <w:rFonts w:ascii="Times New Roman" w:hAnsi="Times New Roman"/>
          <w:kern w:val="2"/>
          <w:sz w:val="28"/>
          <w:szCs w:val="28"/>
          <w:lang w:eastAsia="ko-KR"/>
        </w:rPr>
        <w:t xml:space="preserve">М. Е. Weinblatt и соавт. </w:t>
      </w:r>
      <w:r w:rsidR="00470ACA" w:rsidRPr="009114DF">
        <w:rPr>
          <w:rFonts w:ascii="Times New Roman" w:hAnsi="Times New Roman"/>
          <w:kern w:val="2"/>
          <w:sz w:val="28"/>
          <w:szCs w:val="28"/>
          <w:lang w:eastAsia="ko-KR"/>
        </w:rPr>
        <w:t>[</w:t>
      </w:r>
      <w:r w:rsidR="00EC4BD2" w:rsidRPr="009114DF">
        <w:rPr>
          <w:rFonts w:ascii="Times New Roman" w:hAnsi="Times New Roman"/>
          <w:kern w:val="2"/>
          <w:sz w:val="28"/>
          <w:szCs w:val="28"/>
          <w:lang w:eastAsia="ko-KR"/>
        </w:rPr>
        <w:t>207</w:t>
      </w:r>
      <w:r w:rsidR="00470ACA"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 xml:space="preserve">проводилось динамическое наблюдение за пациентами, получавшими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в качестве монотерапии в течение</w:t>
      </w:r>
      <w:r w:rsidR="002D5B97" w:rsidRPr="009114DF">
        <w:rPr>
          <w:rFonts w:ascii="Times New Roman" w:hAnsi="Times New Roman"/>
          <w:kern w:val="2"/>
          <w:sz w:val="28"/>
          <w:szCs w:val="28"/>
          <w:lang w:eastAsia="ko-KR"/>
        </w:rPr>
        <w:br/>
      </w:r>
      <w:r w:rsidR="00CF7FBB" w:rsidRPr="009114DF">
        <w:rPr>
          <w:rFonts w:ascii="Times New Roman" w:hAnsi="Times New Roman"/>
          <w:kern w:val="2"/>
          <w:sz w:val="28"/>
          <w:szCs w:val="28"/>
          <w:lang w:eastAsia="ko-KR"/>
        </w:rPr>
        <w:t>84 месяцев. У 20% обследованных отмечалось заживление эрозий, у 60% больных наблюдалось прогрессирование эрозивного процесса, у 20% пациентов количество эрозий не увеличивалось. В проспективной работе</w:t>
      </w:r>
      <w:r w:rsidR="002D5B97" w:rsidRPr="009114DF">
        <w:rPr>
          <w:rFonts w:ascii="Times New Roman" w:hAnsi="Times New Roman"/>
          <w:kern w:val="2"/>
          <w:sz w:val="28"/>
          <w:szCs w:val="28"/>
          <w:lang w:eastAsia="ko-KR"/>
        </w:rPr>
        <w:br/>
      </w:r>
      <w:r w:rsidR="00CF7FBB" w:rsidRPr="009114DF">
        <w:rPr>
          <w:rFonts w:ascii="Times New Roman" w:hAnsi="Times New Roman"/>
          <w:kern w:val="2"/>
          <w:sz w:val="28"/>
          <w:szCs w:val="28"/>
          <w:lang w:eastAsia="ko-KR"/>
        </w:rPr>
        <w:t xml:space="preserve">S. Reykdal и соавт. </w:t>
      </w:r>
      <w:r w:rsidR="00470ACA" w:rsidRPr="009114DF">
        <w:rPr>
          <w:rFonts w:ascii="Times New Roman" w:hAnsi="Times New Roman"/>
          <w:kern w:val="2"/>
          <w:sz w:val="28"/>
          <w:szCs w:val="28"/>
          <w:lang w:eastAsia="ko-KR"/>
        </w:rPr>
        <w:t>[</w:t>
      </w:r>
      <w:r w:rsidR="0004338D" w:rsidRPr="009114DF">
        <w:rPr>
          <w:rFonts w:ascii="Times New Roman" w:hAnsi="Times New Roman"/>
          <w:kern w:val="2"/>
          <w:sz w:val="28"/>
          <w:szCs w:val="28"/>
          <w:lang w:eastAsia="ko-KR"/>
        </w:rPr>
        <w:t>175</w:t>
      </w:r>
      <w:r w:rsidR="00470ACA"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 xml:space="preserve">у 8 из 15 пациентов с РА, получавших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выявлено замедление формирования эрозий в суставах. Более того,</w:t>
      </w:r>
      <w:r w:rsidR="002D5B97" w:rsidRPr="009114DF">
        <w:rPr>
          <w:rFonts w:ascii="Times New Roman" w:hAnsi="Times New Roman"/>
          <w:kern w:val="2"/>
          <w:sz w:val="28"/>
          <w:szCs w:val="28"/>
          <w:lang w:eastAsia="ko-KR"/>
        </w:rPr>
        <w:br/>
      </w:r>
      <w:r w:rsidR="00CF7FBB" w:rsidRPr="009114DF">
        <w:rPr>
          <w:rFonts w:ascii="Times New Roman" w:hAnsi="Times New Roman"/>
          <w:kern w:val="2"/>
          <w:sz w:val="28"/>
          <w:szCs w:val="28"/>
          <w:lang w:eastAsia="ko-KR"/>
        </w:rPr>
        <w:t xml:space="preserve">М. Maravic и соавт. </w:t>
      </w:r>
      <w:r w:rsidR="000330BC" w:rsidRPr="009114DF">
        <w:rPr>
          <w:rFonts w:ascii="Times New Roman" w:hAnsi="Times New Roman"/>
          <w:kern w:val="2"/>
          <w:sz w:val="28"/>
          <w:szCs w:val="28"/>
          <w:lang w:eastAsia="ko-KR"/>
        </w:rPr>
        <w:t>[</w:t>
      </w:r>
      <w:r w:rsidR="00957C16" w:rsidRPr="009114DF">
        <w:rPr>
          <w:rFonts w:ascii="Times New Roman" w:hAnsi="Times New Roman"/>
          <w:kern w:val="2"/>
          <w:sz w:val="28"/>
          <w:szCs w:val="28"/>
          <w:lang w:eastAsia="ko-KR"/>
        </w:rPr>
        <w:t>164</w:t>
      </w:r>
      <w:r w:rsidR="00470ACA"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 xml:space="preserve">показали, что у 23 из 29 больных РА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lastRenderedPageBreak/>
        <w:t xml:space="preserve">стабилизировал прогрессирование эрозивного процесса в течение одного года. В экспериментальных и клинических исследованиях доказано отсутствие отрицательного влияния малых доз </w:t>
      </w:r>
      <w:r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применяемых у пациентов для лечения РА, на риск развития ОП и частоту </w:t>
      </w:r>
      <w:r w:rsidR="0079721D" w:rsidRPr="009114DF">
        <w:rPr>
          <w:rFonts w:ascii="Times New Roman" w:hAnsi="Times New Roman"/>
          <w:kern w:val="2"/>
          <w:sz w:val="28"/>
          <w:szCs w:val="28"/>
          <w:lang w:eastAsia="ko-KR"/>
        </w:rPr>
        <w:t>малотравматических переломов [2</w:t>
      </w:r>
      <w:r w:rsidR="000330BC" w:rsidRPr="009114DF">
        <w:rPr>
          <w:rFonts w:ascii="Times New Roman" w:hAnsi="Times New Roman"/>
          <w:kern w:val="2"/>
          <w:sz w:val="28"/>
          <w:szCs w:val="28"/>
          <w:lang w:eastAsia="ko-KR"/>
        </w:rPr>
        <w:t>2</w:t>
      </w:r>
      <w:r w:rsidR="00CF7FBB" w:rsidRPr="009114DF">
        <w:rPr>
          <w:rFonts w:ascii="Times New Roman" w:hAnsi="Times New Roman"/>
          <w:kern w:val="2"/>
          <w:sz w:val="28"/>
          <w:szCs w:val="28"/>
          <w:lang w:eastAsia="ko-KR"/>
        </w:rPr>
        <w:t>].</w:t>
      </w:r>
    </w:p>
    <w:p w:rsidR="00CF7FBB" w:rsidRPr="009114DF" w:rsidRDefault="00573E04" w:rsidP="00F71B34">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К сожалению, </w:t>
      </w:r>
      <w:r w:rsidR="00CF7FBB" w:rsidRPr="009114DF">
        <w:rPr>
          <w:rFonts w:ascii="Times New Roman" w:hAnsi="Times New Roman"/>
          <w:kern w:val="2"/>
          <w:sz w:val="28"/>
          <w:szCs w:val="28"/>
          <w:lang w:eastAsia="ko-KR"/>
        </w:rPr>
        <w:t xml:space="preserve">многолетний </w:t>
      </w:r>
      <w:r w:rsidRPr="009114DF">
        <w:rPr>
          <w:rFonts w:ascii="Times New Roman" w:hAnsi="Times New Roman"/>
          <w:kern w:val="2"/>
          <w:sz w:val="28"/>
          <w:szCs w:val="28"/>
          <w:lang w:eastAsia="ko-KR"/>
        </w:rPr>
        <w:t>опыт</w:t>
      </w:r>
      <w:r w:rsidR="00CF7FBB" w:rsidRPr="009114DF">
        <w:rPr>
          <w:rFonts w:ascii="Times New Roman" w:hAnsi="Times New Roman"/>
          <w:kern w:val="2"/>
          <w:sz w:val="28"/>
          <w:szCs w:val="28"/>
          <w:lang w:eastAsia="ko-KR"/>
        </w:rPr>
        <w:t xml:space="preserve"> применения </w:t>
      </w:r>
      <w:r w:rsidRPr="009114DF">
        <w:rPr>
          <w:rFonts w:ascii="Times New Roman" w:hAnsi="Times New Roman"/>
          <w:kern w:val="2"/>
          <w:sz w:val="28"/>
          <w:szCs w:val="28"/>
          <w:lang w:eastAsia="ko-KR"/>
        </w:rPr>
        <w:t xml:space="preserve">синтетических базисных противовоспалительных </w:t>
      </w:r>
      <w:r w:rsidR="00CF7FBB" w:rsidRPr="009114DF">
        <w:rPr>
          <w:rFonts w:ascii="Times New Roman" w:hAnsi="Times New Roman"/>
          <w:kern w:val="2"/>
          <w:sz w:val="28"/>
          <w:szCs w:val="28"/>
          <w:lang w:eastAsia="ko-KR"/>
        </w:rPr>
        <w:t xml:space="preserve">препаратов </w:t>
      </w:r>
      <w:r w:rsidRPr="009114DF">
        <w:rPr>
          <w:rFonts w:ascii="Times New Roman" w:hAnsi="Times New Roman"/>
          <w:kern w:val="2"/>
          <w:sz w:val="28"/>
          <w:szCs w:val="28"/>
          <w:lang w:eastAsia="ko-KR"/>
        </w:rPr>
        <w:t>для лечения</w:t>
      </w:r>
      <w:r w:rsidR="00CF7FBB" w:rsidRPr="009114DF">
        <w:rPr>
          <w:rFonts w:ascii="Times New Roman" w:hAnsi="Times New Roman"/>
          <w:kern w:val="2"/>
          <w:sz w:val="28"/>
          <w:szCs w:val="28"/>
          <w:lang w:eastAsia="ko-KR"/>
        </w:rPr>
        <w:t xml:space="preserve"> РА, многочисленные </w:t>
      </w:r>
      <w:r w:rsidRPr="009114DF">
        <w:rPr>
          <w:rFonts w:ascii="Times New Roman" w:hAnsi="Times New Roman"/>
          <w:kern w:val="2"/>
          <w:sz w:val="28"/>
          <w:szCs w:val="28"/>
          <w:lang w:eastAsia="ko-KR"/>
        </w:rPr>
        <w:t xml:space="preserve">рандомизированные плацебо-контролируемые </w:t>
      </w:r>
      <w:r w:rsidR="00CF7FBB" w:rsidRPr="009114DF">
        <w:rPr>
          <w:rFonts w:ascii="Times New Roman" w:hAnsi="Times New Roman"/>
          <w:kern w:val="2"/>
          <w:sz w:val="28"/>
          <w:szCs w:val="28"/>
          <w:lang w:eastAsia="ko-KR"/>
        </w:rPr>
        <w:t>исследования</w:t>
      </w:r>
      <w:r w:rsidRPr="009114DF">
        <w:rPr>
          <w:rFonts w:ascii="Times New Roman" w:hAnsi="Times New Roman"/>
          <w:kern w:val="2"/>
          <w:sz w:val="28"/>
          <w:szCs w:val="28"/>
          <w:lang w:eastAsia="ko-KR"/>
        </w:rPr>
        <w:t xml:space="preserve"> свидетельствуют о недостаточном терапевтическом</w:t>
      </w:r>
      <w:r w:rsidR="00CF7FBB"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эффекте данной группы препаратов</w:t>
      </w:r>
      <w:r w:rsidR="00CF7FBB"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для </w:t>
      </w:r>
      <w:r w:rsidR="00CF7FBB" w:rsidRPr="009114DF">
        <w:rPr>
          <w:rFonts w:ascii="Times New Roman" w:hAnsi="Times New Roman"/>
          <w:kern w:val="2"/>
          <w:sz w:val="28"/>
          <w:szCs w:val="28"/>
          <w:lang w:eastAsia="ko-KR"/>
        </w:rPr>
        <w:t xml:space="preserve">осуществления </w:t>
      </w:r>
      <w:r w:rsidRPr="009114DF">
        <w:rPr>
          <w:rFonts w:ascii="Times New Roman" w:hAnsi="Times New Roman"/>
          <w:kern w:val="2"/>
          <w:sz w:val="28"/>
          <w:szCs w:val="28"/>
          <w:lang w:eastAsia="ko-KR"/>
        </w:rPr>
        <w:t xml:space="preserve">тщательного </w:t>
      </w:r>
      <w:r w:rsidR="00CF7FBB" w:rsidRPr="009114DF">
        <w:rPr>
          <w:rFonts w:ascii="Times New Roman" w:hAnsi="Times New Roman"/>
          <w:kern w:val="2"/>
          <w:sz w:val="28"/>
          <w:szCs w:val="28"/>
          <w:lang w:eastAsia="ko-KR"/>
        </w:rPr>
        <w:t xml:space="preserve">контроля за </w:t>
      </w:r>
      <w:r w:rsidRPr="009114DF">
        <w:rPr>
          <w:rFonts w:ascii="Times New Roman" w:hAnsi="Times New Roman"/>
          <w:kern w:val="2"/>
          <w:sz w:val="28"/>
          <w:szCs w:val="28"/>
          <w:lang w:eastAsia="ko-KR"/>
        </w:rPr>
        <w:t xml:space="preserve">клинико-лабораторным </w:t>
      </w:r>
      <w:r w:rsidR="00CF7FBB" w:rsidRPr="009114DF">
        <w:rPr>
          <w:rFonts w:ascii="Times New Roman" w:hAnsi="Times New Roman"/>
          <w:kern w:val="2"/>
          <w:sz w:val="28"/>
          <w:szCs w:val="28"/>
          <w:lang w:eastAsia="ko-KR"/>
        </w:rPr>
        <w:t xml:space="preserve">прогрессированием заболевания. </w:t>
      </w:r>
      <w:r w:rsidRPr="009114DF">
        <w:rPr>
          <w:rFonts w:ascii="Times New Roman" w:hAnsi="Times New Roman"/>
          <w:kern w:val="2"/>
          <w:sz w:val="28"/>
          <w:szCs w:val="28"/>
          <w:lang w:eastAsia="ko-KR"/>
        </w:rPr>
        <w:t xml:space="preserve">Следует </w:t>
      </w:r>
      <w:r w:rsidR="00CF7FBB" w:rsidRPr="009114DF">
        <w:rPr>
          <w:rFonts w:ascii="Times New Roman" w:hAnsi="Times New Roman"/>
          <w:kern w:val="2"/>
          <w:sz w:val="28"/>
          <w:szCs w:val="28"/>
          <w:lang w:eastAsia="ko-KR"/>
        </w:rPr>
        <w:t xml:space="preserve">отметить, что более половины больных РА </w:t>
      </w:r>
      <w:r w:rsidRPr="009114DF">
        <w:rPr>
          <w:rFonts w:ascii="Times New Roman" w:hAnsi="Times New Roman"/>
          <w:kern w:val="2"/>
          <w:sz w:val="28"/>
          <w:szCs w:val="28"/>
          <w:lang w:eastAsia="ko-KR"/>
        </w:rPr>
        <w:t xml:space="preserve">не имеют «хорошего» ответа </w:t>
      </w:r>
      <w:r w:rsidR="00CF7FBB"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на</w:t>
      </w:r>
      <w:r w:rsidR="00CF7FBB" w:rsidRPr="009114DF">
        <w:rPr>
          <w:rFonts w:ascii="Times New Roman" w:hAnsi="Times New Roman"/>
          <w:kern w:val="2"/>
          <w:sz w:val="28"/>
          <w:szCs w:val="28"/>
          <w:lang w:eastAsia="ko-KR"/>
        </w:rPr>
        <w:t xml:space="preserve"> стандартн</w:t>
      </w:r>
      <w:r w:rsidRPr="009114DF">
        <w:rPr>
          <w:rFonts w:ascii="Times New Roman" w:hAnsi="Times New Roman"/>
          <w:kern w:val="2"/>
          <w:sz w:val="28"/>
          <w:szCs w:val="28"/>
          <w:lang w:eastAsia="ko-KR"/>
        </w:rPr>
        <w:t>ую терапию</w:t>
      </w:r>
      <w:r w:rsidR="00CF7FBB" w:rsidRPr="009114DF">
        <w:rPr>
          <w:rFonts w:ascii="Times New Roman" w:hAnsi="Times New Roman"/>
          <w:kern w:val="2"/>
          <w:sz w:val="28"/>
          <w:szCs w:val="28"/>
          <w:lang w:eastAsia="ko-KR"/>
        </w:rPr>
        <w:t xml:space="preserve"> базисными противовос</w:t>
      </w:r>
      <w:r w:rsidR="00470ACA" w:rsidRPr="009114DF">
        <w:rPr>
          <w:rFonts w:ascii="Times New Roman" w:hAnsi="Times New Roman"/>
          <w:kern w:val="2"/>
          <w:sz w:val="28"/>
          <w:szCs w:val="28"/>
          <w:lang w:eastAsia="ko-KR"/>
        </w:rPr>
        <w:t>палительными препаратами</w:t>
      </w:r>
      <w:r w:rsidRPr="009114DF">
        <w:rPr>
          <w:rFonts w:ascii="Times New Roman" w:hAnsi="Times New Roman"/>
          <w:kern w:val="2"/>
          <w:sz w:val="28"/>
          <w:szCs w:val="28"/>
          <w:lang w:eastAsia="ko-KR"/>
        </w:rPr>
        <w:t>, и в том числе терапию МТХ</w:t>
      </w:r>
      <w:r w:rsidR="00CF7FBB" w:rsidRPr="009114DF">
        <w:rPr>
          <w:rFonts w:ascii="Times New Roman" w:hAnsi="Times New Roman"/>
          <w:kern w:val="2"/>
          <w:sz w:val="28"/>
          <w:szCs w:val="28"/>
          <w:lang w:eastAsia="ko-KR"/>
        </w:rPr>
        <w:t>.</w:t>
      </w:r>
    </w:p>
    <w:p w:rsidR="0071155C" w:rsidRPr="009114DF" w:rsidRDefault="00CF7FBB" w:rsidP="00F94DB5">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 В последние годы взгляд на РА как неизлечимое заболевание пересматривается, что во многом связано с разработкой ново</w:t>
      </w:r>
      <w:r w:rsidR="00573E04" w:rsidRPr="009114DF">
        <w:rPr>
          <w:rFonts w:ascii="Times New Roman" w:hAnsi="Times New Roman"/>
          <w:kern w:val="2"/>
          <w:sz w:val="28"/>
          <w:szCs w:val="28"/>
          <w:lang w:eastAsia="ko-KR"/>
        </w:rPr>
        <w:t>го</w:t>
      </w:r>
      <w:r w:rsidRPr="009114DF">
        <w:rPr>
          <w:rFonts w:ascii="Times New Roman" w:hAnsi="Times New Roman"/>
          <w:kern w:val="2"/>
          <w:sz w:val="28"/>
          <w:szCs w:val="28"/>
          <w:lang w:eastAsia="ko-KR"/>
        </w:rPr>
        <w:t xml:space="preserve"> </w:t>
      </w:r>
      <w:r w:rsidR="00573E04" w:rsidRPr="009114DF">
        <w:rPr>
          <w:rFonts w:ascii="Times New Roman" w:hAnsi="Times New Roman"/>
          <w:kern w:val="2"/>
          <w:sz w:val="28"/>
          <w:szCs w:val="28"/>
          <w:lang w:eastAsia="ko-KR"/>
        </w:rPr>
        <w:t>класса</w:t>
      </w:r>
      <w:r w:rsidRPr="009114DF">
        <w:rPr>
          <w:rFonts w:ascii="Times New Roman" w:hAnsi="Times New Roman"/>
          <w:kern w:val="2"/>
          <w:sz w:val="28"/>
          <w:szCs w:val="28"/>
          <w:lang w:eastAsia="ko-KR"/>
        </w:rPr>
        <w:t xml:space="preserve"> препаратов, </w:t>
      </w:r>
      <w:r w:rsidR="00573E04" w:rsidRPr="009114DF">
        <w:rPr>
          <w:rFonts w:ascii="Times New Roman" w:hAnsi="Times New Roman"/>
          <w:kern w:val="2"/>
          <w:sz w:val="28"/>
          <w:szCs w:val="28"/>
          <w:lang w:eastAsia="ko-KR"/>
        </w:rPr>
        <w:t xml:space="preserve">которые называют </w:t>
      </w:r>
      <w:r w:rsidRPr="009114DF">
        <w:rPr>
          <w:rFonts w:ascii="Times New Roman" w:hAnsi="Times New Roman"/>
          <w:kern w:val="2"/>
          <w:sz w:val="28"/>
          <w:szCs w:val="28"/>
          <w:lang w:eastAsia="ko-KR"/>
        </w:rPr>
        <w:t xml:space="preserve">общим </w:t>
      </w:r>
      <w:r w:rsidR="00573E04" w:rsidRPr="009114DF">
        <w:rPr>
          <w:rFonts w:ascii="Times New Roman" w:hAnsi="Times New Roman"/>
          <w:kern w:val="2"/>
          <w:sz w:val="28"/>
          <w:szCs w:val="28"/>
          <w:lang w:eastAsia="ko-KR"/>
        </w:rPr>
        <w:t>термином</w:t>
      </w:r>
      <w:r w:rsidRPr="009114DF">
        <w:rPr>
          <w:rFonts w:ascii="Times New Roman" w:hAnsi="Times New Roman"/>
          <w:kern w:val="2"/>
          <w:sz w:val="28"/>
          <w:szCs w:val="28"/>
          <w:lang w:eastAsia="ko-KR"/>
        </w:rPr>
        <w:t xml:space="preserve"> «генно-инженерные биологические препараты» (ГИБП). Создание генно-инженерных биологических препаратов непосредственно связано с </w:t>
      </w:r>
      <w:r w:rsidR="00573E04" w:rsidRPr="009114DF">
        <w:rPr>
          <w:rFonts w:ascii="Times New Roman" w:hAnsi="Times New Roman"/>
          <w:kern w:val="2"/>
          <w:sz w:val="28"/>
          <w:szCs w:val="28"/>
          <w:lang w:eastAsia="ko-KR"/>
        </w:rPr>
        <w:t>развитием представлений</w:t>
      </w:r>
      <w:r w:rsidRPr="009114DF">
        <w:rPr>
          <w:rFonts w:ascii="Times New Roman" w:hAnsi="Times New Roman"/>
          <w:kern w:val="2"/>
          <w:sz w:val="28"/>
          <w:szCs w:val="28"/>
          <w:lang w:eastAsia="ko-KR"/>
        </w:rPr>
        <w:t xml:space="preserve"> о кл</w:t>
      </w:r>
      <w:r w:rsidR="00573E04" w:rsidRPr="009114DF">
        <w:rPr>
          <w:rFonts w:ascii="Times New Roman" w:hAnsi="Times New Roman"/>
          <w:kern w:val="2"/>
          <w:sz w:val="28"/>
          <w:szCs w:val="28"/>
          <w:lang w:eastAsia="ko-KR"/>
        </w:rPr>
        <w:t>ючевых механизмах патогенеза РА. Данная группа препаратов призвана избирательно</w:t>
      </w:r>
      <w:r w:rsidR="00042683" w:rsidRPr="009114DF">
        <w:rPr>
          <w:rFonts w:ascii="Times New Roman" w:hAnsi="Times New Roman"/>
          <w:kern w:val="2"/>
          <w:sz w:val="28"/>
          <w:szCs w:val="28"/>
          <w:lang w:eastAsia="ko-KR"/>
        </w:rPr>
        <w:t xml:space="preserve"> с минимальным вмешательством </w:t>
      </w:r>
      <w:r w:rsidR="00573E04" w:rsidRPr="009114DF">
        <w:rPr>
          <w:rFonts w:ascii="Times New Roman" w:hAnsi="Times New Roman"/>
          <w:kern w:val="2"/>
          <w:sz w:val="28"/>
          <w:szCs w:val="28"/>
          <w:lang w:eastAsia="ko-KR"/>
        </w:rPr>
        <w:t xml:space="preserve"> </w:t>
      </w:r>
      <w:proofErr w:type="gramStart"/>
      <w:r w:rsidR="00573E04" w:rsidRPr="009114DF">
        <w:rPr>
          <w:rFonts w:ascii="Times New Roman" w:hAnsi="Times New Roman"/>
          <w:kern w:val="2"/>
          <w:sz w:val="28"/>
          <w:szCs w:val="28"/>
          <w:lang w:eastAsia="ko-KR"/>
        </w:rPr>
        <w:t>блокировать</w:t>
      </w:r>
      <w:proofErr w:type="gramEnd"/>
      <w:r w:rsidR="00573E04" w:rsidRPr="009114DF">
        <w:rPr>
          <w:rFonts w:ascii="Times New Roman" w:hAnsi="Times New Roman"/>
          <w:kern w:val="2"/>
          <w:sz w:val="28"/>
          <w:szCs w:val="28"/>
          <w:lang w:eastAsia="ko-KR"/>
        </w:rPr>
        <w:t xml:space="preserve"> или </w:t>
      </w:r>
      <w:r w:rsidR="00042683" w:rsidRPr="009114DF">
        <w:rPr>
          <w:rFonts w:ascii="Times New Roman" w:hAnsi="Times New Roman"/>
          <w:kern w:val="2"/>
          <w:sz w:val="28"/>
          <w:szCs w:val="28"/>
          <w:lang w:eastAsia="ko-KR"/>
        </w:rPr>
        <w:t>активировать</w:t>
      </w:r>
      <w:r w:rsidRPr="009114DF">
        <w:rPr>
          <w:rFonts w:ascii="Times New Roman" w:hAnsi="Times New Roman"/>
          <w:kern w:val="2"/>
          <w:sz w:val="28"/>
          <w:szCs w:val="28"/>
          <w:lang w:eastAsia="ko-KR"/>
        </w:rPr>
        <w:t xml:space="preserve"> </w:t>
      </w:r>
      <w:r w:rsidR="00042683" w:rsidRPr="009114DF">
        <w:rPr>
          <w:rFonts w:ascii="Times New Roman" w:hAnsi="Times New Roman"/>
          <w:kern w:val="2"/>
          <w:sz w:val="28"/>
          <w:szCs w:val="28"/>
          <w:lang w:eastAsia="ko-KR"/>
        </w:rPr>
        <w:t xml:space="preserve">соответствующие механизмы </w:t>
      </w:r>
      <w:r w:rsidR="00470ACA" w:rsidRPr="009114DF">
        <w:rPr>
          <w:rFonts w:ascii="Times New Roman" w:hAnsi="Times New Roman"/>
          <w:kern w:val="2"/>
          <w:sz w:val="28"/>
          <w:szCs w:val="28"/>
          <w:lang w:eastAsia="ko-KR"/>
        </w:rPr>
        <w:t>иммунного ответа</w:t>
      </w:r>
      <w:r w:rsidRPr="009114DF">
        <w:rPr>
          <w:rFonts w:ascii="Times New Roman" w:hAnsi="Times New Roman"/>
          <w:kern w:val="2"/>
          <w:sz w:val="28"/>
          <w:szCs w:val="28"/>
          <w:lang w:eastAsia="ko-KR"/>
        </w:rPr>
        <w:t>. С внедрением генно-инженерных биологических препаратов в клиническую практику стало возможным не только купирование симптомов заболевания, но и торможение эрозивного процесса в суставах, нормализация функционального статуса и качества жизни пациента, потенциальное увеличение продолжительности жизни</w:t>
      </w:r>
      <w:r w:rsidR="000330BC" w:rsidRPr="009114DF">
        <w:rPr>
          <w:rFonts w:ascii="Times New Roman" w:hAnsi="Times New Roman"/>
          <w:kern w:val="2"/>
          <w:sz w:val="28"/>
          <w:szCs w:val="28"/>
          <w:lang w:eastAsia="ko-KR"/>
        </w:rPr>
        <w:t xml:space="preserve"> до популяционного уровня [</w:t>
      </w:r>
      <w:r w:rsidR="00DB4CFA" w:rsidRPr="009114DF">
        <w:rPr>
          <w:rFonts w:ascii="Times New Roman" w:hAnsi="Times New Roman"/>
          <w:kern w:val="2"/>
          <w:sz w:val="28"/>
          <w:szCs w:val="28"/>
          <w:lang w:eastAsia="ko-KR"/>
        </w:rPr>
        <w:t>10</w:t>
      </w:r>
      <w:r w:rsidRPr="009114DF">
        <w:rPr>
          <w:rFonts w:ascii="Times New Roman" w:hAnsi="Times New Roman"/>
          <w:kern w:val="2"/>
          <w:sz w:val="28"/>
          <w:szCs w:val="28"/>
          <w:lang w:eastAsia="ko-KR"/>
        </w:rPr>
        <w:t>]. В настоящее время активно разрабатывается несколько направлений биологической терапии ревматических болезней, в том числе и РА: создание ингибиторов цитокинов, принимающих участие в патогенезе РА, или рекомбинантных препаратов: антитела к ФН</w:t>
      </w:r>
      <w:proofErr w:type="gramStart"/>
      <w:r w:rsidRPr="009114DF">
        <w:rPr>
          <w:rFonts w:ascii="Times New Roman" w:hAnsi="Times New Roman"/>
          <w:kern w:val="2"/>
          <w:sz w:val="28"/>
          <w:szCs w:val="28"/>
          <w:lang w:eastAsia="ko-KR"/>
        </w:rPr>
        <w:t>О-</w:t>
      </w:r>
      <w:proofErr w:type="gramEnd"/>
      <w:r w:rsidR="002D5B97" w:rsidRPr="009114DF">
        <w:rPr>
          <w:rFonts w:ascii="Times New Roman" w:hAnsi="Times New Roman"/>
          <w:kern w:val="2"/>
          <w:sz w:val="28"/>
          <w:szCs w:val="28"/>
          <w:lang w:eastAsia="ko-KR"/>
        </w:rPr>
        <w:t>α</w:t>
      </w:r>
      <w:r w:rsidRPr="009114DF">
        <w:rPr>
          <w:rFonts w:ascii="Times New Roman" w:hAnsi="Times New Roman"/>
          <w:kern w:val="2"/>
          <w:sz w:val="28"/>
          <w:szCs w:val="28"/>
          <w:lang w:eastAsia="ko-KR"/>
        </w:rPr>
        <w:t xml:space="preserve"> (инфликсимаб, адалимумаб, этанерцепт), ИЛ-1, ИЛ-6 (тоцилизумаб), ИЛ-10 и т.</w:t>
      </w:r>
      <w:r w:rsidR="002D5B97"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д.; создание моноклональных антител (МАТ) к </w:t>
      </w:r>
      <w:r w:rsidRPr="009114DF">
        <w:rPr>
          <w:rFonts w:ascii="Times New Roman" w:hAnsi="Times New Roman"/>
          <w:kern w:val="2"/>
          <w:sz w:val="28"/>
          <w:szCs w:val="28"/>
          <w:lang w:eastAsia="ko-KR"/>
        </w:rPr>
        <w:lastRenderedPageBreak/>
        <w:t>различным рецепторам Т-лимфоцитов (абатацепт): CD3; CD4; CD5; CD52 и др.; создание моноклональных антител к рецепторам (CD20) В-лимфоцитов (</w:t>
      </w:r>
      <w:r w:rsidR="008B56CB" w:rsidRPr="009114DF">
        <w:rPr>
          <w:rFonts w:ascii="Times New Roman" w:hAnsi="Times New Roman"/>
          <w:kern w:val="2"/>
          <w:sz w:val="28"/>
          <w:szCs w:val="28"/>
          <w:lang w:eastAsia="ko-KR"/>
        </w:rPr>
        <w:t>ритуксимаб (</w:t>
      </w:r>
      <w:r w:rsidRPr="009114DF">
        <w:rPr>
          <w:rFonts w:ascii="Times New Roman" w:hAnsi="Times New Roman"/>
          <w:kern w:val="2"/>
          <w:sz w:val="28"/>
          <w:szCs w:val="28"/>
          <w:lang w:eastAsia="ko-KR"/>
        </w:rPr>
        <w:t>РТМ</w:t>
      </w:r>
      <w:r w:rsidR="008B56CB"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окрелизумаб).  Использование ГИБП в комбинации с базисными препаратами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лефлюномид и др.) позволило улучшить не только ближайший (уменьшение болей, снижение темпов остеодеструктивных процессов, уменьшение уровня иммунологической активности), но и отдаленный (снижение инвалидизации и преждевременной летальности, улучшение функционального  состояния больных и качества </w:t>
      </w:r>
      <w:r w:rsidR="0071155C" w:rsidRPr="009114DF">
        <w:rPr>
          <w:rFonts w:ascii="Times New Roman" w:hAnsi="Times New Roman"/>
          <w:kern w:val="2"/>
          <w:sz w:val="28"/>
          <w:szCs w:val="28"/>
          <w:lang w:eastAsia="ko-KR"/>
        </w:rPr>
        <w:t>жизни) прогноз у пациентов с PA</w:t>
      </w:r>
      <w:r w:rsidRPr="009114DF">
        <w:rPr>
          <w:rFonts w:ascii="Times New Roman" w:hAnsi="Times New Roman"/>
          <w:kern w:val="2"/>
          <w:sz w:val="28"/>
          <w:szCs w:val="28"/>
          <w:lang w:eastAsia="ko-KR"/>
        </w:rPr>
        <w:t xml:space="preserve">. Созданы национальные регистры пациентов, получающих эти средства с целью проспективного длительного наблюдения и для оценки клинико-рентгенологического, клинико-иммунологического </w:t>
      </w:r>
      <w:r w:rsidR="0071155C" w:rsidRPr="009114DF">
        <w:rPr>
          <w:rFonts w:ascii="Times New Roman" w:hAnsi="Times New Roman"/>
          <w:kern w:val="2"/>
          <w:sz w:val="28"/>
          <w:szCs w:val="28"/>
          <w:lang w:eastAsia="ko-KR"/>
        </w:rPr>
        <w:t xml:space="preserve">и </w:t>
      </w:r>
      <w:r w:rsidR="00F94DB5" w:rsidRPr="009114DF">
        <w:rPr>
          <w:rFonts w:ascii="Times New Roman" w:hAnsi="Times New Roman"/>
          <w:kern w:val="2"/>
          <w:sz w:val="28"/>
          <w:szCs w:val="28"/>
          <w:lang w:eastAsia="ko-KR"/>
        </w:rPr>
        <w:t>антидеструктивного эффектов [40</w:t>
      </w:r>
      <w:r w:rsidRPr="009114DF">
        <w:rPr>
          <w:rFonts w:ascii="Times New Roman" w:hAnsi="Times New Roman"/>
          <w:kern w:val="2"/>
          <w:sz w:val="28"/>
          <w:szCs w:val="28"/>
          <w:lang w:eastAsia="ko-KR"/>
        </w:rPr>
        <w:t>].</w:t>
      </w:r>
    </w:p>
    <w:p w:rsidR="00CF7FBB" w:rsidRPr="009114DF" w:rsidRDefault="00CF7FBB" w:rsidP="00F71B34">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Особое значение для прогноза РА имеют те работы, в которых были предприняты попытки оценить возможность современной терапии этого заболевания не только в торможении прогрессирования эрозивного процесса в суставах, но и его редукции </w:t>
      </w:r>
      <w:r w:rsidR="0071155C" w:rsidRPr="009114DF">
        <w:rPr>
          <w:rFonts w:ascii="Times New Roman" w:hAnsi="Times New Roman"/>
          <w:kern w:val="2"/>
          <w:sz w:val="28"/>
          <w:szCs w:val="28"/>
          <w:lang w:eastAsia="ko-KR"/>
        </w:rPr>
        <w:t>[</w:t>
      </w:r>
      <w:r w:rsidR="00A05647" w:rsidRPr="009114DF">
        <w:rPr>
          <w:rFonts w:ascii="Times New Roman" w:hAnsi="Times New Roman"/>
          <w:kern w:val="2"/>
          <w:sz w:val="28"/>
          <w:szCs w:val="28"/>
          <w:lang w:eastAsia="ko-KR"/>
        </w:rPr>
        <w:t>106</w:t>
      </w:r>
      <w:r w:rsidR="0071155C" w:rsidRPr="009114DF">
        <w:rPr>
          <w:rFonts w:ascii="Times New Roman" w:hAnsi="Times New Roman"/>
          <w:kern w:val="2"/>
          <w:sz w:val="28"/>
          <w:szCs w:val="28"/>
          <w:lang w:eastAsia="ko-KR"/>
        </w:rPr>
        <w:t>].</w:t>
      </w:r>
      <w:r w:rsidR="002B53B4"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Известно, что именно деструкцией суставов </w:t>
      </w:r>
      <w:proofErr w:type="gramStart"/>
      <w:r w:rsidRPr="009114DF">
        <w:rPr>
          <w:rFonts w:ascii="Times New Roman" w:hAnsi="Times New Roman"/>
          <w:kern w:val="2"/>
          <w:sz w:val="28"/>
          <w:szCs w:val="28"/>
          <w:lang w:eastAsia="ko-KR"/>
        </w:rPr>
        <w:t>обусловлены</w:t>
      </w:r>
      <w:proofErr w:type="gramEnd"/>
      <w:r w:rsidRPr="009114DF">
        <w:rPr>
          <w:rFonts w:ascii="Times New Roman" w:hAnsi="Times New Roman"/>
          <w:kern w:val="2"/>
          <w:sz w:val="28"/>
          <w:szCs w:val="28"/>
          <w:lang w:eastAsia="ko-KR"/>
        </w:rPr>
        <w:t xml:space="preserve"> высокая активность РА и его неблагоприятный прогноз. </w:t>
      </w:r>
    </w:p>
    <w:p w:rsidR="00CF7FBB" w:rsidRPr="009114DF" w:rsidRDefault="00CF7FBB" w:rsidP="00F71B34">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К настоящему времени получены данные о влиянии различных базисных противовоспалительных препаратов, применяемых для лечения РА на МПК. Однако исследовани</w:t>
      </w:r>
      <w:r w:rsidR="002D5B97" w:rsidRPr="009114DF">
        <w:rPr>
          <w:rFonts w:ascii="Times New Roman" w:hAnsi="Times New Roman"/>
          <w:kern w:val="2"/>
          <w:sz w:val="28"/>
          <w:szCs w:val="28"/>
          <w:lang w:eastAsia="ko-KR"/>
        </w:rPr>
        <w:t>я</w:t>
      </w:r>
      <w:r w:rsidRPr="009114DF">
        <w:rPr>
          <w:rFonts w:ascii="Times New Roman" w:hAnsi="Times New Roman"/>
          <w:kern w:val="2"/>
          <w:sz w:val="28"/>
          <w:szCs w:val="28"/>
          <w:lang w:eastAsia="ko-KR"/>
        </w:rPr>
        <w:t xml:space="preserve"> по изучению влияния ГИБП на ремоделирование костной ткани больных РА малочисленны, а результаты их противоречивы. </w:t>
      </w:r>
    </w:p>
    <w:p w:rsidR="00D343FB" w:rsidRPr="009114DF" w:rsidRDefault="0089388C" w:rsidP="00D343FB">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Полагают</w:t>
      </w:r>
      <w:r w:rsidR="00D343FB" w:rsidRPr="009114DF">
        <w:rPr>
          <w:rFonts w:ascii="Times New Roman" w:hAnsi="Times New Roman"/>
          <w:kern w:val="2"/>
          <w:sz w:val="28"/>
          <w:szCs w:val="28"/>
          <w:lang w:eastAsia="ko-KR"/>
        </w:rPr>
        <w:t xml:space="preserve">, что </w:t>
      </w:r>
      <w:r w:rsidRPr="009114DF">
        <w:rPr>
          <w:rFonts w:ascii="Times New Roman" w:hAnsi="Times New Roman"/>
          <w:kern w:val="2"/>
          <w:sz w:val="28"/>
          <w:szCs w:val="28"/>
          <w:lang w:eastAsia="ko-KR"/>
        </w:rPr>
        <w:t>применение ингибитов</w:t>
      </w:r>
      <w:r w:rsidR="00D343FB" w:rsidRPr="009114DF">
        <w:rPr>
          <w:rFonts w:ascii="Times New Roman" w:hAnsi="Times New Roman"/>
          <w:kern w:val="2"/>
          <w:sz w:val="28"/>
          <w:szCs w:val="28"/>
          <w:lang w:eastAsia="ko-KR"/>
        </w:rPr>
        <w:t xml:space="preserve"> ФН</w:t>
      </w:r>
      <w:proofErr w:type="gramStart"/>
      <w:r w:rsidR="00D343FB" w:rsidRPr="009114DF">
        <w:rPr>
          <w:rFonts w:ascii="Times New Roman" w:hAnsi="Times New Roman"/>
          <w:kern w:val="2"/>
          <w:sz w:val="28"/>
          <w:szCs w:val="28"/>
          <w:lang w:eastAsia="ko-KR"/>
        </w:rPr>
        <w:t>О</w:t>
      </w:r>
      <w:r w:rsidR="002D5B97" w:rsidRPr="009114DF">
        <w:rPr>
          <w:rFonts w:ascii="Times New Roman" w:hAnsi="Times New Roman"/>
          <w:kern w:val="2"/>
          <w:sz w:val="28"/>
          <w:szCs w:val="28"/>
          <w:lang w:eastAsia="ko-KR"/>
        </w:rPr>
        <w:t>-</w:t>
      </w:r>
      <w:proofErr w:type="gramEnd"/>
      <w:r w:rsidR="00D343FB" w:rsidRPr="009114DF">
        <w:rPr>
          <w:rFonts w:ascii="Times New Roman" w:hAnsi="Times New Roman"/>
          <w:kern w:val="2"/>
          <w:sz w:val="28"/>
          <w:szCs w:val="28"/>
          <w:lang w:eastAsia="ko-KR"/>
        </w:rPr>
        <w:t xml:space="preserve">α </w:t>
      </w:r>
      <w:r w:rsidRPr="009114DF">
        <w:rPr>
          <w:rFonts w:ascii="Times New Roman" w:hAnsi="Times New Roman"/>
          <w:kern w:val="2"/>
          <w:sz w:val="28"/>
          <w:szCs w:val="28"/>
          <w:lang w:eastAsia="ko-KR"/>
        </w:rPr>
        <w:t>у пациентов с ревматическими заболеваниями приводит к замедлению резобции костной ткани</w:t>
      </w:r>
      <w:r w:rsidR="00C50D52" w:rsidRPr="009114DF">
        <w:rPr>
          <w:rFonts w:ascii="Times New Roman" w:hAnsi="Times New Roman"/>
          <w:kern w:val="2"/>
          <w:sz w:val="28"/>
          <w:szCs w:val="28"/>
          <w:lang w:eastAsia="ko-KR"/>
        </w:rPr>
        <w:t>.</w:t>
      </w:r>
      <w:r w:rsidR="00D343FB" w:rsidRPr="009114DF">
        <w:rPr>
          <w:rFonts w:ascii="Times New Roman" w:hAnsi="Times New Roman"/>
          <w:kern w:val="2"/>
          <w:sz w:val="28"/>
          <w:szCs w:val="28"/>
          <w:lang w:eastAsia="ko-KR"/>
        </w:rPr>
        <w:t xml:space="preserve"> По данным большинства исследований, у пациентов</w:t>
      </w:r>
      <w:r w:rsidR="00363E2E" w:rsidRPr="009114DF">
        <w:rPr>
          <w:rFonts w:ascii="Times New Roman" w:hAnsi="Times New Roman"/>
          <w:kern w:val="2"/>
          <w:sz w:val="28"/>
          <w:szCs w:val="28"/>
          <w:lang w:eastAsia="ko-KR"/>
        </w:rPr>
        <w:t xml:space="preserve"> с РА</w:t>
      </w:r>
      <w:r w:rsidR="00D343FB" w:rsidRPr="009114DF">
        <w:rPr>
          <w:rFonts w:ascii="Times New Roman" w:hAnsi="Times New Roman"/>
          <w:kern w:val="2"/>
          <w:sz w:val="28"/>
          <w:szCs w:val="28"/>
          <w:lang w:eastAsia="ko-KR"/>
        </w:rPr>
        <w:t>, получавших ингибиторы ФН</w:t>
      </w:r>
      <w:proofErr w:type="gramStart"/>
      <w:r w:rsidR="00D343FB" w:rsidRPr="009114DF">
        <w:rPr>
          <w:rFonts w:ascii="Times New Roman" w:hAnsi="Times New Roman"/>
          <w:kern w:val="2"/>
          <w:sz w:val="28"/>
          <w:szCs w:val="28"/>
          <w:lang w:eastAsia="ko-KR"/>
        </w:rPr>
        <w:t>О</w:t>
      </w:r>
      <w:r w:rsidR="002D5B97" w:rsidRPr="009114DF">
        <w:rPr>
          <w:rFonts w:ascii="Times New Roman" w:hAnsi="Times New Roman"/>
          <w:kern w:val="2"/>
          <w:sz w:val="28"/>
          <w:szCs w:val="28"/>
          <w:lang w:eastAsia="ko-KR"/>
        </w:rPr>
        <w:t>-</w:t>
      </w:r>
      <w:proofErr w:type="gramEnd"/>
      <w:r w:rsidR="00D343FB" w:rsidRPr="009114DF">
        <w:rPr>
          <w:rFonts w:ascii="Times New Roman" w:hAnsi="Times New Roman"/>
          <w:kern w:val="2"/>
          <w:sz w:val="28"/>
          <w:szCs w:val="28"/>
          <w:lang w:eastAsia="ko-KR"/>
        </w:rPr>
        <w:t xml:space="preserve">α, отмечается стабилизация или увеличение МПК, независимо от длительности </w:t>
      </w:r>
      <w:r w:rsidRPr="009114DF">
        <w:rPr>
          <w:rFonts w:ascii="Times New Roman" w:hAnsi="Times New Roman"/>
          <w:kern w:val="2"/>
          <w:sz w:val="28"/>
          <w:szCs w:val="28"/>
          <w:lang w:eastAsia="ko-KR"/>
        </w:rPr>
        <w:t>заболевания</w:t>
      </w:r>
      <w:r w:rsidR="00D343FB" w:rsidRPr="009114DF">
        <w:rPr>
          <w:rFonts w:ascii="Times New Roman" w:hAnsi="Times New Roman"/>
          <w:kern w:val="2"/>
          <w:sz w:val="28"/>
          <w:szCs w:val="28"/>
          <w:lang w:eastAsia="ko-KR"/>
        </w:rPr>
        <w:t>.</w:t>
      </w:r>
    </w:p>
    <w:p w:rsidR="00CF7FBB" w:rsidRPr="009114DF" w:rsidRDefault="00CF7FBB" w:rsidP="00D343FB">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Одним из первых препаратов этой группы, разрешенных к применению Фармакологическим комитетом США, России и многих других стран, является </w:t>
      </w:r>
      <w:r w:rsidRPr="009114DF">
        <w:rPr>
          <w:rFonts w:ascii="Times New Roman" w:hAnsi="Times New Roman"/>
          <w:kern w:val="2"/>
          <w:sz w:val="28"/>
          <w:szCs w:val="28"/>
          <w:lang w:eastAsia="ko-KR"/>
        </w:rPr>
        <w:lastRenderedPageBreak/>
        <w:t>инфликсимаб (ремикейд), представляющий собой химерные моноклональные антитела к ФНО-</w:t>
      </w:r>
      <w:r w:rsidR="002D5B97" w:rsidRPr="009114DF">
        <w:rPr>
          <w:rFonts w:ascii="Times New Roman" w:hAnsi="Times New Roman"/>
          <w:kern w:val="2"/>
          <w:sz w:val="28"/>
          <w:szCs w:val="28"/>
          <w:lang w:eastAsia="ko-KR"/>
        </w:rPr>
        <w:t>α</w:t>
      </w:r>
      <w:proofErr w:type="gramStart"/>
      <w:r w:rsidR="0089388C"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w:t>
      </w:r>
      <w:proofErr w:type="gramEnd"/>
      <w:r w:rsidRPr="009114DF">
        <w:rPr>
          <w:rFonts w:ascii="Times New Roman" w:hAnsi="Times New Roman"/>
          <w:kern w:val="2"/>
          <w:sz w:val="28"/>
          <w:szCs w:val="28"/>
          <w:lang w:eastAsia="ko-KR"/>
        </w:rPr>
        <w:t xml:space="preserve"> </w:t>
      </w:r>
    </w:p>
    <w:p w:rsidR="00C50D52" w:rsidRPr="009114DF" w:rsidRDefault="00CF7FBB" w:rsidP="00020D29">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Инфликсимаб приводит к снижению концентрации растворимого RANKL (</w:t>
      </w:r>
      <w:r w:rsidR="002D5B97"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прорезорбтивный</w:t>
      </w:r>
      <w:r w:rsidR="002D5B97"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цитокин) и нормализации концентрации остеопротегерина (</w:t>
      </w:r>
      <w:r w:rsidR="002D5B97"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антирезорбтивный</w:t>
      </w:r>
      <w:r w:rsidR="002D5B97"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медиатор), тем самым</w:t>
      </w:r>
      <w:r w:rsidR="00B04894" w:rsidRPr="009114DF">
        <w:rPr>
          <w:rFonts w:ascii="Times New Roman" w:hAnsi="Times New Roman"/>
          <w:kern w:val="2"/>
          <w:sz w:val="28"/>
          <w:szCs w:val="28"/>
          <w:lang w:eastAsia="ko-KR"/>
        </w:rPr>
        <w:t xml:space="preserve"> положительно влияя на МПК [</w:t>
      </w:r>
      <w:r w:rsidR="00DB6599" w:rsidRPr="009114DF">
        <w:rPr>
          <w:rFonts w:ascii="Times New Roman" w:hAnsi="Times New Roman"/>
          <w:kern w:val="2"/>
          <w:sz w:val="28"/>
          <w:szCs w:val="28"/>
          <w:lang w:eastAsia="ko-KR"/>
        </w:rPr>
        <w:t>2</w:t>
      </w:r>
      <w:r w:rsidR="00007E92" w:rsidRPr="009114DF">
        <w:rPr>
          <w:rFonts w:ascii="Times New Roman" w:hAnsi="Times New Roman"/>
          <w:kern w:val="2"/>
          <w:sz w:val="28"/>
          <w:szCs w:val="28"/>
          <w:lang w:eastAsia="ko-KR"/>
        </w:rPr>
        <w:t>8</w:t>
      </w:r>
      <w:r w:rsidR="00DB2E37" w:rsidRPr="009114DF">
        <w:rPr>
          <w:rFonts w:ascii="Times New Roman" w:hAnsi="Times New Roman"/>
          <w:kern w:val="2"/>
          <w:sz w:val="28"/>
          <w:szCs w:val="28"/>
          <w:lang w:eastAsia="ko-KR"/>
        </w:rPr>
        <w:t xml:space="preserve">, </w:t>
      </w:r>
      <w:r w:rsidR="00EC4BD2" w:rsidRPr="009114DF">
        <w:rPr>
          <w:rFonts w:ascii="Times New Roman" w:hAnsi="Times New Roman"/>
          <w:kern w:val="2"/>
          <w:sz w:val="28"/>
          <w:szCs w:val="28"/>
          <w:lang w:eastAsia="ko-KR"/>
        </w:rPr>
        <w:t>212</w:t>
      </w:r>
      <w:r w:rsidRPr="009114DF">
        <w:rPr>
          <w:rFonts w:ascii="Times New Roman" w:hAnsi="Times New Roman"/>
          <w:kern w:val="2"/>
          <w:sz w:val="28"/>
          <w:szCs w:val="28"/>
          <w:lang w:eastAsia="ko-KR"/>
        </w:rPr>
        <w:t>].</w:t>
      </w:r>
      <w:r w:rsidRPr="009114DF">
        <w:rPr>
          <w:rFonts w:ascii="Times New Roman" w:hAnsi="Times New Roman"/>
          <w:sz w:val="28"/>
          <w:szCs w:val="28"/>
          <w:lang w:eastAsia="ru-RU"/>
        </w:rPr>
        <w:t xml:space="preserve"> </w:t>
      </w:r>
      <w:r w:rsidR="00C50D52" w:rsidRPr="009114DF">
        <w:rPr>
          <w:rFonts w:ascii="Times New Roman" w:hAnsi="Times New Roman"/>
          <w:kern w:val="2"/>
          <w:sz w:val="28"/>
          <w:szCs w:val="28"/>
          <w:lang w:eastAsia="ko-KR"/>
        </w:rPr>
        <w:t>Влияние комбин</w:t>
      </w:r>
      <w:r w:rsidR="00020D29" w:rsidRPr="009114DF">
        <w:rPr>
          <w:rFonts w:ascii="Times New Roman" w:hAnsi="Times New Roman"/>
          <w:kern w:val="2"/>
          <w:sz w:val="28"/>
          <w:szCs w:val="28"/>
          <w:lang w:eastAsia="ko-KR"/>
        </w:rPr>
        <w:t>ированной терапии инфликсимабом в сочета</w:t>
      </w:r>
      <w:r w:rsidR="00C50D52" w:rsidRPr="009114DF">
        <w:rPr>
          <w:rFonts w:ascii="Times New Roman" w:hAnsi="Times New Roman"/>
          <w:kern w:val="2"/>
          <w:sz w:val="28"/>
          <w:szCs w:val="28"/>
          <w:lang w:eastAsia="ko-KR"/>
        </w:rPr>
        <w:t>нии с</w:t>
      </w:r>
      <w:r w:rsidR="00020D29" w:rsidRPr="009114DF">
        <w:rPr>
          <w:rFonts w:ascii="Times New Roman" w:hAnsi="Times New Roman"/>
          <w:kern w:val="2"/>
          <w:sz w:val="28"/>
          <w:szCs w:val="28"/>
          <w:lang w:eastAsia="ko-KR"/>
        </w:rPr>
        <w:t xml:space="preserve"> </w:t>
      </w:r>
      <w:r w:rsidR="00C50D52" w:rsidRPr="009114DF">
        <w:rPr>
          <w:rFonts w:ascii="Times New Roman" w:hAnsi="Times New Roman"/>
          <w:kern w:val="2"/>
          <w:sz w:val="28"/>
          <w:szCs w:val="28"/>
          <w:lang w:eastAsia="ko-KR"/>
        </w:rPr>
        <w:t>MT</w:t>
      </w:r>
      <w:proofErr w:type="gramStart"/>
      <w:r w:rsidR="00020D29" w:rsidRPr="009114DF">
        <w:rPr>
          <w:rFonts w:ascii="Times New Roman" w:hAnsi="Times New Roman"/>
          <w:kern w:val="2"/>
          <w:sz w:val="28"/>
          <w:szCs w:val="28"/>
          <w:lang w:eastAsia="ko-KR"/>
        </w:rPr>
        <w:t>Х</w:t>
      </w:r>
      <w:proofErr w:type="gramEnd"/>
      <w:r w:rsidR="00C50D52" w:rsidRPr="009114DF">
        <w:rPr>
          <w:rFonts w:ascii="Times New Roman" w:hAnsi="Times New Roman"/>
          <w:kern w:val="2"/>
          <w:sz w:val="28"/>
          <w:szCs w:val="28"/>
          <w:lang w:eastAsia="ko-KR"/>
        </w:rPr>
        <w:t xml:space="preserve"> или плацебо с MT</w:t>
      </w:r>
      <w:r w:rsidR="00020D29" w:rsidRPr="009114DF">
        <w:rPr>
          <w:rFonts w:ascii="Times New Roman" w:hAnsi="Times New Roman"/>
          <w:kern w:val="2"/>
          <w:sz w:val="28"/>
          <w:szCs w:val="28"/>
          <w:lang w:eastAsia="ko-KR"/>
        </w:rPr>
        <w:t>Х</w:t>
      </w:r>
      <w:r w:rsidR="00C50D52" w:rsidRPr="009114DF">
        <w:rPr>
          <w:rFonts w:ascii="Times New Roman" w:hAnsi="Times New Roman"/>
          <w:kern w:val="2"/>
          <w:sz w:val="28"/>
          <w:szCs w:val="28"/>
          <w:lang w:eastAsia="ko-KR"/>
        </w:rPr>
        <w:t xml:space="preserve"> на костную ткань у пациентов</w:t>
      </w:r>
      <w:r w:rsidR="00020D29" w:rsidRPr="009114DF">
        <w:rPr>
          <w:rFonts w:ascii="Times New Roman" w:hAnsi="Times New Roman"/>
          <w:kern w:val="2"/>
          <w:sz w:val="28"/>
          <w:szCs w:val="28"/>
          <w:lang w:eastAsia="ko-KR"/>
        </w:rPr>
        <w:t xml:space="preserve"> </w:t>
      </w:r>
      <w:r w:rsidR="00C50D52" w:rsidRPr="009114DF">
        <w:rPr>
          <w:rFonts w:ascii="Times New Roman" w:hAnsi="Times New Roman"/>
          <w:kern w:val="2"/>
          <w:sz w:val="28"/>
          <w:szCs w:val="28"/>
          <w:lang w:eastAsia="ko-KR"/>
        </w:rPr>
        <w:t>с ранним РA сравнивалось в двойном слепом рандомизированном плацебоконтролируемом исследовании</w:t>
      </w:r>
      <w:r w:rsidR="00020D29" w:rsidRPr="009114DF">
        <w:rPr>
          <w:rFonts w:ascii="Times New Roman" w:hAnsi="Times New Roman"/>
          <w:kern w:val="2"/>
          <w:sz w:val="28"/>
          <w:szCs w:val="28"/>
          <w:lang w:eastAsia="ko-KR"/>
        </w:rPr>
        <w:t xml:space="preserve"> G. Haugeberg и соавт. [</w:t>
      </w:r>
      <w:r w:rsidR="00266791" w:rsidRPr="009114DF">
        <w:rPr>
          <w:rFonts w:ascii="Times New Roman" w:hAnsi="Times New Roman"/>
          <w:kern w:val="2"/>
          <w:sz w:val="28"/>
          <w:szCs w:val="28"/>
          <w:lang w:eastAsia="ko-KR"/>
        </w:rPr>
        <w:t>131</w:t>
      </w:r>
      <w:r w:rsidR="00020D29" w:rsidRPr="009114DF">
        <w:rPr>
          <w:rFonts w:ascii="Times New Roman" w:hAnsi="Times New Roman"/>
          <w:kern w:val="2"/>
          <w:sz w:val="28"/>
          <w:szCs w:val="28"/>
          <w:lang w:eastAsia="ko-KR"/>
        </w:rPr>
        <w:t xml:space="preserve">]. </w:t>
      </w:r>
      <w:r w:rsidR="00C50D52" w:rsidRPr="009114DF">
        <w:rPr>
          <w:rFonts w:ascii="Times New Roman" w:hAnsi="Times New Roman"/>
          <w:kern w:val="2"/>
          <w:sz w:val="28"/>
          <w:szCs w:val="28"/>
          <w:lang w:eastAsia="ko-KR"/>
        </w:rPr>
        <w:t>Оценивал</w:t>
      </w:r>
      <w:r w:rsidR="002D5B97" w:rsidRPr="009114DF">
        <w:rPr>
          <w:rFonts w:ascii="Times New Roman" w:hAnsi="Times New Roman"/>
          <w:kern w:val="2"/>
          <w:sz w:val="28"/>
          <w:szCs w:val="28"/>
          <w:lang w:eastAsia="ko-KR"/>
        </w:rPr>
        <w:t>и</w:t>
      </w:r>
      <w:r w:rsidR="00C50D52" w:rsidRPr="009114DF">
        <w:rPr>
          <w:rFonts w:ascii="Times New Roman" w:hAnsi="Times New Roman"/>
          <w:kern w:val="2"/>
          <w:sz w:val="28"/>
          <w:szCs w:val="28"/>
          <w:lang w:eastAsia="ko-KR"/>
        </w:rPr>
        <w:t xml:space="preserve">сь динамика МПК и </w:t>
      </w:r>
      <w:r w:rsidR="0089388C" w:rsidRPr="009114DF">
        <w:rPr>
          <w:rFonts w:ascii="Times New Roman" w:hAnsi="Times New Roman"/>
          <w:kern w:val="2"/>
          <w:sz w:val="28"/>
          <w:szCs w:val="28"/>
          <w:lang w:eastAsia="ko-KR"/>
        </w:rPr>
        <w:t>корреляция</w:t>
      </w:r>
      <w:r w:rsidR="00C50D52" w:rsidRPr="009114DF">
        <w:rPr>
          <w:rFonts w:ascii="Times New Roman" w:hAnsi="Times New Roman"/>
          <w:kern w:val="2"/>
          <w:sz w:val="28"/>
          <w:szCs w:val="28"/>
          <w:lang w:eastAsia="ko-KR"/>
        </w:rPr>
        <w:t xml:space="preserve"> между МПК и маркерами</w:t>
      </w:r>
      <w:r w:rsidR="00020D29" w:rsidRPr="009114DF">
        <w:rPr>
          <w:rFonts w:ascii="Times New Roman" w:hAnsi="Times New Roman"/>
          <w:kern w:val="2"/>
          <w:sz w:val="28"/>
          <w:szCs w:val="28"/>
          <w:lang w:eastAsia="ko-KR"/>
        </w:rPr>
        <w:t xml:space="preserve"> </w:t>
      </w:r>
      <w:r w:rsidR="00C50D52" w:rsidRPr="009114DF">
        <w:rPr>
          <w:rFonts w:ascii="Times New Roman" w:hAnsi="Times New Roman"/>
          <w:kern w:val="2"/>
          <w:sz w:val="28"/>
          <w:szCs w:val="28"/>
          <w:lang w:eastAsia="ko-KR"/>
        </w:rPr>
        <w:t xml:space="preserve">воспаления РА. </w:t>
      </w:r>
      <w:r w:rsidR="0089388C" w:rsidRPr="009114DF">
        <w:rPr>
          <w:rFonts w:ascii="Times New Roman" w:hAnsi="Times New Roman"/>
          <w:kern w:val="2"/>
          <w:sz w:val="28"/>
          <w:szCs w:val="28"/>
          <w:lang w:eastAsia="ko-KR"/>
        </w:rPr>
        <w:t>Через</w:t>
      </w:r>
      <w:r w:rsidR="00C50D52" w:rsidRPr="009114DF">
        <w:rPr>
          <w:rFonts w:ascii="Times New Roman" w:hAnsi="Times New Roman"/>
          <w:kern w:val="2"/>
          <w:sz w:val="28"/>
          <w:szCs w:val="28"/>
          <w:lang w:eastAsia="ko-KR"/>
        </w:rPr>
        <w:t xml:space="preserve"> </w:t>
      </w:r>
      <w:r w:rsidR="00363E2E" w:rsidRPr="009114DF">
        <w:rPr>
          <w:rFonts w:ascii="Times New Roman" w:hAnsi="Times New Roman"/>
          <w:kern w:val="2"/>
          <w:sz w:val="28"/>
          <w:szCs w:val="28"/>
          <w:lang w:eastAsia="ko-KR"/>
        </w:rPr>
        <w:t>12 месяцев</w:t>
      </w:r>
      <w:r w:rsidR="00C50D52" w:rsidRPr="009114DF">
        <w:rPr>
          <w:rFonts w:ascii="Times New Roman" w:hAnsi="Times New Roman"/>
          <w:kern w:val="2"/>
          <w:sz w:val="28"/>
          <w:szCs w:val="28"/>
          <w:lang w:eastAsia="ko-KR"/>
        </w:rPr>
        <w:t xml:space="preserve"> наблюдения</w:t>
      </w:r>
      <w:r w:rsidR="0089388C" w:rsidRPr="009114DF">
        <w:rPr>
          <w:rFonts w:ascii="Times New Roman" w:hAnsi="Times New Roman"/>
          <w:kern w:val="2"/>
          <w:sz w:val="28"/>
          <w:szCs w:val="28"/>
          <w:lang w:eastAsia="ko-KR"/>
        </w:rPr>
        <w:t xml:space="preserve"> у пациентов, получавших</w:t>
      </w:r>
      <w:r w:rsidR="00C50D52" w:rsidRPr="009114DF">
        <w:rPr>
          <w:rFonts w:ascii="Times New Roman" w:hAnsi="Times New Roman"/>
          <w:kern w:val="2"/>
          <w:sz w:val="28"/>
          <w:szCs w:val="28"/>
          <w:lang w:eastAsia="ko-KR"/>
        </w:rPr>
        <w:t xml:space="preserve"> </w:t>
      </w:r>
      <w:r w:rsidR="00020D29" w:rsidRPr="009114DF">
        <w:rPr>
          <w:rFonts w:ascii="Times New Roman" w:hAnsi="Times New Roman"/>
          <w:kern w:val="2"/>
          <w:sz w:val="28"/>
          <w:szCs w:val="28"/>
          <w:lang w:eastAsia="ko-KR"/>
        </w:rPr>
        <w:t>инфликсимаб</w:t>
      </w:r>
      <w:r w:rsidR="0089388C" w:rsidRPr="009114DF">
        <w:rPr>
          <w:rFonts w:ascii="Times New Roman" w:hAnsi="Times New Roman"/>
          <w:kern w:val="2"/>
          <w:sz w:val="28"/>
          <w:szCs w:val="28"/>
          <w:lang w:eastAsia="ko-KR"/>
        </w:rPr>
        <w:t>,</w:t>
      </w:r>
      <w:r w:rsidR="00C50D52" w:rsidRPr="009114DF">
        <w:rPr>
          <w:rFonts w:ascii="Times New Roman" w:hAnsi="Times New Roman"/>
          <w:kern w:val="2"/>
          <w:sz w:val="28"/>
          <w:szCs w:val="28"/>
          <w:lang w:eastAsia="ko-KR"/>
        </w:rPr>
        <w:t xml:space="preserve"> снижение МПК в шейке бедра </w:t>
      </w:r>
      <w:r w:rsidR="0089388C" w:rsidRPr="009114DF">
        <w:rPr>
          <w:rFonts w:ascii="Times New Roman" w:hAnsi="Times New Roman"/>
          <w:kern w:val="2"/>
          <w:sz w:val="28"/>
          <w:szCs w:val="28"/>
          <w:lang w:eastAsia="ko-KR"/>
        </w:rPr>
        <w:t>было статистически значимо меньше</w:t>
      </w:r>
      <w:r w:rsidR="00C50D52" w:rsidRPr="009114DF">
        <w:rPr>
          <w:rFonts w:ascii="Times New Roman" w:hAnsi="Times New Roman"/>
          <w:kern w:val="2"/>
          <w:sz w:val="28"/>
          <w:szCs w:val="28"/>
          <w:lang w:eastAsia="ko-KR"/>
        </w:rPr>
        <w:t xml:space="preserve">, чем у больных, получавших плацебо. Авторы </w:t>
      </w:r>
      <w:r w:rsidR="0089388C" w:rsidRPr="009114DF">
        <w:rPr>
          <w:rFonts w:ascii="Times New Roman" w:hAnsi="Times New Roman"/>
          <w:kern w:val="2"/>
          <w:sz w:val="28"/>
          <w:szCs w:val="28"/>
          <w:lang w:eastAsia="ko-KR"/>
        </w:rPr>
        <w:t xml:space="preserve">считают, что показатели </w:t>
      </w:r>
      <w:r w:rsidR="00C50D52" w:rsidRPr="009114DF">
        <w:rPr>
          <w:rFonts w:ascii="Times New Roman" w:hAnsi="Times New Roman"/>
          <w:kern w:val="2"/>
          <w:sz w:val="28"/>
          <w:szCs w:val="28"/>
          <w:lang w:eastAsia="ko-KR"/>
        </w:rPr>
        <w:t>активности</w:t>
      </w:r>
      <w:r w:rsidR="0089388C" w:rsidRPr="009114DF">
        <w:rPr>
          <w:rFonts w:ascii="Times New Roman" w:hAnsi="Times New Roman"/>
          <w:kern w:val="2"/>
          <w:sz w:val="28"/>
          <w:szCs w:val="28"/>
          <w:lang w:eastAsia="ko-KR"/>
        </w:rPr>
        <w:t xml:space="preserve"> заболевания</w:t>
      </w:r>
      <w:r w:rsidR="00C50D52" w:rsidRPr="009114DF">
        <w:rPr>
          <w:rFonts w:ascii="Times New Roman" w:hAnsi="Times New Roman"/>
          <w:kern w:val="2"/>
          <w:sz w:val="28"/>
          <w:szCs w:val="28"/>
          <w:lang w:eastAsia="ko-KR"/>
        </w:rPr>
        <w:t xml:space="preserve"> и </w:t>
      </w:r>
      <w:r w:rsidR="0089388C" w:rsidRPr="009114DF">
        <w:rPr>
          <w:rFonts w:ascii="Times New Roman" w:hAnsi="Times New Roman"/>
          <w:kern w:val="2"/>
          <w:sz w:val="28"/>
          <w:szCs w:val="28"/>
          <w:lang w:eastAsia="ko-KR"/>
        </w:rPr>
        <w:t>деструктивные</w:t>
      </w:r>
      <w:r w:rsidR="00C50D52" w:rsidRPr="009114DF">
        <w:rPr>
          <w:rFonts w:ascii="Times New Roman" w:hAnsi="Times New Roman"/>
          <w:kern w:val="2"/>
          <w:sz w:val="28"/>
          <w:szCs w:val="28"/>
          <w:lang w:eastAsia="ko-KR"/>
        </w:rPr>
        <w:t xml:space="preserve"> изменения суставов</w:t>
      </w:r>
      <w:r w:rsidR="00470407" w:rsidRPr="009114DF">
        <w:rPr>
          <w:rFonts w:ascii="Times New Roman" w:hAnsi="Times New Roman"/>
          <w:kern w:val="2"/>
          <w:sz w:val="28"/>
          <w:szCs w:val="28"/>
          <w:lang w:eastAsia="ko-KR"/>
        </w:rPr>
        <w:t xml:space="preserve"> не </w:t>
      </w:r>
      <w:r w:rsidR="00C50D52" w:rsidRPr="009114DF">
        <w:rPr>
          <w:rFonts w:ascii="Times New Roman" w:hAnsi="Times New Roman"/>
          <w:kern w:val="2"/>
          <w:sz w:val="28"/>
          <w:szCs w:val="28"/>
          <w:lang w:eastAsia="ko-KR"/>
        </w:rPr>
        <w:t xml:space="preserve"> были связаны с</w:t>
      </w:r>
      <w:r w:rsidR="00470407" w:rsidRPr="009114DF">
        <w:rPr>
          <w:rFonts w:ascii="Times New Roman" w:hAnsi="Times New Roman"/>
          <w:kern w:val="2"/>
          <w:sz w:val="28"/>
          <w:szCs w:val="28"/>
          <w:lang w:eastAsia="ko-KR"/>
        </w:rPr>
        <w:t>о снижением</w:t>
      </w:r>
      <w:r w:rsidR="00C50D52" w:rsidRPr="009114DF">
        <w:rPr>
          <w:rFonts w:ascii="Times New Roman" w:hAnsi="Times New Roman"/>
          <w:kern w:val="2"/>
          <w:sz w:val="28"/>
          <w:szCs w:val="28"/>
          <w:lang w:eastAsia="ko-KR"/>
        </w:rPr>
        <w:t xml:space="preserve"> МПК.</w:t>
      </w:r>
      <w:r w:rsidR="00C50D52" w:rsidRPr="009114DF">
        <w:t xml:space="preserve"> </w:t>
      </w:r>
      <w:r w:rsidR="002B53B4" w:rsidRPr="009114DF">
        <w:rPr>
          <w:rFonts w:ascii="Times New Roman" w:hAnsi="Times New Roman"/>
          <w:kern w:val="2"/>
          <w:sz w:val="28"/>
          <w:szCs w:val="28"/>
          <w:lang w:eastAsia="ko-KR"/>
        </w:rPr>
        <w:t xml:space="preserve">М. </w:t>
      </w:r>
      <w:r w:rsidR="00470407" w:rsidRPr="009114DF">
        <w:rPr>
          <w:rFonts w:ascii="Times New Roman" w:hAnsi="Times New Roman"/>
          <w:kern w:val="2"/>
          <w:sz w:val="28"/>
          <w:szCs w:val="28"/>
          <w:lang w:eastAsia="ko-KR"/>
        </w:rPr>
        <w:t xml:space="preserve">В исследовании </w:t>
      </w:r>
      <w:r w:rsidR="002B53B4" w:rsidRPr="009114DF">
        <w:rPr>
          <w:rFonts w:ascii="Times New Roman" w:hAnsi="Times New Roman"/>
          <w:kern w:val="2"/>
          <w:sz w:val="28"/>
          <w:szCs w:val="28"/>
          <w:lang w:eastAsia="ko-KR"/>
        </w:rPr>
        <w:t>Vis и соавт. [</w:t>
      </w:r>
      <w:r w:rsidR="00EC4BD2" w:rsidRPr="009114DF">
        <w:rPr>
          <w:rFonts w:ascii="Times New Roman" w:hAnsi="Times New Roman"/>
          <w:kern w:val="2"/>
          <w:sz w:val="28"/>
          <w:szCs w:val="28"/>
          <w:lang w:eastAsia="ko-KR"/>
        </w:rPr>
        <w:t>204</w:t>
      </w:r>
      <w:r w:rsidR="00C50D52" w:rsidRPr="009114DF">
        <w:rPr>
          <w:rFonts w:ascii="Times New Roman" w:hAnsi="Times New Roman"/>
          <w:kern w:val="2"/>
          <w:sz w:val="28"/>
          <w:szCs w:val="28"/>
          <w:lang w:eastAsia="ko-KR"/>
        </w:rPr>
        <w:t xml:space="preserve">] </w:t>
      </w:r>
      <w:r w:rsidR="00470407" w:rsidRPr="009114DF">
        <w:rPr>
          <w:rFonts w:ascii="Times New Roman" w:hAnsi="Times New Roman"/>
          <w:kern w:val="2"/>
          <w:sz w:val="28"/>
          <w:szCs w:val="28"/>
          <w:lang w:eastAsia="ko-KR"/>
        </w:rPr>
        <w:t xml:space="preserve">отмечена стабилизация показателей </w:t>
      </w:r>
      <w:r w:rsidR="00C50D52" w:rsidRPr="009114DF">
        <w:rPr>
          <w:rFonts w:ascii="Times New Roman" w:hAnsi="Times New Roman"/>
          <w:kern w:val="2"/>
          <w:sz w:val="28"/>
          <w:szCs w:val="28"/>
          <w:lang w:eastAsia="ko-KR"/>
        </w:rPr>
        <w:t>МПК пояснично</w:t>
      </w:r>
      <w:r w:rsidR="00470407" w:rsidRPr="009114DF">
        <w:rPr>
          <w:rFonts w:ascii="Times New Roman" w:hAnsi="Times New Roman"/>
          <w:kern w:val="2"/>
          <w:sz w:val="28"/>
          <w:szCs w:val="28"/>
          <w:lang w:eastAsia="ko-KR"/>
        </w:rPr>
        <w:t>го отдела</w:t>
      </w:r>
      <w:r w:rsidR="00C50D52" w:rsidRPr="009114DF">
        <w:rPr>
          <w:rFonts w:ascii="Times New Roman" w:hAnsi="Times New Roman"/>
          <w:kern w:val="2"/>
          <w:sz w:val="28"/>
          <w:szCs w:val="28"/>
          <w:lang w:eastAsia="ko-KR"/>
        </w:rPr>
        <w:t xml:space="preserve"> позвоночника и проксимально</w:t>
      </w:r>
      <w:r w:rsidR="00470407" w:rsidRPr="009114DF">
        <w:rPr>
          <w:rFonts w:ascii="Times New Roman" w:hAnsi="Times New Roman"/>
          <w:kern w:val="2"/>
          <w:sz w:val="28"/>
          <w:szCs w:val="28"/>
          <w:lang w:eastAsia="ko-KR"/>
        </w:rPr>
        <w:t>го отдела</w:t>
      </w:r>
      <w:r w:rsidR="00020D29" w:rsidRPr="009114DF">
        <w:rPr>
          <w:rFonts w:ascii="Times New Roman" w:hAnsi="Times New Roman"/>
          <w:kern w:val="2"/>
          <w:sz w:val="28"/>
          <w:szCs w:val="28"/>
          <w:lang w:eastAsia="ko-KR"/>
        </w:rPr>
        <w:t xml:space="preserve"> </w:t>
      </w:r>
      <w:r w:rsidR="00C50D52" w:rsidRPr="009114DF">
        <w:rPr>
          <w:rFonts w:ascii="Times New Roman" w:hAnsi="Times New Roman"/>
          <w:kern w:val="2"/>
          <w:sz w:val="28"/>
          <w:szCs w:val="28"/>
          <w:lang w:eastAsia="ko-KR"/>
        </w:rPr>
        <w:t xml:space="preserve">бедра </w:t>
      </w:r>
      <w:r w:rsidR="00470407" w:rsidRPr="009114DF">
        <w:rPr>
          <w:rFonts w:ascii="Times New Roman" w:hAnsi="Times New Roman"/>
          <w:kern w:val="2"/>
          <w:sz w:val="28"/>
          <w:szCs w:val="28"/>
          <w:lang w:eastAsia="ko-KR"/>
        </w:rPr>
        <w:t xml:space="preserve">через 12 месяцев терапии ИНФ </w:t>
      </w:r>
      <w:r w:rsidR="00C50D52" w:rsidRPr="009114DF">
        <w:rPr>
          <w:rFonts w:ascii="Times New Roman" w:hAnsi="Times New Roman"/>
          <w:kern w:val="2"/>
          <w:sz w:val="28"/>
          <w:szCs w:val="28"/>
          <w:lang w:eastAsia="ko-KR"/>
        </w:rPr>
        <w:t xml:space="preserve">у пациентов с активным РА. </w:t>
      </w:r>
    </w:p>
    <w:p w:rsidR="004B6737" w:rsidRPr="009114DF" w:rsidRDefault="001C30F5" w:rsidP="00363E2E">
      <w:pPr>
        <w:spacing w:after="0" w:line="360" w:lineRule="auto"/>
        <w:ind w:firstLine="709"/>
        <w:jc w:val="both"/>
      </w:pPr>
      <w:r w:rsidRPr="009114DF">
        <w:rPr>
          <w:rFonts w:ascii="Times New Roman" w:hAnsi="Times New Roman"/>
          <w:kern w:val="2"/>
          <w:sz w:val="28"/>
          <w:szCs w:val="28"/>
          <w:lang w:eastAsia="ko-KR"/>
        </w:rPr>
        <w:t>По данным С. Krieckaert и соавт. [</w:t>
      </w:r>
      <w:r w:rsidR="00BD6504" w:rsidRPr="009114DF">
        <w:rPr>
          <w:rFonts w:ascii="Times New Roman" w:hAnsi="Times New Roman"/>
          <w:kern w:val="2"/>
          <w:sz w:val="28"/>
          <w:szCs w:val="28"/>
          <w:lang w:eastAsia="ko-KR"/>
        </w:rPr>
        <w:t>150</w:t>
      </w:r>
      <w:r w:rsidRPr="009114DF">
        <w:rPr>
          <w:rFonts w:ascii="Times New Roman" w:hAnsi="Times New Roman"/>
          <w:kern w:val="2"/>
          <w:sz w:val="28"/>
          <w:szCs w:val="28"/>
          <w:lang w:eastAsia="ko-KR"/>
        </w:rPr>
        <w:t>], которые проводили лечение другим ингибитором ФН</w:t>
      </w:r>
      <w:proofErr w:type="gramStart"/>
      <w:r w:rsidRPr="009114DF">
        <w:rPr>
          <w:rFonts w:ascii="Times New Roman" w:hAnsi="Times New Roman"/>
          <w:kern w:val="2"/>
          <w:sz w:val="28"/>
          <w:szCs w:val="28"/>
          <w:lang w:eastAsia="ko-KR"/>
        </w:rPr>
        <w:t>О-</w:t>
      </w:r>
      <w:proofErr w:type="gramEnd"/>
      <w:r w:rsidRPr="009114DF">
        <w:rPr>
          <w:rFonts w:ascii="Times New Roman" w:hAnsi="Times New Roman"/>
          <w:kern w:val="2"/>
          <w:sz w:val="28"/>
          <w:szCs w:val="28"/>
          <w:lang w:eastAsia="ko-KR"/>
        </w:rPr>
        <w:t>α - адалимумабом у 184 больных РА, установили, что через 12 месяцев терапии МПК поясничного отдела позвоночника и шейки бедра оставалась стабильной, однако МПК кистей уменьшилась на 1,41% (р&lt;0,0001).</w:t>
      </w:r>
      <w:r w:rsidRPr="009114DF">
        <w:t xml:space="preserve"> </w:t>
      </w:r>
      <w:r w:rsidRPr="009114DF">
        <w:rPr>
          <w:rFonts w:ascii="Times New Roman" w:hAnsi="Times New Roman"/>
          <w:kern w:val="2"/>
          <w:sz w:val="28"/>
          <w:szCs w:val="28"/>
          <w:lang w:eastAsia="ko-KR"/>
        </w:rPr>
        <w:t xml:space="preserve">Кроме того, отмечено, что  у пациентов, получавших ГК </w:t>
      </w:r>
      <w:r w:rsidR="00F975DF" w:rsidRPr="009114DF">
        <w:rPr>
          <w:rFonts w:ascii="Times New Roman" w:hAnsi="Times New Roman"/>
          <w:kern w:val="2"/>
          <w:sz w:val="28"/>
          <w:szCs w:val="28"/>
          <w:lang w:eastAsia="ko-KR"/>
        </w:rPr>
        <w:t>и антиостеопоротическую</w:t>
      </w:r>
      <w:r w:rsidRPr="009114DF">
        <w:rPr>
          <w:rFonts w:ascii="Times New Roman" w:hAnsi="Times New Roman"/>
          <w:kern w:val="2"/>
          <w:sz w:val="28"/>
          <w:szCs w:val="28"/>
          <w:lang w:eastAsia="ko-KR"/>
        </w:rPr>
        <w:t xml:space="preserve"> </w:t>
      </w:r>
      <w:r w:rsidR="00F975DF" w:rsidRPr="009114DF">
        <w:rPr>
          <w:rFonts w:ascii="Times New Roman" w:hAnsi="Times New Roman"/>
          <w:kern w:val="2"/>
          <w:sz w:val="28"/>
          <w:szCs w:val="28"/>
          <w:lang w:eastAsia="ko-KR"/>
        </w:rPr>
        <w:t>терапию</w:t>
      </w:r>
      <w:r w:rsidRPr="009114DF">
        <w:rPr>
          <w:rFonts w:ascii="Times New Roman" w:hAnsi="Times New Roman"/>
          <w:kern w:val="2"/>
          <w:sz w:val="28"/>
          <w:szCs w:val="28"/>
          <w:lang w:eastAsia="ko-KR"/>
        </w:rPr>
        <w:t xml:space="preserve">, </w:t>
      </w:r>
      <w:r w:rsidR="00F975DF" w:rsidRPr="009114DF">
        <w:rPr>
          <w:rFonts w:ascii="Times New Roman" w:hAnsi="Times New Roman"/>
          <w:kern w:val="2"/>
          <w:sz w:val="28"/>
          <w:szCs w:val="28"/>
          <w:lang w:eastAsia="ko-KR"/>
        </w:rPr>
        <w:t>л</w:t>
      </w:r>
      <w:r w:rsidR="00D343FB" w:rsidRPr="009114DF">
        <w:rPr>
          <w:rFonts w:ascii="Times New Roman" w:hAnsi="Times New Roman"/>
          <w:kern w:val="2"/>
          <w:sz w:val="28"/>
          <w:szCs w:val="28"/>
          <w:lang w:eastAsia="ko-KR"/>
        </w:rPr>
        <w:t>ечение</w:t>
      </w:r>
      <w:r w:rsidR="00363E2E" w:rsidRPr="009114DF">
        <w:rPr>
          <w:rFonts w:ascii="Times New Roman" w:hAnsi="Times New Roman"/>
          <w:kern w:val="2"/>
          <w:sz w:val="28"/>
          <w:szCs w:val="28"/>
          <w:lang w:eastAsia="ko-KR"/>
        </w:rPr>
        <w:t xml:space="preserve"> адалимумабом</w:t>
      </w:r>
      <w:r w:rsidR="00CD2EDC" w:rsidRPr="009114DF">
        <w:rPr>
          <w:rFonts w:ascii="Times New Roman" w:hAnsi="Times New Roman"/>
          <w:kern w:val="2"/>
          <w:sz w:val="28"/>
          <w:szCs w:val="28"/>
          <w:lang w:eastAsia="ko-KR"/>
        </w:rPr>
        <w:t xml:space="preserve"> </w:t>
      </w:r>
      <w:r w:rsidR="00D343FB" w:rsidRPr="009114DF">
        <w:rPr>
          <w:rFonts w:ascii="Times New Roman" w:hAnsi="Times New Roman"/>
          <w:kern w:val="2"/>
          <w:sz w:val="28"/>
          <w:szCs w:val="28"/>
          <w:lang w:eastAsia="ko-KR"/>
        </w:rPr>
        <w:t xml:space="preserve">в течение </w:t>
      </w:r>
      <w:r w:rsidR="00F975DF" w:rsidRPr="009114DF">
        <w:rPr>
          <w:rFonts w:ascii="Times New Roman" w:hAnsi="Times New Roman"/>
          <w:kern w:val="2"/>
          <w:sz w:val="28"/>
          <w:szCs w:val="28"/>
          <w:lang w:eastAsia="ko-KR"/>
        </w:rPr>
        <w:t xml:space="preserve">12 месяцев </w:t>
      </w:r>
      <w:r w:rsidR="00D343FB" w:rsidRPr="009114DF">
        <w:rPr>
          <w:rFonts w:ascii="Times New Roman" w:hAnsi="Times New Roman"/>
          <w:kern w:val="2"/>
          <w:sz w:val="28"/>
          <w:szCs w:val="28"/>
          <w:lang w:eastAsia="ko-KR"/>
        </w:rPr>
        <w:t>предотвращало снижение МПК при РА [</w:t>
      </w:r>
      <w:r w:rsidR="00EC4BD2" w:rsidRPr="009114DF">
        <w:rPr>
          <w:rFonts w:ascii="Times New Roman" w:hAnsi="Times New Roman"/>
          <w:kern w:val="2"/>
          <w:sz w:val="28"/>
          <w:szCs w:val="28"/>
          <w:lang w:eastAsia="ko-KR"/>
        </w:rPr>
        <w:t>210</w:t>
      </w:r>
      <w:r w:rsidR="00D343FB" w:rsidRPr="009114DF">
        <w:rPr>
          <w:rFonts w:ascii="Times New Roman" w:hAnsi="Times New Roman"/>
          <w:kern w:val="2"/>
          <w:sz w:val="28"/>
          <w:szCs w:val="28"/>
          <w:lang w:eastAsia="ko-KR"/>
        </w:rPr>
        <w:t xml:space="preserve">]. </w:t>
      </w:r>
    </w:p>
    <w:p w:rsidR="00F035EC" w:rsidRPr="009114DF" w:rsidRDefault="004B6737" w:rsidP="00F035EC">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Первое лекарственное средство на основе моноклональных антител, ингибирующих рецепторы к </w:t>
      </w:r>
      <w:r w:rsidR="002D5B97" w:rsidRPr="009114DF">
        <w:rPr>
          <w:rFonts w:ascii="Times New Roman" w:hAnsi="Times New Roman"/>
          <w:kern w:val="2"/>
          <w:sz w:val="28"/>
          <w:szCs w:val="28"/>
          <w:lang w:eastAsia="ko-KR"/>
        </w:rPr>
        <w:t>ИЛ</w:t>
      </w:r>
      <w:r w:rsidRPr="009114DF">
        <w:rPr>
          <w:rFonts w:ascii="Times New Roman" w:hAnsi="Times New Roman"/>
          <w:kern w:val="2"/>
          <w:sz w:val="28"/>
          <w:szCs w:val="28"/>
          <w:lang w:eastAsia="ko-KR"/>
        </w:rPr>
        <w:t>-6, которое применяют для лечения РА</w:t>
      </w:r>
      <w:r w:rsidR="009675B7" w:rsidRPr="009114DF">
        <w:rPr>
          <w:rFonts w:ascii="Times New Roman" w:hAnsi="Times New Roman"/>
          <w:kern w:val="2"/>
          <w:sz w:val="28"/>
          <w:szCs w:val="28"/>
          <w:lang w:eastAsia="ko-KR"/>
        </w:rPr>
        <w:t>,</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 xml:space="preserve">тоцилизумаб. </w:t>
      </w:r>
      <w:r w:rsidR="00F035EC" w:rsidRPr="009114DF">
        <w:rPr>
          <w:rFonts w:ascii="Times New Roman" w:hAnsi="Times New Roman"/>
          <w:kern w:val="2"/>
          <w:sz w:val="28"/>
          <w:szCs w:val="28"/>
          <w:lang w:eastAsia="ko-KR"/>
        </w:rPr>
        <w:t>В исследовании E. Terpos и соавт. [</w:t>
      </w:r>
      <w:r w:rsidR="00EC4BD2" w:rsidRPr="009114DF">
        <w:rPr>
          <w:rFonts w:ascii="Times New Roman" w:hAnsi="Times New Roman"/>
          <w:kern w:val="2"/>
          <w:sz w:val="28"/>
          <w:szCs w:val="28"/>
          <w:lang w:eastAsia="ko-KR"/>
        </w:rPr>
        <w:t>195</w:t>
      </w:r>
      <w:r w:rsidR="00F035EC"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w:t>
      </w:r>
      <w:r w:rsidR="003A29BF" w:rsidRPr="009114DF">
        <w:rPr>
          <w:rFonts w:ascii="Times New Roman" w:hAnsi="Times New Roman"/>
          <w:kern w:val="2"/>
          <w:sz w:val="28"/>
          <w:szCs w:val="28"/>
          <w:lang w:eastAsia="ko-KR"/>
        </w:rPr>
        <w:t xml:space="preserve">отмечено, что у 22 женщин с активным РА после 2 месяцев лечения тоцилизумабом отношение ОПГ/RANKL увеличилось относительно исходных данных. Уровень остальных циркулирующих </w:t>
      </w:r>
      <w:r w:rsidR="003A29BF" w:rsidRPr="009114DF">
        <w:rPr>
          <w:rFonts w:ascii="Times New Roman" w:hAnsi="Times New Roman"/>
          <w:kern w:val="2"/>
          <w:sz w:val="28"/>
          <w:szCs w:val="28"/>
          <w:lang w:eastAsia="ko-KR"/>
        </w:rPr>
        <w:lastRenderedPageBreak/>
        <w:t xml:space="preserve">маркеров </w:t>
      </w:r>
      <w:proofErr w:type="gramStart"/>
      <w:r w:rsidR="003A29BF" w:rsidRPr="009114DF">
        <w:rPr>
          <w:rFonts w:ascii="Times New Roman" w:hAnsi="Times New Roman"/>
          <w:kern w:val="2"/>
          <w:sz w:val="28"/>
          <w:szCs w:val="28"/>
          <w:lang w:eastAsia="ko-KR"/>
        </w:rPr>
        <w:t>костного</w:t>
      </w:r>
      <w:proofErr w:type="gramEnd"/>
      <w:r w:rsidR="003A29BF" w:rsidRPr="009114DF">
        <w:rPr>
          <w:rFonts w:ascii="Times New Roman" w:hAnsi="Times New Roman"/>
          <w:kern w:val="2"/>
          <w:sz w:val="28"/>
          <w:szCs w:val="28"/>
          <w:lang w:eastAsia="ko-KR"/>
        </w:rPr>
        <w:t xml:space="preserve"> ремоделирования значимо не изменился. </w:t>
      </w:r>
      <w:r w:rsidR="00F035EC" w:rsidRPr="009114DF">
        <w:rPr>
          <w:rFonts w:ascii="Times New Roman" w:hAnsi="Times New Roman"/>
          <w:kern w:val="2"/>
          <w:sz w:val="28"/>
          <w:szCs w:val="28"/>
          <w:lang w:eastAsia="ko-KR"/>
        </w:rPr>
        <w:t xml:space="preserve">В </w:t>
      </w:r>
      <w:r w:rsidR="003A29BF" w:rsidRPr="009114DF">
        <w:rPr>
          <w:rFonts w:ascii="Times New Roman" w:hAnsi="Times New Roman"/>
          <w:kern w:val="2"/>
          <w:sz w:val="28"/>
          <w:szCs w:val="28"/>
          <w:lang w:eastAsia="ko-KR"/>
        </w:rPr>
        <w:t xml:space="preserve">открытом проспективном исследовании </w:t>
      </w:r>
      <w:r w:rsidR="00C50D52" w:rsidRPr="009114DF">
        <w:rPr>
          <w:rFonts w:ascii="Times New Roman" w:hAnsi="Times New Roman"/>
          <w:kern w:val="2"/>
          <w:sz w:val="28"/>
          <w:szCs w:val="28"/>
          <w:lang w:eastAsia="ko-KR"/>
        </w:rPr>
        <w:t>K. Kume и соавт. [</w:t>
      </w:r>
      <w:r w:rsidR="00BD6504" w:rsidRPr="009114DF">
        <w:rPr>
          <w:rFonts w:ascii="Times New Roman" w:hAnsi="Times New Roman"/>
          <w:kern w:val="2"/>
          <w:sz w:val="28"/>
          <w:szCs w:val="28"/>
          <w:lang w:eastAsia="ko-KR"/>
        </w:rPr>
        <w:t>152</w:t>
      </w:r>
      <w:r w:rsidR="00F035EC" w:rsidRPr="009114DF">
        <w:rPr>
          <w:rFonts w:ascii="Times New Roman" w:hAnsi="Times New Roman"/>
          <w:kern w:val="2"/>
          <w:sz w:val="28"/>
          <w:szCs w:val="28"/>
          <w:lang w:eastAsia="ko-KR"/>
        </w:rPr>
        <w:t xml:space="preserve">] </w:t>
      </w:r>
      <w:r w:rsidR="003A29BF" w:rsidRPr="009114DF">
        <w:rPr>
          <w:rFonts w:ascii="Times New Roman" w:hAnsi="Times New Roman"/>
          <w:kern w:val="2"/>
          <w:sz w:val="28"/>
          <w:szCs w:val="28"/>
          <w:lang w:eastAsia="ko-KR"/>
        </w:rPr>
        <w:t xml:space="preserve"> у 86 пациентов с активным РА, получавших </w:t>
      </w:r>
      <w:r w:rsidR="0073620F" w:rsidRPr="009114DF">
        <w:rPr>
          <w:rFonts w:ascii="Times New Roman" w:hAnsi="Times New Roman"/>
          <w:kern w:val="2"/>
          <w:sz w:val="28"/>
          <w:szCs w:val="28"/>
          <w:lang w:eastAsia="ko-KR"/>
        </w:rPr>
        <w:t xml:space="preserve">исходно </w:t>
      </w:r>
      <w:r w:rsidR="003A29BF" w:rsidRPr="009114DF">
        <w:rPr>
          <w:rFonts w:ascii="Times New Roman" w:hAnsi="Times New Roman"/>
          <w:kern w:val="2"/>
          <w:sz w:val="28"/>
          <w:szCs w:val="28"/>
          <w:lang w:eastAsia="ko-KR"/>
        </w:rPr>
        <w:t>лечение МТХ в дозе 12 мг/неделю</w:t>
      </w:r>
      <w:r w:rsidR="0073620F" w:rsidRPr="009114DF">
        <w:rPr>
          <w:rFonts w:ascii="Times New Roman" w:hAnsi="Times New Roman"/>
          <w:kern w:val="2"/>
          <w:sz w:val="28"/>
          <w:szCs w:val="28"/>
          <w:lang w:eastAsia="ko-KR"/>
        </w:rPr>
        <w:t>, приназначении</w:t>
      </w:r>
      <w:r w:rsidR="003A29BF" w:rsidRPr="009114DF">
        <w:rPr>
          <w:rFonts w:ascii="Times New Roman" w:hAnsi="Times New Roman"/>
          <w:kern w:val="2"/>
          <w:sz w:val="28"/>
          <w:szCs w:val="28"/>
          <w:lang w:eastAsia="ko-KR"/>
        </w:rPr>
        <w:t xml:space="preserve"> тоцилизумаб</w:t>
      </w:r>
      <w:r w:rsidR="0073620F" w:rsidRPr="009114DF">
        <w:rPr>
          <w:rFonts w:ascii="Times New Roman" w:hAnsi="Times New Roman"/>
          <w:kern w:val="2"/>
          <w:sz w:val="28"/>
          <w:szCs w:val="28"/>
          <w:lang w:eastAsia="ko-KR"/>
        </w:rPr>
        <w:t>а</w:t>
      </w:r>
      <w:r w:rsidR="003A29BF" w:rsidRPr="009114DF">
        <w:rPr>
          <w:rFonts w:ascii="Times New Roman" w:hAnsi="Times New Roman"/>
          <w:kern w:val="2"/>
          <w:sz w:val="28"/>
          <w:szCs w:val="28"/>
          <w:lang w:eastAsia="ko-KR"/>
        </w:rPr>
        <w:t xml:space="preserve"> МПК поясничного отдела позвоночника и шейки бедра </w:t>
      </w:r>
      <w:r w:rsidR="0073620F" w:rsidRPr="009114DF">
        <w:rPr>
          <w:rFonts w:ascii="Times New Roman" w:hAnsi="Times New Roman"/>
          <w:kern w:val="2"/>
          <w:sz w:val="28"/>
          <w:szCs w:val="28"/>
          <w:lang w:eastAsia="ko-KR"/>
        </w:rPr>
        <w:t>стабилизировалась</w:t>
      </w:r>
      <w:r w:rsidR="003A29BF" w:rsidRPr="009114DF">
        <w:rPr>
          <w:rFonts w:ascii="Times New Roman" w:hAnsi="Times New Roman"/>
          <w:kern w:val="2"/>
          <w:sz w:val="28"/>
          <w:szCs w:val="28"/>
          <w:lang w:eastAsia="ko-KR"/>
        </w:rPr>
        <w:t xml:space="preserve"> у пациентов с исходно нормальными значениями </w:t>
      </w:r>
      <w:r w:rsidR="0073620F" w:rsidRPr="009114DF">
        <w:rPr>
          <w:rFonts w:ascii="Times New Roman" w:hAnsi="Times New Roman"/>
          <w:kern w:val="2"/>
          <w:sz w:val="28"/>
          <w:szCs w:val="28"/>
          <w:lang w:eastAsia="ko-KR"/>
        </w:rPr>
        <w:t xml:space="preserve">МПК </w:t>
      </w:r>
      <w:r w:rsidR="003A29BF" w:rsidRPr="009114DF">
        <w:rPr>
          <w:rFonts w:ascii="Times New Roman" w:hAnsi="Times New Roman"/>
          <w:kern w:val="2"/>
          <w:sz w:val="28"/>
          <w:szCs w:val="28"/>
          <w:lang w:eastAsia="ko-KR"/>
        </w:rPr>
        <w:t xml:space="preserve">и </w:t>
      </w:r>
      <w:r w:rsidR="0073620F" w:rsidRPr="009114DF">
        <w:rPr>
          <w:rFonts w:ascii="Times New Roman" w:hAnsi="Times New Roman"/>
          <w:kern w:val="2"/>
          <w:sz w:val="28"/>
          <w:szCs w:val="28"/>
          <w:lang w:eastAsia="ko-KR"/>
        </w:rPr>
        <w:t>значимо</w:t>
      </w:r>
      <w:r w:rsidR="003A29BF" w:rsidRPr="009114DF">
        <w:rPr>
          <w:rFonts w:ascii="Times New Roman" w:hAnsi="Times New Roman"/>
          <w:kern w:val="2"/>
          <w:sz w:val="28"/>
          <w:szCs w:val="28"/>
          <w:lang w:eastAsia="ko-KR"/>
        </w:rPr>
        <w:t xml:space="preserve"> увеличилась у пациентов с остеопенией.</w:t>
      </w:r>
      <w:r w:rsidR="0073620F" w:rsidRPr="009114DF">
        <w:rPr>
          <w:rFonts w:ascii="Times New Roman" w:hAnsi="Times New Roman"/>
          <w:kern w:val="2"/>
          <w:sz w:val="28"/>
          <w:szCs w:val="28"/>
          <w:lang w:eastAsia="ko-KR"/>
        </w:rPr>
        <w:t xml:space="preserve"> Корреляции с динамикой DAS28 не выявлено</w:t>
      </w:r>
      <w:r w:rsidR="00F035EC" w:rsidRPr="009114DF">
        <w:rPr>
          <w:rFonts w:ascii="Times New Roman" w:hAnsi="Times New Roman"/>
          <w:kern w:val="2"/>
          <w:sz w:val="28"/>
          <w:szCs w:val="28"/>
          <w:lang w:eastAsia="ko-KR"/>
        </w:rPr>
        <w:t xml:space="preserve">. Авторы предположили, что </w:t>
      </w:r>
      <w:r w:rsidRPr="009114DF">
        <w:rPr>
          <w:rFonts w:ascii="Times New Roman" w:hAnsi="Times New Roman"/>
          <w:kern w:val="2"/>
          <w:sz w:val="28"/>
          <w:szCs w:val="28"/>
          <w:lang w:eastAsia="ko-KR"/>
        </w:rPr>
        <w:t>тоцилизумаб</w:t>
      </w:r>
      <w:r w:rsidR="00F035EC" w:rsidRPr="009114DF">
        <w:rPr>
          <w:rFonts w:ascii="Times New Roman" w:hAnsi="Times New Roman"/>
          <w:kern w:val="2"/>
          <w:sz w:val="28"/>
          <w:szCs w:val="28"/>
          <w:lang w:eastAsia="ko-KR"/>
        </w:rPr>
        <w:t xml:space="preserve"> способствовал стабилизации </w:t>
      </w:r>
      <w:r w:rsidR="001F44A9" w:rsidRPr="009114DF">
        <w:rPr>
          <w:rFonts w:ascii="Times New Roman" w:hAnsi="Times New Roman"/>
          <w:kern w:val="2"/>
          <w:sz w:val="28"/>
          <w:szCs w:val="28"/>
          <w:lang w:eastAsia="ko-KR"/>
        </w:rPr>
        <w:t>МПК</w:t>
      </w:r>
      <w:r w:rsidRPr="009114DF">
        <w:rPr>
          <w:rFonts w:ascii="Times New Roman" w:hAnsi="Times New Roman"/>
          <w:kern w:val="2"/>
          <w:sz w:val="28"/>
          <w:szCs w:val="28"/>
          <w:lang w:eastAsia="ko-KR"/>
        </w:rPr>
        <w:t xml:space="preserve"> </w:t>
      </w:r>
      <w:r w:rsidR="0073620F" w:rsidRPr="009114DF">
        <w:rPr>
          <w:rFonts w:ascii="Times New Roman" w:hAnsi="Times New Roman"/>
          <w:kern w:val="2"/>
          <w:sz w:val="28"/>
          <w:szCs w:val="28"/>
          <w:lang w:eastAsia="ko-KR"/>
        </w:rPr>
        <w:t xml:space="preserve">при исходно нормальных значениях </w:t>
      </w:r>
      <w:r w:rsidR="00F035EC" w:rsidRPr="009114DF">
        <w:rPr>
          <w:rFonts w:ascii="Times New Roman" w:hAnsi="Times New Roman"/>
          <w:kern w:val="2"/>
          <w:sz w:val="28"/>
          <w:szCs w:val="28"/>
          <w:lang w:eastAsia="ko-KR"/>
        </w:rPr>
        <w:t xml:space="preserve">и увеличению </w:t>
      </w:r>
      <w:r w:rsidR="0073620F" w:rsidRPr="009114DF">
        <w:rPr>
          <w:rFonts w:ascii="Times New Roman" w:hAnsi="Times New Roman"/>
          <w:kern w:val="2"/>
          <w:sz w:val="28"/>
          <w:szCs w:val="28"/>
          <w:lang w:eastAsia="ko-KR"/>
        </w:rPr>
        <w:t xml:space="preserve">МПК при остеопении </w:t>
      </w:r>
      <w:r w:rsidR="00020BF7" w:rsidRPr="009114DF">
        <w:rPr>
          <w:rFonts w:ascii="Times New Roman" w:hAnsi="Times New Roman"/>
          <w:kern w:val="2"/>
          <w:sz w:val="28"/>
          <w:szCs w:val="28"/>
          <w:lang w:eastAsia="ko-KR"/>
        </w:rPr>
        <w:t>[2</w:t>
      </w:r>
      <w:r w:rsidR="00007E92" w:rsidRPr="009114DF">
        <w:rPr>
          <w:rFonts w:ascii="Times New Roman" w:hAnsi="Times New Roman"/>
          <w:kern w:val="2"/>
          <w:sz w:val="28"/>
          <w:szCs w:val="28"/>
          <w:lang w:eastAsia="ko-KR"/>
        </w:rPr>
        <w:t>8</w:t>
      </w:r>
      <w:r w:rsidR="00020BF7" w:rsidRPr="009114DF">
        <w:rPr>
          <w:rFonts w:ascii="Times New Roman" w:hAnsi="Times New Roman"/>
          <w:kern w:val="2"/>
          <w:sz w:val="28"/>
          <w:szCs w:val="28"/>
          <w:lang w:eastAsia="ko-KR"/>
        </w:rPr>
        <w:t>]</w:t>
      </w:r>
      <w:r w:rsidR="00F035EC" w:rsidRPr="009114DF">
        <w:rPr>
          <w:rFonts w:ascii="Times New Roman" w:hAnsi="Times New Roman"/>
          <w:kern w:val="2"/>
          <w:sz w:val="28"/>
          <w:szCs w:val="28"/>
          <w:lang w:eastAsia="ko-KR"/>
        </w:rPr>
        <w:t>.</w:t>
      </w:r>
    </w:p>
    <w:p w:rsidR="00F035EC" w:rsidRPr="009114DF" w:rsidRDefault="0073620F" w:rsidP="00F035EC">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Протективный эффект абатацепта, </w:t>
      </w:r>
      <w:r w:rsidR="00F035EC" w:rsidRPr="009114DF">
        <w:rPr>
          <w:rFonts w:ascii="Times New Roman" w:hAnsi="Times New Roman"/>
          <w:kern w:val="2"/>
          <w:sz w:val="28"/>
          <w:szCs w:val="28"/>
          <w:lang w:eastAsia="ko-KR"/>
        </w:rPr>
        <w:t>р</w:t>
      </w:r>
      <w:r w:rsidRPr="009114DF">
        <w:rPr>
          <w:rFonts w:ascii="Times New Roman" w:hAnsi="Times New Roman"/>
          <w:kern w:val="2"/>
          <w:sz w:val="28"/>
          <w:szCs w:val="28"/>
          <w:lang w:eastAsia="ko-KR"/>
        </w:rPr>
        <w:t>астворимой</w:t>
      </w:r>
      <w:r w:rsidR="00DD5E76"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гибридной белковой молекулы, состоящей</w:t>
      </w:r>
      <w:r w:rsidR="00F035EC" w:rsidRPr="009114DF">
        <w:rPr>
          <w:rFonts w:ascii="Times New Roman" w:hAnsi="Times New Roman"/>
          <w:kern w:val="2"/>
          <w:sz w:val="28"/>
          <w:szCs w:val="28"/>
          <w:lang w:eastAsia="ko-KR"/>
        </w:rPr>
        <w:t xml:space="preserve"> из внеклеточного домена CTLA4 человека, связанного с </w:t>
      </w:r>
      <w:proofErr w:type="gramStart"/>
      <w:r w:rsidR="00F035EC" w:rsidRPr="009114DF">
        <w:rPr>
          <w:rFonts w:ascii="Times New Roman" w:hAnsi="Times New Roman"/>
          <w:kern w:val="2"/>
          <w:sz w:val="28"/>
          <w:szCs w:val="28"/>
          <w:lang w:eastAsia="ko-KR"/>
        </w:rPr>
        <w:t>мод</w:t>
      </w:r>
      <w:r w:rsidRPr="009114DF">
        <w:rPr>
          <w:rFonts w:ascii="Times New Roman" w:hAnsi="Times New Roman"/>
          <w:kern w:val="2"/>
          <w:sz w:val="28"/>
          <w:szCs w:val="28"/>
          <w:lang w:eastAsia="ko-KR"/>
        </w:rPr>
        <w:t>ифицированным</w:t>
      </w:r>
      <w:proofErr w:type="gramEnd"/>
      <w:r w:rsidRPr="009114DF">
        <w:rPr>
          <w:rFonts w:ascii="Times New Roman" w:hAnsi="Times New Roman"/>
          <w:kern w:val="2"/>
          <w:sz w:val="28"/>
          <w:szCs w:val="28"/>
          <w:lang w:eastAsia="ko-KR"/>
        </w:rPr>
        <w:t xml:space="preserve"> Fc-фрагментом IgG, </w:t>
      </w:r>
      <w:r w:rsidR="00F035EC" w:rsidRPr="009114DF">
        <w:t xml:space="preserve"> </w:t>
      </w:r>
      <w:r w:rsidR="00DD5E76" w:rsidRPr="009114DF">
        <w:rPr>
          <w:rFonts w:ascii="Times New Roman" w:hAnsi="Times New Roman"/>
          <w:kern w:val="2"/>
          <w:sz w:val="28"/>
          <w:szCs w:val="28"/>
          <w:lang w:eastAsia="ko-KR"/>
        </w:rPr>
        <w:t xml:space="preserve">показан </w:t>
      </w:r>
      <w:r w:rsidR="00F035EC" w:rsidRPr="009114DF">
        <w:rPr>
          <w:rFonts w:ascii="Times New Roman" w:hAnsi="Times New Roman"/>
          <w:kern w:val="2"/>
          <w:sz w:val="28"/>
          <w:szCs w:val="28"/>
          <w:lang w:eastAsia="ko-KR"/>
        </w:rPr>
        <w:t>в эксперименте</w:t>
      </w:r>
      <w:r w:rsidR="00DD5E76" w:rsidRPr="009114DF">
        <w:rPr>
          <w:rFonts w:ascii="Times New Roman" w:hAnsi="Times New Roman"/>
          <w:kern w:val="2"/>
          <w:sz w:val="28"/>
          <w:szCs w:val="28"/>
          <w:lang w:eastAsia="ko-KR"/>
        </w:rPr>
        <w:t xml:space="preserve"> </w:t>
      </w:r>
      <w:r w:rsidR="00F035EC" w:rsidRPr="009114DF">
        <w:rPr>
          <w:rFonts w:ascii="Times New Roman" w:hAnsi="Times New Roman"/>
          <w:kern w:val="2"/>
          <w:sz w:val="28"/>
          <w:szCs w:val="28"/>
          <w:lang w:eastAsia="ko-KR"/>
        </w:rPr>
        <w:t>на мышах с индуцированной потерей МПК после введения паратиреоидного гормона [</w:t>
      </w:r>
      <w:r w:rsidR="00243567" w:rsidRPr="009114DF">
        <w:rPr>
          <w:rFonts w:ascii="Times New Roman" w:hAnsi="Times New Roman"/>
          <w:kern w:val="2"/>
          <w:sz w:val="28"/>
          <w:szCs w:val="28"/>
          <w:lang w:eastAsia="ko-KR"/>
        </w:rPr>
        <w:t>120</w:t>
      </w:r>
      <w:r w:rsidR="00F035EC"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В настоящее время</w:t>
      </w:r>
      <w:r w:rsidR="00F035EC"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достоверных результатов клинических исследований по изучению влияния абатацепта на системное костное ремоделирование недостаточно</w:t>
      </w:r>
      <w:r w:rsidR="00044389"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w:t>
      </w:r>
    </w:p>
    <w:p w:rsidR="00CF7FBB" w:rsidRPr="009114DF" w:rsidRDefault="00042683" w:rsidP="00F035EC">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Принципально другой</w:t>
      </w:r>
      <w:r w:rsidR="00CF7FBB"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точкой</w:t>
      </w:r>
      <w:r w:rsidR="00CF7FBB"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воздействия </w:t>
      </w:r>
      <w:r w:rsidR="00CF7FBB" w:rsidRPr="009114DF">
        <w:rPr>
          <w:rFonts w:ascii="Times New Roman" w:hAnsi="Times New Roman"/>
          <w:kern w:val="2"/>
          <w:sz w:val="28"/>
          <w:szCs w:val="28"/>
          <w:lang w:eastAsia="ko-KR"/>
        </w:rPr>
        <w:t xml:space="preserve">генно-инженерной биологической терапии явилась разработка генно-инженерных биологических препаратов </w:t>
      </w:r>
      <w:r w:rsidRPr="009114DF">
        <w:rPr>
          <w:rFonts w:ascii="Times New Roman" w:hAnsi="Times New Roman"/>
          <w:kern w:val="2"/>
          <w:sz w:val="28"/>
          <w:szCs w:val="28"/>
          <w:lang w:eastAsia="ko-KR"/>
        </w:rPr>
        <w:t xml:space="preserve">влияющих </w:t>
      </w:r>
      <w:r w:rsidR="00CF7FBB" w:rsidRPr="009114DF">
        <w:rPr>
          <w:rFonts w:ascii="Times New Roman" w:hAnsi="Times New Roman"/>
          <w:kern w:val="2"/>
          <w:sz w:val="28"/>
          <w:szCs w:val="28"/>
          <w:lang w:eastAsia="ko-KR"/>
        </w:rPr>
        <w:t xml:space="preserve">на </w:t>
      </w:r>
      <w:proofErr w:type="gramStart"/>
      <w:r w:rsidR="00CF7FBB" w:rsidRPr="009114DF">
        <w:rPr>
          <w:rFonts w:ascii="Times New Roman" w:hAnsi="Times New Roman"/>
          <w:kern w:val="2"/>
          <w:sz w:val="28"/>
          <w:szCs w:val="28"/>
          <w:lang w:eastAsia="ko-KR"/>
        </w:rPr>
        <w:t>В-клеточное</w:t>
      </w:r>
      <w:proofErr w:type="gramEnd"/>
      <w:r w:rsidR="00CF7FBB" w:rsidRPr="009114DF">
        <w:rPr>
          <w:rFonts w:ascii="Times New Roman" w:hAnsi="Times New Roman"/>
          <w:kern w:val="2"/>
          <w:sz w:val="28"/>
          <w:szCs w:val="28"/>
          <w:lang w:eastAsia="ko-KR"/>
        </w:rPr>
        <w:t xml:space="preserve"> звено </w:t>
      </w:r>
      <w:r w:rsidRPr="009114DF">
        <w:rPr>
          <w:rFonts w:ascii="Times New Roman" w:hAnsi="Times New Roman"/>
          <w:kern w:val="2"/>
          <w:sz w:val="28"/>
          <w:szCs w:val="28"/>
          <w:lang w:eastAsia="ko-KR"/>
        </w:rPr>
        <w:t>воспалительного</w:t>
      </w:r>
      <w:r w:rsidR="00162CE0" w:rsidRPr="009114DF">
        <w:rPr>
          <w:rFonts w:ascii="Times New Roman" w:hAnsi="Times New Roman"/>
          <w:kern w:val="2"/>
          <w:sz w:val="28"/>
          <w:szCs w:val="28"/>
          <w:lang w:eastAsia="ko-KR"/>
        </w:rPr>
        <w:t xml:space="preserve"> процесса при РА</w:t>
      </w:r>
      <w:r w:rsidR="00CF7FBB" w:rsidRPr="009114DF">
        <w:rPr>
          <w:rFonts w:ascii="Times New Roman" w:hAnsi="Times New Roman"/>
          <w:kern w:val="2"/>
          <w:sz w:val="28"/>
          <w:szCs w:val="28"/>
          <w:lang w:eastAsia="ko-KR"/>
        </w:rPr>
        <w:t>. Важное значение В-лимфоцитов в развитии РА связано с синтезом ревматоидного фактора (РФ) и спектра других аутоантител, включает участие в презентировании антигенов клеткам, регуляции синтеза провоспалительных цитокинов (ФН</w:t>
      </w:r>
      <w:proofErr w:type="gramStart"/>
      <w:r w:rsidR="00CF7FBB" w:rsidRPr="009114DF">
        <w:rPr>
          <w:rFonts w:ascii="Times New Roman" w:hAnsi="Times New Roman"/>
          <w:kern w:val="2"/>
          <w:sz w:val="28"/>
          <w:szCs w:val="28"/>
          <w:lang w:eastAsia="ko-KR"/>
        </w:rPr>
        <w:t>О-</w:t>
      </w:r>
      <w:proofErr w:type="gramEnd"/>
      <w:r w:rsidR="001F44A9" w:rsidRPr="009114DF">
        <w:rPr>
          <w:rFonts w:ascii="Times New Roman" w:hAnsi="Times New Roman"/>
          <w:kern w:val="2"/>
          <w:sz w:val="28"/>
          <w:szCs w:val="28"/>
          <w:lang w:eastAsia="ko-KR"/>
        </w:rPr>
        <w:t>α</w:t>
      </w:r>
      <w:r w:rsidR="00CF7FBB" w:rsidRPr="009114DF">
        <w:rPr>
          <w:rFonts w:ascii="Times New Roman" w:hAnsi="Times New Roman"/>
          <w:kern w:val="2"/>
          <w:sz w:val="28"/>
          <w:szCs w:val="28"/>
          <w:lang w:eastAsia="ko-KR"/>
        </w:rPr>
        <w:t>, ИЛ-6, ИЛ-10 и др.), играющих ведущую роль в патогенезе РА [</w:t>
      </w:r>
      <w:r w:rsidR="00BF6634" w:rsidRPr="009114DF">
        <w:rPr>
          <w:rFonts w:ascii="Times New Roman" w:hAnsi="Times New Roman"/>
          <w:kern w:val="2"/>
          <w:sz w:val="28"/>
          <w:szCs w:val="28"/>
          <w:lang w:eastAsia="ko-KR"/>
        </w:rPr>
        <w:t>53,</w:t>
      </w:r>
      <w:r w:rsidR="001F44A9" w:rsidRPr="009114DF">
        <w:rPr>
          <w:rFonts w:ascii="Times New Roman" w:hAnsi="Times New Roman"/>
          <w:kern w:val="2"/>
          <w:sz w:val="28"/>
          <w:szCs w:val="28"/>
          <w:lang w:eastAsia="ko-KR"/>
        </w:rPr>
        <w:t xml:space="preserve"> </w:t>
      </w:r>
      <w:r w:rsidR="00041E69" w:rsidRPr="009114DF">
        <w:rPr>
          <w:rFonts w:ascii="Times New Roman" w:hAnsi="Times New Roman"/>
          <w:kern w:val="2"/>
          <w:sz w:val="28"/>
          <w:szCs w:val="28"/>
          <w:lang w:eastAsia="ko-KR"/>
        </w:rPr>
        <w:t>92</w:t>
      </w:r>
      <w:r w:rsidR="00CF7FBB" w:rsidRPr="009114DF">
        <w:rPr>
          <w:rFonts w:ascii="Times New Roman" w:hAnsi="Times New Roman"/>
          <w:kern w:val="2"/>
          <w:sz w:val="28"/>
          <w:szCs w:val="28"/>
          <w:lang w:eastAsia="ko-KR"/>
        </w:rPr>
        <w:t>]. Все это позволило рассматривать В-клетки в качестве перспективных терапевтических мишеней при РА и обосновало перспективность исп</w:t>
      </w:r>
      <w:r w:rsidR="006474EF" w:rsidRPr="009114DF">
        <w:rPr>
          <w:rFonts w:ascii="Times New Roman" w:hAnsi="Times New Roman"/>
          <w:kern w:val="2"/>
          <w:sz w:val="28"/>
          <w:szCs w:val="28"/>
          <w:lang w:eastAsia="ko-KR"/>
        </w:rPr>
        <w:t>ользования препарата ритуксимаб</w:t>
      </w:r>
      <w:r w:rsidR="00CF7FBB" w:rsidRPr="009114DF">
        <w:rPr>
          <w:rFonts w:ascii="Times New Roman" w:hAnsi="Times New Roman"/>
          <w:kern w:val="2"/>
          <w:sz w:val="28"/>
          <w:szCs w:val="28"/>
          <w:lang w:eastAsia="ko-KR"/>
        </w:rPr>
        <w:t>, представляющего собой</w:t>
      </w:r>
      <w:r w:rsidR="00CD2EDC"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химерные моноклональные антитела к CD20 молекуле В-клеток, в качестве базисного средства лечения РА</w:t>
      </w:r>
      <w:r w:rsidR="00162CE0" w:rsidRPr="009114DF">
        <w:rPr>
          <w:rFonts w:ascii="Times New Roman" w:hAnsi="Times New Roman"/>
          <w:kern w:val="2"/>
          <w:sz w:val="28"/>
          <w:szCs w:val="28"/>
          <w:lang w:eastAsia="ko-KR"/>
        </w:rPr>
        <w:t xml:space="preserve"> [</w:t>
      </w:r>
      <w:r w:rsidR="00957C16" w:rsidRPr="009114DF">
        <w:rPr>
          <w:rFonts w:ascii="Times New Roman" w:hAnsi="Times New Roman"/>
          <w:kern w:val="2"/>
          <w:sz w:val="28"/>
          <w:szCs w:val="28"/>
          <w:lang w:eastAsia="ko-KR"/>
        </w:rPr>
        <w:t>174</w:t>
      </w:r>
      <w:r w:rsidR="00162CE0" w:rsidRPr="009114DF">
        <w:rPr>
          <w:rFonts w:ascii="Times New Roman" w:hAnsi="Times New Roman"/>
          <w:kern w:val="2"/>
          <w:sz w:val="28"/>
          <w:szCs w:val="28"/>
          <w:lang w:eastAsia="ko-KR"/>
        </w:rPr>
        <w:t>].</w:t>
      </w:r>
      <w:r w:rsidR="00CF7FBB" w:rsidRPr="009114DF">
        <w:rPr>
          <w:rFonts w:ascii="Times New Roman" w:hAnsi="Times New Roman"/>
          <w:sz w:val="28"/>
          <w:szCs w:val="28"/>
          <w:lang w:eastAsia="ru-RU"/>
        </w:rPr>
        <w:t xml:space="preserve"> </w:t>
      </w:r>
      <w:r w:rsidR="00CF7FBB" w:rsidRPr="009114DF">
        <w:rPr>
          <w:rFonts w:ascii="Times New Roman" w:hAnsi="Times New Roman"/>
          <w:kern w:val="2"/>
          <w:sz w:val="28"/>
          <w:szCs w:val="28"/>
          <w:lang w:eastAsia="ko-KR"/>
        </w:rPr>
        <w:t>Выбор CD20 молекулы в качестве мишени для моноклональных антител связан с о</w:t>
      </w:r>
      <w:r w:rsidR="00BF6634" w:rsidRPr="009114DF">
        <w:rPr>
          <w:rFonts w:ascii="Times New Roman" w:hAnsi="Times New Roman"/>
          <w:kern w:val="2"/>
          <w:sz w:val="28"/>
          <w:szCs w:val="28"/>
          <w:lang w:eastAsia="ko-KR"/>
        </w:rPr>
        <w:t>собенностями дифференцировки В-</w:t>
      </w:r>
      <w:r w:rsidR="00CF7FBB" w:rsidRPr="009114DF">
        <w:rPr>
          <w:rFonts w:ascii="Times New Roman" w:hAnsi="Times New Roman"/>
          <w:kern w:val="2"/>
          <w:sz w:val="28"/>
          <w:szCs w:val="28"/>
          <w:lang w:eastAsia="ko-KR"/>
        </w:rPr>
        <w:t xml:space="preserve">клеток, которые в процессе созревания от </w:t>
      </w:r>
      <w:r w:rsidR="00CF7FBB" w:rsidRPr="009114DF">
        <w:rPr>
          <w:rFonts w:ascii="Times New Roman" w:hAnsi="Times New Roman"/>
          <w:kern w:val="2"/>
          <w:sz w:val="28"/>
          <w:szCs w:val="28"/>
          <w:lang w:eastAsia="ko-KR"/>
        </w:rPr>
        <w:lastRenderedPageBreak/>
        <w:t>стволовых клеток в плазматические клетки проходят несколько последовательных стадий, для каждой из которых характерна экспрессия определенных мембранных молекул. Экспрессия CD20 наблюдается на мембране ранних и зрелых В-лимфоцитов, но не стволовых, ранних пре-В, дендритных и плазматических клеток, поэтому их истощение не отменяет регенерацию пула В-лимфоцитов и не влияет на синтез нормальных антител плазматическими клетками. Кроме того, CD20 не высвобождается с мембраны В-лимфоцитов и отсутствует в циркулирующей (растворимой) форме, которая потенциально могла бы мешать взаимодействию анти-СD20 антител с В</w:t>
      </w:r>
      <w:r w:rsidR="001F44A9"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клетками. Полагают, что способность РТМ элиминировать</w:t>
      </w:r>
      <w:r w:rsidR="00097064"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В</w:t>
      </w:r>
      <w:r w:rsidR="00404230"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клетки реализуется за счет нескольких механизмов, в том числе </w:t>
      </w:r>
      <w:proofErr w:type="gramStart"/>
      <w:r w:rsidR="00CF7FBB" w:rsidRPr="009114DF">
        <w:rPr>
          <w:rFonts w:ascii="Times New Roman" w:hAnsi="Times New Roman"/>
          <w:kern w:val="2"/>
          <w:sz w:val="28"/>
          <w:szCs w:val="28"/>
          <w:lang w:eastAsia="ko-KR"/>
        </w:rPr>
        <w:t>комплемент-зависимой</w:t>
      </w:r>
      <w:proofErr w:type="gramEnd"/>
      <w:r w:rsidR="00CF7FBB" w:rsidRPr="009114DF">
        <w:rPr>
          <w:rFonts w:ascii="Times New Roman" w:hAnsi="Times New Roman"/>
          <w:kern w:val="2"/>
          <w:sz w:val="28"/>
          <w:szCs w:val="28"/>
          <w:lang w:eastAsia="ko-KR"/>
        </w:rPr>
        <w:t xml:space="preserve"> и антителозависимой клеточной цитотоксичности</w:t>
      </w:r>
      <w:r w:rsidR="00162CE0" w:rsidRPr="009114DF">
        <w:rPr>
          <w:rFonts w:ascii="Times New Roman" w:hAnsi="Times New Roman"/>
          <w:kern w:val="2"/>
          <w:sz w:val="28"/>
          <w:szCs w:val="28"/>
          <w:lang w:eastAsia="ko-KR"/>
        </w:rPr>
        <w:t>, а также индукции апоптоза [</w:t>
      </w:r>
      <w:r w:rsidR="00BF6634" w:rsidRPr="009114DF">
        <w:rPr>
          <w:rFonts w:ascii="Times New Roman" w:hAnsi="Times New Roman"/>
          <w:kern w:val="2"/>
          <w:sz w:val="28"/>
          <w:szCs w:val="28"/>
          <w:lang w:eastAsia="ko-KR"/>
        </w:rPr>
        <w:t>53</w:t>
      </w:r>
      <w:r w:rsidR="00CF7FBB" w:rsidRPr="009114DF">
        <w:rPr>
          <w:rFonts w:ascii="Times New Roman" w:hAnsi="Times New Roman"/>
          <w:kern w:val="2"/>
          <w:sz w:val="28"/>
          <w:szCs w:val="28"/>
          <w:lang w:eastAsia="ko-KR"/>
        </w:rPr>
        <w:t>]. В 2007 г. опубликовано обобщенное согласованное мнение европейских экспертов относительно</w:t>
      </w:r>
      <w:r w:rsidR="00162CE0" w:rsidRPr="009114DF">
        <w:rPr>
          <w:rFonts w:ascii="Times New Roman" w:hAnsi="Times New Roman"/>
          <w:kern w:val="2"/>
          <w:sz w:val="28"/>
          <w:szCs w:val="28"/>
          <w:lang w:eastAsia="ko-KR"/>
        </w:rPr>
        <w:t xml:space="preserve"> применения РТМ у больных РА [</w:t>
      </w:r>
      <w:r w:rsidR="0004338D" w:rsidRPr="009114DF">
        <w:rPr>
          <w:rFonts w:ascii="Times New Roman" w:hAnsi="Times New Roman"/>
          <w:kern w:val="2"/>
          <w:sz w:val="28"/>
          <w:szCs w:val="28"/>
          <w:lang w:eastAsia="ko-KR"/>
        </w:rPr>
        <w:t>185</w:t>
      </w:r>
      <w:r w:rsidR="00CF7FBB" w:rsidRPr="009114DF">
        <w:rPr>
          <w:rFonts w:ascii="Times New Roman" w:hAnsi="Times New Roman"/>
          <w:kern w:val="2"/>
          <w:sz w:val="28"/>
          <w:szCs w:val="28"/>
          <w:lang w:eastAsia="ko-KR"/>
        </w:rPr>
        <w:t>]. В этом заявлении-консенсусе авторы рассматривают ряд важных положений, касающихся использования данного препарата в реальной клинической практике. Так, указывается, что целесообразность назначения РТМ может рассматриваться не только после неэффективности предшествующего лечения блокаторами ФН</w:t>
      </w:r>
      <w:proofErr w:type="gramStart"/>
      <w:r w:rsidR="00CF7FBB" w:rsidRPr="009114DF">
        <w:rPr>
          <w:rFonts w:ascii="Times New Roman" w:hAnsi="Times New Roman"/>
          <w:kern w:val="2"/>
          <w:sz w:val="28"/>
          <w:szCs w:val="28"/>
          <w:lang w:eastAsia="ko-KR"/>
        </w:rPr>
        <w:t>О-</w:t>
      </w:r>
      <w:proofErr w:type="gramEnd"/>
      <w:r w:rsidR="001F44A9" w:rsidRPr="009114DF">
        <w:rPr>
          <w:rFonts w:ascii="Times New Roman" w:hAnsi="Times New Roman"/>
          <w:kern w:val="2"/>
          <w:sz w:val="28"/>
          <w:szCs w:val="28"/>
          <w:lang w:eastAsia="ko-KR"/>
        </w:rPr>
        <w:t>α</w:t>
      </w:r>
      <w:r w:rsidR="00CF7FBB" w:rsidRPr="009114DF">
        <w:rPr>
          <w:rFonts w:ascii="Times New Roman" w:hAnsi="Times New Roman"/>
          <w:kern w:val="2"/>
          <w:sz w:val="28"/>
          <w:szCs w:val="28"/>
          <w:lang w:eastAsia="ko-KR"/>
        </w:rPr>
        <w:t>, но и при наличии противопоказаний к этим средствам. Таким образом, было признано, что РТМ может быть первым среди биологических препаратов, назначаемых больному РА. У пациентов с РА введение РТМ приводит к почти полному (&gt;97%) истощению пула В</w:t>
      </w:r>
      <w:r w:rsidR="001F44A9"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клеток (CD 19+) в кровяном русле уже в течение нескольких дней после введения препарата апоптоза, которое сохраняется у подавляющего большинства больных в </w:t>
      </w:r>
      <w:proofErr w:type="gramStart"/>
      <w:r w:rsidR="00CF7FBB" w:rsidRPr="009114DF">
        <w:rPr>
          <w:rFonts w:ascii="Times New Roman" w:hAnsi="Times New Roman"/>
          <w:kern w:val="2"/>
          <w:sz w:val="28"/>
          <w:szCs w:val="28"/>
          <w:lang w:eastAsia="ko-KR"/>
        </w:rPr>
        <w:t>течение</w:t>
      </w:r>
      <w:proofErr w:type="gramEnd"/>
      <w:r w:rsidR="00162CE0" w:rsidRPr="009114DF">
        <w:rPr>
          <w:rFonts w:ascii="Times New Roman" w:hAnsi="Times New Roman"/>
          <w:kern w:val="2"/>
          <w:sz w:val="28"/>
          <w:szCs w:val="28"/>
          <w:lang w:eastAsia="ko-KR"/>
        </w:rPr>
        <w:t xml:space="preserve"> по крайней мере 6 месяцев</w:t>
      </w:r>
      <w:r w:rsidR="00CF7FBB" w:rsidRPr="009114DF">
        <w:rPr>
          <w:rFonts w:ascii="Times New Roman" w:hAnsi="Times New Roman"/>
          <w:kern w:val="2"/>
          <w:sz w:val="28"/>
          <w:szCs w:val="28"/>
          <w:lang w:eastAsia="ko-KR"/>
        </w:rPr>
        <w:t>.</w:t>
      </w:r>
      <w:r w:rsidR="00097064"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У некоторых пациентов нарастание числа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клеток наблюдается раньше(4 мес</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что коррелирует с низким уровнем РТМ в сыворотке (7,5 мг/мл), в то время как у других</w:t>
      </w:r>
      <w:r w:rsidR="00CD2EDC"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истощение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клеток стойко сохраняется в течение</w:t>
      </w:r>
      <w:r w:rsidR="00097064"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12 мес</w:t>
      </w:r>
      <w:r w:rsidR="00100963" w:rsidRPr="009114DF">
        <w:rPr>
          <w:rFonts w:ascii="Times New Roman" w:hAnsi="Times New Roman"/>
          <w:kern w:val="2"/>
          <w:sz w:val="28"/>
          <w:szCs w:val="28"/>
          <w:lang w:eastAsia="ko-KR"/>
        </w:rPr>
        <w:t>яцев</w:t>
      </w:r>
      <w:r w:rsidR="00CF7FBB" w:rsidRPr="009114DF">
        <w:rPr>
          <w:rFonts w:ascii="Times New Roman" w:hAnsi="Times New Roman"/>
          <w:kern w:val="2"/>
          <w:sz w:val="28"/>
          <w:szCs w:val="28"/>
          <w:lang w:eastAsia="ko-KR"/>
        </w:rPr>
        <w:t xml:space="preserve"> и более. При этом четкой связи между уровнем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клеток и эффективностью терапии РТМ не прослеживается. В одних случаях обострение болезни наблюдается в течение 2</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3 месяцев после выявления признаков </w:t>
      </w:r>
      <w:r w:rsidR="00CF7FBB" w:rsidRPr="009114DF">
        <w:rPr>
          <w:rFonts w:ascii="Times New Roman" w:hAnsi="Times New Roman"/>
          <w:kern w:val="2"/>
          <w:sz w:val="28"/>
          <w:szCs w:val="28"/>
          <w:lang w:eastAsia="ko-KR"/>
        </w:rPr>
        <w:lastRenderedPageBreak/>
        <w:t>«регенерации»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клеток, в то время как у других</w:t>
      </w:r>
      <w:r w:rsidR="00CD2EDC"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клиническое улучшение сохраняется, несмотря на нормализацию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клеток</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или</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наоборот, отсутствует эффект, несмотря на полное истощение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клеток. Поскольку плазматические клетки синтезируют основные классы иммуноглобулинов (</w:t>
      </w:r>
      <w:r w:rsidR="006474EF" w:rsidRPr="009114DF">
        <w:rPr>
          <w:rFonts w:ascii="Times New Roman" w:hAnsi="Times New Roman"/>
          <w:kern w:val="2"/>
          <w:sz w:val="28"/>
          <w:szCs w:val="28"/>
          <w:lang w:eastAsia="ko-KR"/>
        </w:rPr>
        <w:t>иммуноглобулин (</w:t>
      </w:r>
      <w:r w:rsidR="00CF7FBB" w:rsidRPr="009114DF">
        <w:rPr>
          <w:rFonts w:ascii="Times New Roman" w:hAnsi="Times New Roman"/>
          <w:kern w:val="2"/>
          <w:sz w:val="28"/>
          <w:szCs w:val="28"/>
          <w:lang w:eastAsia="ko-KR"/>
        </w:rPr>
        <w:t>Ig</w:t>
      </w:r>
      <w:r w:rsidR="006474EF"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G, IgA, IgM), эти данные позволяют объяснить, почему на фоне введения РТМ не наблюдается существенного снижения их концентрации. В то же время концентрация патогенных аутоантител, таких как РФ и в меньшей степени анти-ЦЦП</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достоверно </w:t>
      </w:r>
      <w:r w:rsidR="00AE1A91" w:rsidRPr="009114DF">
        <w:rPr>
          <w:rFonts w:ascii="Times New Roman" w:hAnsi="Times New Roman"/>
          <w:kern w:val="2"/>
          <w:sz w:val="28"/>
          <w:szCs w:val="28"/>
          <w:lang w:eastAsia="ko-KR"/>
        </w:rPr>
        <w:t>снижается [</w:t>
      </w:r>
      <w:r w:rsidR="00DB4CFA" w:rsidRPr="009114DF">
        <w:rPr>
          <w:rFonts w:ascii="Times New Roman" w:hAnsi="Times New Roman"/>
          <w:kern w:val="2"/>
          <w:sz w:val="28"/>
          <w:szCs w:val="28"/>
          <w:lang w:eastAsia="ko-KR"/>
        </w:rPr>
        <w:t>10</w:t>
      </w:r>
      <w:r w:rsidR="00CF7FBB" w:rsidRPr="009114DF">
        <w:rPr>
          <w:rFonts w:ascii="Times New Roman" w:hAnsi="Times New Roman"/>
          <w:kern w:val="2"/>
          <w:sz w:val="28"/>
          <w:szCs w:val="28"/>
          <w:lang w:eastAsia="ko-KR"/>
        </w:rPr>
        <w:t>], можно предположить, что РТМ элиминирует аутореактивные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клетки, которые участвуют в развитии патологического процесса при РА. В недавних исследованиях было показано, что клиническое улучшение у больных РА на фоне лечения РТМ ассоциируется с существенным изменением функции моноцитов/макрофагов, проявляющееся в снижении синтеза ФН</w:t>
      </w:r>
      <w:proofErr w:type="gramStart"/>
      <w:r w:rsidR="00CF7FBB" w:rsidRPr="009114DF">
        <w:rPr>
          <w:rFonts w:ascii="Times New Roman" w:hAnsi="Times New Roman"/>
          <w:kern w:val="2"/>
          <w:sz w:val="28"/>
          <w:szCs w:val="28"/>
          <w:lang w:eastAsia="ko-KR"/>
        </w:rPr>
        <w:t>О-</w:t>
      </w:r>
      <w:proofErr w:type="gramEnd"/>
      <w:r w:rsidR="00100963" w:rsidRPr="009114DF">
        <w:rPr>
          <w:rFonts w:ascii="Times New Roman" w:hAnsi="Times New Roman"/>
          <w:kern w:val="2"/>
          <w:sz w:val="28"/>
          <w:szCs w:val="28"/>
          <w:lang w:eastAsia="ko-KR"/>
        </w:rPr>
        <w:t>α</w:t>
      </w:r>
      <w:r w:rsidR="00CF7FBB" w:rsidRPr="009114DF">
        <w:rPr>
          <w:rFonts w:ascii="Times New Roman" w:hAnsi="Times New Roman"/>
          <w:kern w:val="2"/>
          <w:sz w:val="28"/>
          <w:szCs w:val="28"/>
          <w:lang w:eastAsia="ko-KR"/>
        </w:rPr>
        <w:t xml:space="preserve"> и увеличении ИЛ-10, обладающего анти</w:t>
      </w:r>
      <w:r w:rsidR="00BF6634" w:rsidRPr="009114DF">
        <w:rPr>
          <w:rFonts w:ascii="Times New Roman" w:hAnsi="Times New Roman"/>
          <w:kern w:val="2"/>
          <w:sz w:val="28"/>
          <w:szCs w:val="28"/>
          <w:lang w:eastAsia="ko-KR"/>
        </w:rPr>
        <w:t>воспалительной активностью [</w:t>
      </w:r>
      <w:r w:rsidR="00A05647" w:rsidRPr="009114DF">
        <w:rPr>
          <w:rFonts w:ascii="Times New Roman" w:hAnsi="Times New Roman"/>
          <w:kern w:val="2"/>
          <w:sz w:val="28"/>
          <w:szCs w:val="28"/>
          <w:lang w:val="en-US" w:eastAsia="ko-KR"/>
        </w:rPr>
        <w:t>108</w:t>
      </w:r>
      <w:r w:rsidR="00CF7FBB" w:rsidRPr="009114DF">
        <w:rPr>
          <w:rFonts w:ascii="Times New Roman" w:hAnsi="Times New Roman"/>
          <w:kern w:val="2"/>
          <w:sz w:val="28"/>
          <w:szCs w:val="28"/>
          <w:lang w:eastAsia="ko-KR"/>
        </w:rPr>
        <w:t xml:space="preserve">]. </w:t>
      </w:r>
      <w:proofErr w:type="gramStart"/>
      <w:r w:rsidR="00CF7FBB" w:rsidRPr="009114DF">
        <w:rPr>
          <w:rFonts w:ascii="Times New Roman" w:hAnsi="Times New Roman"/>
          <w:kern w:val="2"/>
          <w:sz w:val="28"/>
          <w:szCs w:val="28"/>
          <w:lang w:eastAsia="ko-KR"/>
        </w:rPr>
        <w:t>Установлено, что наибольшее развитие выраженного улучшения (ACR 50) имело место у пациентов, у которых отмечено не только почти полное истощение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клеток в периферической крови, но и существенное снижение количества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клеток в синовиальной ткани, в то время как у пациентов с умеренным ответом (ACR 20) уменьшение числа В</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клеток</w:t>
      </w:r>
      <w:r w:rsidR="00F309EA"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как в периферической крови, так и в синовиальной ткани было выражено в меньшей</w:t>
      </w:r>
      <w:proofErr w:type="gramEnd"/>
      <w:r w:rsidR="00CF7FBB" w:rsidRPr="009114DF">
        <w:rPr>
          <w:rFonts w:ascii="Times New Roman" w:hAnsi="Times New Roman"/>
          <w:kern w:val="2"/>
          <w:sz w:val="28"/>
          <w:szCs w:val="28"/>
          <w:lang w:eastAsia="ko-KR"/>
        </w:rPr>
        <w:t xml:space="preserve"> степени. В ряде исследований показано, что высокая эффективность РТМ при РА коррелирует со снижением концентрации биологических маркеров, отражающих выраженность аутоиммунных реакций и воспаления, в том числе титров РФ и анти-ЦЦП, </w:t>
      </w:r>
      <w:r w:rsidR="00100963" w:rsidRPr="009114DF">
        <w:rPr>
          <w:rFonts w:ascii="Times New Roman" w:hAnsi="Times New Roman"/>
          <w:kern w:val="2"/>
          <w:sz w:val="28"/>
          <w:szCs w:val="28"/>
          <w:lang w:eastAsia="ko-KR"/>
        </w:rPr>
        <w:t>ИЛ</w:t>
      </w:r>
      <w:r w:rsidR="00CF7FBB" w:rsidRPr="009114DF">
        <w:rPr>
          <w:rFonts w:ascii="Times New Roman" w:hAnsi="Times New Roman"/>
          <w:kern w:val="2"/>
          <w:sz w:val="28"/>
          <w:szCs w:val="28"/>
          <w:lang w:eastAsia="ko-KR"/>
        </w:rPr>
        <w:t>-6, С-реактивного белка, сывороточного амилоидного белка</w:t>
      </w:r>
      <w:proofErr w:type="gramStart"/>
      <w:r w:rsidR="00CF7FBB" w:rsidRPr="009114DF">
        <w:rPr>
          <w:rFonts w:ascii="Times New Roman" w:hAnsi="Times New Roman"/>
          <w:kern w:val="2"/>
          <w:sz w:val="28"/>
          <w:szCs w:val="28"/>
          <w:lang w:eastAsia="ko-KR"/>
        </w:rPr>
        <w:t xml:space="preserve"> А</w:t>
      </w:r>
      <w:proofErr w:type="gramEnd"/>
      <w:r w:rsidR="00CF7FBB" w:rsidRPr="009114DF">
        <w:rPr>
          <w:rFonts w:ascii="Times New Roman" w:hAnsi="Times New Roman"/>
          <w:kern w:val="2"/>
          <w:sz w:val="28"/>
          <w:szCs w:val="28"/>
          <w:lang w:eastAsia="ko-KR"/>
        </w:rPr>
        <w:t>, кальцийсвязывающего белка S100 А8/9</w:t>
      </w:r>
      <w:r w:rsidR="006474EF" w:rsidRPr="009114DF">
        <w:rPr>
          <w:rFonts w:ascii="Times New Roman" w:hAnsi="Times New Roman"/>
          <w:kern w:val="2"/>
          <w:sz w:val="28"/>
          <w:szCs w:val="28"/>
          <w:lang w:eastAsia="ko-KR"/>
        </w:rPr>
        <w:t>, и увеличением концентрации N-</w:t>
      </w:r>
      <w:r w:rsidR="00CF7FBB" w:rsidRPr="009114DF">
        <w:rPr>
          <w:rFonts w:ascii="Times New Roman" w:hAnsi="Times New Roman"/>
          <w:kern w:val="2"/>
          <w:sz w:val="28"/>
          <w:szCs w:val="28"/>
          <w:lang w:eastAsia="ko-KR"/>
        </w:rPr>
        <w:t>терминального пропептида проколлагена типа 1</w:t>
      </w:r>
      <w:r w:rsidR="00100963"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eastAsia="ko-KR"/>
        </w:rPr>
        <w:t>и остеокальцина (маркеры костного метаболизма). Положительная динамика этих показателей имела место уже через 4 недели после введения препарата и дос</w:t>
      </w:r>
      <w:r w:rsidR="0079721D" w:rsidRPr="009114DF">
        <w:rPr>
          <w:rFonts w:ascii="Times New Roman" w:hAnsi="Times New Roman"/>
          <w:kern w:val="2"/>
          <w:sz w:val="28"/>
          <w:szCs w:val="28"/>
          <w:lang w:eastAsia="ko-KR"/>
        </w:rPr>
        <w:t>тигала</w:t>
      </w:r>
      <w:r w:rsidR="00B267BF" w:rsidRPr="009114DF">
        <w:rPr>
          <w:rFonts w:ascii="Times New Roman" w:hAnsi="Times New Roman"/>
          <w:kern w:val="2"/>
          <w:sz w:val="28"/>
          <w:szCs w:val="28"/>
          <w:lang w:eastAsia="ko-KR"/>
        </w:rPr>
        <w:t xml:space="preserve"> максимума к 24 неделе [1,</w:t>
      </w:r>
      <w:r w:rsidR="00100963" w:rsidRPr="009114DF">
        <w:rPr>
          <w:rFonts w:ascii="Times New Roman" w:hAnsi="Times New Roman"/>
          <w:kern w:val="2"/>
          <w:sz w:val="28"/>
          <w:szCs w:val="28"/>
          <w:lang w:eastAsia="ko-KR"/>
        </w:rPr>
        <w:t xml:space="preserve"> </w:t>
      </w:r>
      <w:r w:rsidR="00BF6634" w:rsidRPr="009114DF">
        <w:rPr>
          <w:rFonts w:ascii="Times New Roman" w:hAnsi="Times New Roman"/>
          <w:kern w:val="2"/>
          <w:sz w:val="28"/>
          <w:szCs w:val="28"/>
          <w:lang w:eastAsia="ko-KR"/>
        </w:rPr>
        <w:t>61</w:t>
      </w:r>
      <w:r w:rsidR="00CF7FBB" w:rsidRPr="009114DF">
        <w:rPr>
          <w:rFonts w:ascii="Times New Roman" w:hAnsi="Times New Roman"/>
          <w:kern w:val="2"/>
          <w:sz w:val="28"/>
          <w:szCs w:val="28"/>
          <w:lang w:eastAsia="ko-KR"/>
        </w:rPr>
        <w:t xml:space="preserve">]. </w:t>
      </w:r>
      <w:proofErr w:type="gramStart"/>
      <w:r w:rsidR="00CF7FBB" w:rsidRPr="009114DF">
        <w:rPr>
          <w:rFonts w:ascii="Times New Roman" w:hAnsi="Times New Roman"/>
          <w:kern w:val="2"/>
          <w:sz w:val="28"/>
          <w:szCs w:val="28"/>
          <w:lang w:eastAsia="ko-KR"/>
        </w:rPr>
        <w:t xml:space="preserve">Детальный анализ результатов исследований, касающихся оценки эффективности и безопасности РТМ, которые послужили основанием для регистрации препарата для лечения РА </w:t>
      </w:r>
      <w:r w:rsidR="00CF7FBB" w:rsidRPr="009114DF">
        <w:rPr>
          <w:rFonts w:ascii="Times New Roman" w:hAnsi="Times New Roman"/>
          <w:kern w:val="2"/>
          <w:sz w:val="28"/>
          <w:szCs w:val="28"/>
          <w:lang w:eastAsia="ko-KR"/>
        </w:rPr>
        <w:lastRenderedPageBreak/>
        <w:t>в США (FDA),</w:t>
      </w:r>
      <w:r w:rsidR="002B53B4" w:rsidRPr="009114DF">
        <w:rPr>
          <w:rFonts w:ascii="Times New Roman" w:hAnsi="Times New Roman"/>
          <w:kern w:val="2"/>
          <w:sz w:val="28"/>
          <w:szCs w:val="28"/>
          <w:lang w:eastAsia="ko-KR"/>
        </w:rPr>
        <w:t xml:space="preserve"> странах Западной Европы (ЕМЕА)</w:t>
      </w:r>
      <w:r w:rsidR="00CF7FBB" w:rsidRPr="009114DF">
        <w:rPr>
          <w:rFonts w:ascii="Times New Roman" w:hAnsi="Times New Roman"/>
          <w:kern w:val="2"/>
          <w:sz w:val="28"/>
          <w:szCs w:val="28"/>
          <w:lang w:eastAsia="ko-KR"/>
        </w:rPr>
        <w:t xml:space="preserve"> и России (октябрь 2006 г.)</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показал, что РТМ эффективен при тяжелом, резистентном к стандартным базисным противовоспалительным препаратам РА в виде монотерапии (уровень доказательности IB) и в комбинации с </w:t>
      </w:r>
      <w:r w:rsidR="00BA59B7"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(уровень доказательности IA), хотя эффективность</w:t>
      </w:r>
      <w:proofErr w:type="gramEnd"/>
      <w:r w:rsidR="00CF7FBB" w:rsidRPr="009114DF">
        <w:rPr>
          <w:rFonts w:ascii="Times New Roman" w:hAnsi="Times New Roman"/>
          <w:kern w:val="2"/>
          <w:sz w:val="28"/>
          <w:szCs w:val="28"/>
          <w:lang w:eastAsia="ko-KR"/>
        </w:rPr>
        <w:t xml:space="preserve"> монотерапии несколько ниже, чем комбинированной терапии (у</w:t>
      </w:r>
      <w:r w:rsidR="001252D6" w:rsidRPr="009114DF">
        <w:rPr>
          <w:rFonts w:ascii="Times New Roman" w:hAnsi="Times New Roman"/>
          <w:kern w:val="2"/>
          <w:sz w:val="28"/>
          <w:szCs w:val="28"/>
          <w:lang w:eastAsia="ko-KR"/>
        </w:rPr>
        <w:t>ровень доказательности IB)</w:t>
      </w:r>
      <w:r w:rsidR="00CF7FBB" w:rsidRPr="009114DF">
        <w:rPr>
          <w:rFonts w:ascii="Times New Roman" w:hAnsi="Times New Roman"/>
          <w:kern w:val="2"/>
          <w:sz w:val="28"/>
          <w:szCs w:val="28"/>
          <w:lang w:eastAsia="ko-KR"/>
        </w:rPr>
        <w:t>. Лечение РТМ ассоциируется с быстрым развитием клинического улучшения (в течение первых 3 недель после курса терапии) (уровень доказательности III), достигает максимума в течение 16 недель (уровень доказательности IA) и сохраняется 6</w:t>
      </w:r>
      <w:r w:rsidR="00100963"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12 месяцев (уровень доказательности III) [</w:t>
      </w:r>
      <w:r w:rsidR="00DB4CFA" w:rsidRPr="009114DF">
        <w:rPr>
          <w:rFonts w:ascii="Times New Roman" w:hAnsi="Times New Roman"/>
          <w:kern w:val="2"/>
          <w:sz w:val="28"/>
          <w:szCs w:val="28"/>
          <w:lang w:eastAsia="ko-KR"/>
        </w:rPr>
        <w:t>10</w:t>
      </w:r>
      <w:r w:rsidR="001252D6" w:rsidRPr="009114DF">
        <w:rPr>
          <w:rFonts w:ascii="Times New Roman" w:hAnsi="Times New Roman"/>
          <w:kern w:val="2"/>
          <w:sz w:val="28"/>
          <w:szCs w:val="28"/>
          <w:lang w:eastAsia="ko-KR"/>
        </w:rPr>
        <w:t>,</w:t>
      </w:r>
      <w:r w:rsidR="00100963" w:rsidRPr="009114DF">
        <w:rPr>
          <w:rFonts w:ascii="Times New Roman" w:hAnsi="Times New Roman"/>
          <w:kern w:val="2"/>
          <w:sz w:val="28"/>
          <w:szCs w:val="28"/>
          <w:lang w:eastAsia="ko-KR"/>
        </w:rPr>
        <w:t xml:space="preserve"> </w:t>
      </w:r>
      <w:r w:rsidR="00B267BF" w:rsidRPr="009114DF">
        <w:rPr>
          <w:rFonts w:ascii="Times New Roman" w:hAnsi="Times New Roman"/>
          <w:kern w:val="2"/>
          <w:sz w:val="28"/>
          <w:szCs w:val="28"/>
          <w:lang w:eastAsia="ko-KR"/>
        </w:rPr>
        <w:t>47</w:t>
      </w:r>
      <w:r w:rsidR="00CF7FBB" w:rsidRPr="009114DF">
        <w:rPr>
          <w:rFonts w:ascii="Times New Roman" w:hAnsi="Times New Roman"/>
          <w:kern w:val="2"/>
          <w:sz w:val="28"/>
          <w:szCs w:val="28"/>
          <w:lang w:eastAsia="ko-KR"/>
        </w:rPr>
        <w:t>].  Эффективность и безопасность РТМ в лечении РА была доказана в нескольких международных</w:t>
      </w:r>
      <w:r w:rsidR="003B0F9E" w:rsidRPr="009114DF">
        <w:rPr>
          <w:rFonts w:ascii="Times New Roman" w:hAnsi="Times New Roman"/>
          <w:kern w:val="2"/>
          <w:sz w:val="28"/>
          <w:szCs w:val="28"/>
          <w:lang w:eastAsia="ko-KR"/>
        </w:rPr>
        <w:t xml:space="preserve"> мультицентровых исследованиях [</w:t>
      </w:r>
      <w:r w:rsidR="00F94DB5" w:rsidRPr="009114DF">
        <w:rPr>
          <w:rFonts w:ascii="Times New Roman" w:hAnsi="Times New Roman"/>
          <w:kern w:val="2"/>
          <w:sz w:val="28"/>
          <w:szCs w:val="28"/>
          <w:lang w:eastAsia="ko-KR"/>
        </w:rPr>
        <w:t>39</w:t>
      </w:r>
      <w:r w:rsidR="00B267BF" w:rsidRPr="009114DF">
        <w:rPr>
          <w:rFonts w:ascii="Times New Roman" w:hAnsi="Times New Roman"/>
          <w:kern w:val="2"/>
          <w:sz w:val="28"/>
          <w:szCs w:val="28"/>
          <w:lang w:eastAsia="ko-KR"/>
        </w:rPr>
        <w:t>,</w:t>
      </w:r>
      <w:r w:rsidR="00100963" w:rsidRPr="009114DF">
        <w:rPr>
          <w:rFonts w:ascii="Times New Roman" w:hAnsi="Times New Roman"/>
          <w:kern w:val="2"/>
          <w:sz w:val="28"/>
          <w:szCs w:val="28"/>
          <w:lang w:eastAsia="ko-KR"/>
        </w:rPr>
        <w:t xml:space="preserve"> </w:t>
      </w:r>
      <w:r w:rsidR="00B267BF" w:rsidRPr="009114DF">
        <w:rPr>
          <w:rFonts w:ascii="Times New Roman" w:hAnsi="Times New Roman"/>
          <w:kern w:val="2"/>
          <w:sz w:val="28"/>
          <w:szCs w:val="28"/>
          <w:lang w:eastAsia="ko-KR"/>
        </w:rPr>
        <w:t>40,</w:t>
      </w:r>
      <w:r w:rsidR="00100963" w:rsidRPr="009114DF">
        <w:rPr>
          <w:rFonts w:ascii="Times New Roman" w:hAnsi="Times New Roman"/>
          <w:kern w:val="2"/>
          <w:sz w:val="28"/>
          <w:szCs w:val="28"/>
          <w:lang w:eastAsia="ko-KR"/>
        </w:rPr>
        <w:t xml:space="preserve"> </w:t>
      </w:r>
      <w:r w:rsidR="00B267BF" w:rsidRPr="009114DF">
        <w:rPr>
          <w:rFonts w:ascii="Times New Roman" w:hAnsi="Times New Roman"/>
          <w:kern w:val="2"/>
          <w:sz w:val="28"/>
          <w:szCs w:val="28"/>
          <w:lang w:eastAsia="ko-KR"/>
        </w:rPr>
        <w:t>47,</w:t>
      </w:r>
      <w:r w:rsidR="00100963" w:rsidRPr="009114DF">
        <w:rPr>
          <w:rFonts w:ascii="Times New Roman" w:hAnsi="Times New Roman"/>
          <w:kern w:val="2"/>
          <w:sz w:val="28"/>
          <w:szCs w:val="28"/>
          <w:lang w:eastAsia="ko-KR"/>
        </w:rPr>
        <w:t xml:space="preserve"> </w:t>
      </w:r>
      <w:r w:rsidR="00B267BF" w:rsidRPr="009114DF">
        <w:rPr>
          <w:rFonts w:ascii="Times New Roman" w:hAnsi="Times New Roman"/>
          <w:kern w:val="2"/>
          <w:sz w:val="28"/>
          <w:szCs w:val="28"/>
          <w:lang w:eastAsia="ko-KR"/>
        </w:rPr>
        <w:t>58</w:t>
      </w:r>
      <w:r w:rsidR="003B0F9E" w:rsidRPr="009114DF">
        <w:rPr>
          <w:rFonts w:ascii="Times New Roman" w:hAnsi="Times New Roman"/>
          <w:kern w:val="2"/>
          <w:sz w:val="28"/>
          <w:szCs w:val="28"/>
          <w:lang w:eastAsia="ko-KR"/>
        </w:rPr>
        <w:t xml:space="preserve">, </w:t>
      </w:r>
      <w:r w:rsidR="00A05647" w:rsidRPr="009114DF">
        <w:rPr>
          <w:rFonts w:ascii="Times New Roman" w:hAnsi="Times New Roman"/>
          <w:kern w:val="2"/>
          <w:sz w:val="28"/>
          <w:szCs w:val="28"/>
          <w:lang w:eastAsia="ko-KR"/>
        </w:rPr>
        <w:t xml:space="preserve">115, </w:t>
      </w:r>
      <w:r w:rsidR="00266791" w:rsidRPr="009114DF">
        <w:rPr>
          <w:rFonts w:ascii="Times New Roman" w:hAnsi="Times New Roman"/>
          <w:kern w:val="2"/>
          <w:sz w:val="28"/>
          <w:szCs w:val="28"/>
          <w:lang w:eastAsia="ko-KR"/>
        </w:rPr>
        <w:t>145</w:t>
      </w:r>
      <w:r w:rsidR="00B267BF" w:rsidRPr="009114DF">
        <w:rPr>
          <w:rFonts w:ascii="Times New Roman" w:hAnsi="Times New Roman"/>
          <w:kern w:val="2"/>
          <w:sz w:val="28"/>
          <w:szCs w:val="28"/>
          <w:lang w:eastAsia="ko-KR"/>
        </w:rPr>
        <w:t>,</w:t>
      </w:r>
      <w:r w:rsidR="00100963" w:rsidRPr="009114DF">
        <w:rPr>
          <w:rFonts w:ascii="Times New Roman" w:hAnsi="Times New Roman"/>
          <w:kern w:val="2"/>
          <w:sz w:val="28"/>
          <w:szCs w:val="28"/>
          <w:lang w:eastAsia="ko-KR"/>
        </w:rPr>
        <w:t xml:space="preserve"> </w:t>
      </w:r>
      <w:r w:rsidR="00957C16" w:rsidRPr="009114DF">
        <w:rPr>
          <w:rFonts w:ascii="Times New Roman" w:hAnsi="Times New Roman"/>
          <w:kern w:val="2"/>
          <w:sz w:val="28"/>
          <w:szCs w:val="28"/>
          <w:lang w:eastAsia="ko-KR"/>
        </w:rPr>
        <w:t>167</w:t>
      </w:r>
      <w:r w:rsidR="00B267BF" w:rsidRPr="009114DF">
        <w:rPr>
          <w:rFonts w:ascii="Times New Roman" w:hAnsi="Times New Roman"/>
          <w:kern w:val="2"/>
          <w:sz w:val="28"/>
          <w:szCs w:val="28"/>
          <w:lang w:eastAsia="ko-KR"/>
        </w:rPr>
        <w:t>,</w:t>
      </w:r>
      <w:r w:rsidR="00100963" w:rsidRPr="009114DF">
        <w:rPr>
          <w:rFonts w:ascii="Times New Roman" w:hAnsi="Times New Roman"/>
          <w:kern w:val="2"/>
          <w:sz w:val="28"/>
          <w:szCs w:val="28"/>
          <w:lang w:eastAsia="ko-KR"/>
        </w:rPr>
        <w:t xml:space="preserve"> </w:t>
      </w:r>
      <w:r w:rsidR="006D17D9" w:rsidRPr="009114DF">
        <w:rPr>
          <w:rFonts w:ascii="Times New Roman" w:hAnsi="Times New Roman"/>
          <w:kern w:val="2"/>
          <w:sz w:val="28"/>
          <w:szCs w:val="28"/>
          <w:lang w:eastAsia="ko-KR"/>
        </w:rPr>
        <w:t>106</w:t>
      </w:r>
      <w:r w:rsidR="00CF7FBB" w:rsidRPr="009114DF">
        <w:rPr>
          <w:rFonts w:ascii="Times New Roman" w:hAnsi="Times New Roman"/>
          <w:kern w:val="2"/>
          <w:sz w:val="28"/>
          <w:szCs w:val="28"/>
          <w:lang w:eastAsia="ko-KR"/>
        </w:rPr>
        <w:t xml:space="preserve">]. </w:t>
      </w:r>
    </w:p>
    <w:p w:rsidR="00CF7FBB" w:rsidRPr="009114DF" w:rsidRDefault="00CF7FBB" w:rsidP="00F71B34">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Важные данные для оценки эффективности РТМ при лечении РА получены в двойном слепом рандомизированно</w:t>
      </w:r>
      <w:r w:rsidR="003B0F9E" w:rsidRPr="009114DF">
        <w:rPr>
          <w:rFonts w:ascii="Times New Roman" w:hAnsi="Times New Roman"/>
          <w:kern w:val="2"/>
          <w:sz w:val="28"/>
          <w:szCs w:val="28"/>
          <w:lang w:eastAsia="ko-KR"/>
        </w:rPr>
        <w:t>м исследовании J. Edwards [</w:t>
      </w:r>
      <w:r w:rsidR="00A05647" w:rsidRPr="009114DF">
        <w:rPr>
          <w:rFonts w:ascii="Times New Roman" w:hAnsi="Times New Roman"/>
          <w:kern w:val="2"/>
          <w:sz w:val="28"/>
          <w:szCs w:val="28"/>
          <w:lang w:eastAsia="ko-KR"/>
        </w:rPr>
        <w:t>111</w:t>
      </w:r>
      <w:r w:rsidR="003B0F9E"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с участием 161 больного, у которого предшествующая стандартная терапия, включавшая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в дозе 12,5</w:t>
      </w:r>
      <w:r w:rsidR="00100963"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15 мг/нед, была малоэффективной. Пациентам </w:t>
      </w:r>
      <w:r w:rsidRPr="009114DF">
        <w:rPr>
          <w:rFonts w:ascii="Times New Roman" w:hAnsi="Times New Roman"/>
          <w:spacing w:val="-4"/>
          <w:kern w:val="2"/>
          <w:sz w:val="28"/>
          <w:szCs w:val="28"/>
          <w:lang w:eastAsia="ko-KR"/>
        </w:rPr>
        <w:t xml:space="preserve">первой группы </w:t>
      </w:r>
      <w:proofErr w:type="gramStart"/>
      <w:r w:rsidRPr="009114DF">
        <w:rPr>
          <w:rFonts w:ascii="Times New Roman" w:hAnsi="Times New Roman"/>
          <w:spacing w:val="-4"/>
          <w:kern w:val="2"/>
          <w:sz w:val="28"/>
          <w:szCs w:val="28"/>
          <w:lang w:eastAsia="ko-KR"/>
        </w:rPr>
        <w:t>назначена</w:t>
      </w:r>
      <w:proofErr w:type="gramEnd"/>
      <w:r w:rsidRPr="009114DF">
        <w:rPr>
          <w:rFonts w:ascii="Times New Roman" w:hAnsi="Times New Roman"/>
          <w:spacing w:val="-4"/>
          <w:kern w:val="2"/>
          <w:sz w:val="28"/>
          <w:szCs w:val="28"/>
          <w:lang w:eastAsia="ko-KR"/>
        </w:rPr>
        <w:t xml:space="preserve"> монотерапия РТМ (2 инфузии по 1000 мг</w:t>
      </w:r>
      <w:r w:rsidRPr="009114DF">
        <w:rPr>
          <w:rFonts w:ascii="Times New Roman" w:hAnsi="Times New Roman"/>
          <w:kern w:val="2"/>
          <w:sz w:val="28"/>
          <w:szCs w:val="28"/>
          <w:lang w:eastAsia="ko-KR"/>
        </w:rPr>
        <w:t xml:space="preserve"> в начале 1-й и 3-й недел</w:t>
      </w:r>
      <w:r w:rsidR="00100963" w:rsidRPr="009114DF">
        <w:rPr>
          <w:rFonts w:ascii="Times New Roman" w:hAnsi="Times New Roman"/>
          <w:kern w:val="2"/>
          <w:sz w:val="28"/>
          <w:szCs w:val="28"/>
          <w:lang w:eastAsia="ko-KR"/>
        </w:rPr>
        <w:t>и</w:t>
      </w:r>
      <w:r w:rsidRPr="009114DF">
        <w:rPr>
          <w:rFonts w:ascii="Times New Roman" w:hAnsi="Times New Roman"/>
          <w:kern w:val="2"/>
          <w:sz w:val="28"/>
          <w:szCs w:val="28"/>
          <w:lang w:eastAsia="ko-KR"/>
        </w:rPr>
        <w:t xml:space="preserve">); второй </w:t>
      </w:r>
      <w:r w:rsidR="00100963"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РТМ в сочетании с циклофосфамидом; третьей</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 xml:space="preserve">РТМ в сочетании с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четвертой группы</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 xml:space="preserve">монотерапия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(не менее 10 мг/нед). Все больные в начале лечения получали 17-дневный курс глюкокортикоидов для профилактики возможных инфузионных побочных эффектов. Через 24 недели после начала терапии 50%</w:t>
      </w:r>
      <w:r w:rsidR="00100963" w:rsidRPr="009114DF">
        <w:rPr>
          <w:rFonts w:ascii="Times New Roman" w:hAnsi="Times New Roman"/>
          <w:kern w:val="2"/>
          <w:sz w:val="28"/>
          <w:szCs w:val="28"/>
          <w:lang w:eastAsia="ko-KR"/>
        </w:rPr>
        <w:t>-ное</w:t>
      </w:r>
      <w:r w:rsidRPr="009114DF">
        <w:rPr>
          <w:rFonts w:ascii="Times New Roman" w:hAnsi="Times New Roman"/>
          <w:kern w:val="2"/>
          <w:sz w:val="28"/>
          <w:szCs w:val="28"/>
          <w:lang w:eastAsia="ko-KR"/>
        </w:rPr>
        <w:t xml:space="preserve"> улучшение по критериям ACR чаще наблюдалось у больных, получавших РТМ (монотерапия РТМ</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33% пациентов, РТМ + циклофосфамид</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 xml:space="preserve">41%, РТМ + </w:t>
      </w:r>
      <w:r w:rsidR="00BA59B7" w:rsidRPr="009114DF">
        <w:rPr>
          <w:rFonts w:ascii="Times New Roman" w:hAnsi="Times New Roman"/>
          <w:kern w:val="2"/>
          <w:sz w:val="28"/>
          <w:szCs w:val="28"/>
          <w:lang w:eastAsia="ko-KR"/>
        </w:rPr>
        <w:t>МТХ</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 xml:space="preserve">43%, монотерапия </w:t>
      </w:r>
      <w:r w:rsidR="00BA59B7" w:rsidRPr="009114DF">
        <w:rPr>
          <w:rFonts w:ascii="Times New Roman" w:hAnsi="Times New Roman"/>
          <w:kern w:val="2"/>
          <w:sz w:val="28"/>
          <w:szCs w:val="28"/>
          <w:lang w:eastAsia="ko-KR"/>
        </w:rPr>
        <w:t>МТХ</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13% пациентов). Несмотря на значительное снижение количества В-лимфоцитов при лечении РТМ, содержание иммуноглобулинов изменилось незначительно, а частота инфекций была такой же, как у лиц</w:t>
      </w:r>
      <w:r w:rsidR="00CD2EDC"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контрольной группы. </w:t>
      </w:r>
    </w:p>
    <w:p w:rsidR="00CF7FBB" w:rsidRPr="009114DF" w:rsidRDefault="00CF7FBB" w:rsidP="002B53B4">
      <w:pPr>
        <w:spacing w:after="0" w:line="36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В</w:t>
      </w:r>
      <w:r w:rsidRPr="009114DF">
        <w:rPr>
          <w:rFonts w:ascii="Times New Roman" w:hAnsi="Times New Roman"/>
          <w:kern w:val="2"/>
          <w:sz w:val="28"/>
          <w:szCs w:val="28"/>
          <w:lang w:val="en-US" w:eastAsia="ko-KR"/>
        </w:rPr>
        <w:t xml:space="preserve"> </w:t>
      </w:r>
      <w:r w:rsidRPr="009114DF">
        <w:rPr>
          <w:rFonts w:ascii="Times New Roman" w:hAnsi="Times New Roman"/>
          <w:kern w:val="2"/>
          <w:sz w:val="28"/>
          <w:szCs w:val="28"/>
          <w:lang w:eastAsia="ko-KR"/>
        </w:rPr>
        <w:t>исследование</w:t>
      </w:r>
      <w:r w:rsidRPr="009114DF">
        <w:rPr>
          <w:rFonts w:ascii="Times New Roman" w:hAnsi="Times New Roman"/>
          <w:kern w:val="2"/>
          <w:sz w:val="28"/>
          <w:szCs w:val="28"/>
          <w:lang w:val="en-US" w:eastAsia="ko-KR"/>
        </w:rPr>
        <w:t xml:space="preserve"> REFLEX (Rituximab for Rheumatoid Arthritis Refractory to Anti-Tumor Necrosis Factor Therapy) </w:t>
      </w:r>
      <w:r w:rsidRPr="009114DF">
        <w:rPr>
          <w:rFonts w:ascii="Times New Roman" w:hAnsi="Times New Roman"/>
          <w:kern w:val="2"/>
          <w:sz w:val="28"/>
          <w:szCs w:val="28"/>
          <w:lang w:eastAsia="ko-KR"/>
        </w:rPr>
        <w:t>вошли</w:t>
      </w:r>
      <w:r w:rsidRPr="009114DF">
        <w:rPr>
          <w:rFonts w:ascii="Times New Roman" w:hAnsi="Times New Roman"/>
          <w:kern w:val="2"/>
          <w:sz w:val="28"/>
          <w:szCs w:val="28"/>
          <w:lang w:val="en-US" w:eastAsia="ko-KR"/>
        </w:rPr>
        <w:t xml:space="preserve"> 449 </w:t>
      </w:r>
      <w:r w:rsidRPr="009114DF">
        <w:rPr>
          <w:rFonts w:ascii="Times New Roman" w:hAnsi="Times New Roman"/>
          <w:kern w:val="2"/>
          <w:sz w:val="28"/>
          <w:szCs w:val="28"/>
          <w:lang w:eastAsia="ko-KR"/>
        </w:rPr>
        <w:t>больных</w:t>
      </w:r>
      <w:r w:rsidRPr="009114DF">
        <w:rPr>
          <w:rFonts w:ascii="Times New Roman" w:hAnsi="Times New Roman"/>
          <w:kern w:val="2"/>
          <w:sz w:val="28"/>
          <w:szCs w:val="28"/>
          <w:lang w:val="en-US" w:eastAsia="ko-KR"/>
        </w:rPr>
        <w:t xml:space="preserve"> PA. </w:t>
      </w:r>
      <w:r w:rsidRPr="009114DF">
        <w:rPr>
          <w:rFonts w:ascii="Times New Roman" w:hAnsi="Times New Roman"/>
          <w:kern w:val="2"/>
          <w:sz w:val="28"/>
          <w:szCs w:val="28"/>
          <w:lang w:eastAsia="ko-KR"/>
        </w:rPr>
        <w:t xml:space="preserve">Основную группу </w:t>
      </w:r>
      <w:r w:rsidRPr="009114DF">
        <w:rPr>
          <w:rFonts w:ascii="Times New Roman" w:hAnsi="Times New Roman"/>
          <w:kern w:val="2"/>
          <w:sz w:val="28"/>
          <w:szCs w:val="28"/>
          <w:lang w:eastAsia="ko-KR"/>
        </w:rPr>
        <w:lastRenderedPageBreak/>
        <w:t xml:space="preserve">составили 298 больных, которые на фоне приема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получили два внутривенных введения РТМ по 1000 мг (исходно и через 2 недели), прием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продолжался в течение 6 месяцев. В группу сравнения включены</w:t>
      </w:r>
      <w:r w:rsidR="00100963" w:rsidRPr="009114DF">
        <w:rPr>
          <w:rFonts w:ascii="Times New Roman" w:hAnsi="Times New Roman"/>
          <w:kern w:val="2"/>
          <w:sz w:val="28"/>
          <w:szCs w:val="28"/>
          <w:lang w:eastAsia="ko-KR"/>
        </w:rPr>
        <w:br/>
      </w:r>
      <w:r w:rsidRPr="009114DF">
        <w:rPr>
          <w:rFonts w:ascii="Times New Roman" w:hAnsi="Times New Roman"/>
          <w:kern w:val="2"/>
          <w:sz w:val="28"/>
          <w:szCs w:val="28"/>
          <w:lang w:eastAsia="ko-KR"/>
        </w:rPr>
        <w:t>200 больных, которые получали плацебо. Более выраженный терапевтический эффект наблюдался в группе больных РА, получавших РТМ, через 8 недель; он сохранялся в течение последующих 6 месяцев. К этому времени 20%-</w:t>
      </w:r>
      <w:r w:rsidR="00100963" w:rsidRPr="009114DF">
        <w:rPr>
          <w:rFonts w:ascii="Times New Roman" w:hAnsi="Times New Roman"/>
          <w:kern w:val="2"/>
          <w:sz w:val="28"/>
          <w:szCs w:val="28"/>
          <w:lang w:eastAsia="ko-KR"/>
        </w:rPr>
        <w:t>но</w:t>
      </w:r>
      <w:r w:rsidRPr="009114DF">
        <w:rPr>
          <w:rFonts w:ascii="Times New Roman" w:hAnsi="Times New Roman"/>
          <w:kern w:val="2"/>
          <w:sz w:val="28"/>
          <w:szCs w:val="28"/>
          <w:lang w:eastAsia="ko-KR"/>
        </w:rPr>
        <w:t xml:space="preserve">е улучшение по критериям </w:t>
      </w:r>
      <w:r w:rsidR="006474EF" w:rsidRPr="009114DF">
        <w:rPr>
          <w:rFonts w:ascii="Times New Roman" w:hAnsi="Times New Roman"/>
          <w:kern w:val="2"/>
          <w:sz w:val="28"/>
          <w:szCs w:val="28"/>
          <w:lang w:eastAsia="ko-KR"/>
        </w:rPr>
        <w:t>Американской коллегии ревматологов (</w:t>
      </w:r>
      <w:r w:rsidRPr="009114DF">
        <w:rPr>
          <w:rFonts w:ascii="Times New Roman" w:hAnsi="Times New Roman"/>
          <w:kern w:val="2"/>
          <w:sz w:val="28"/>
          <w:szCs w:val="28"/>
          <w:lang w:eastAsia="ko-KR"/>
        </w:rPr>
        <w:t>ACR</w:t>
      </w:r>
      <w:r w:rsidR="006474EF"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в группе пациентов, лечившихся РТМ в сочетании с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зарегистрировано в 51% случаев, а в группе больных, принимавших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только у 18% обследованных. Различия по частоте 50%-</w:t>
      </w:r>
      <w:r w:rsidR="00100963" w:rsidRPr="009114DF">
        <w:rPr>
          <w:rFonts w:ascii="Times New Roman" w:hAnsi="Times New Roman"/>
          <w:kern w:val="2"/>
          <w:sz w:val="28"/>
          <w:szCs w:val="28"/>
          <w:lang w:eastAsia="ko-KR"/>
        </w:rPr>
        <w:t>но</w:t>
      </w:r>
      <w:r w:rsidRPr="009114DF">
        <w:rPr>
          <w:rFonts w:ascii="Times New Roman" w:hAnsi="Times New Roman"/>
          <w:kern w:val="2"/>
          <w:sz w:val="28"/>
          <w:szCs w:val="28"/>
          <w:lang w:eastAsia="ko-KR"/>
        </w:rPr>
        <w:t>го улучшения были еще более впечатляющими</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 xml:space="preserve">27 и 5% случаев соответственно </w:t>
      </w:r>
      <w:r w:rsidR="00954E2D" w:rsidRPr="009114DF">
        <w:rPr>
          <w:rFonts w:ascii="Times New Roman" w:hAnsi="Times New Roman"/>
          <w:kern w:val="2"/>
          <w:sz w:val="28"/>
          <w:szCs w:val="28"/>
          <w:lang w:eastAsia="ko-KR"/>
        </w:rPr>
        <w:t>[</w:t>
      </w:r>
      <w:r w:rsidR="00A05647" w:rsidRPr="009114DF">
        <w:rPr>
          <w:rFonts w:ascii="Times New Roman" w:hAnsi="Times New Roman"/>
          <w:kern w:val="2"/>
          <w:sz w:val="28"/>
          <w:szCs w:val="28"/>
          <w:lang w:eastAsia="ko-KR"/>
        </w:rPr>
        <w:t>104</w:t>
      </w:r>
      <w:r w:rsidR="00954E2D"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При анализе зависимости терапевтического эффекта РТМ от наличия РФ у больных РА Р. Так и соавторы установили, что среди </w:t>
      </w:r>
      <w:proofErr w:type="gramStart"/>
      <w:r w:rsidRPr="009114DF">
        <w:rPr>
          <w:rFonts w:ascii="Times New Roman" w:hAnsi="Times New Roman"/>
          <w:kern w:val="2"/>
          <w:sz w:val="28"/>
          <w:szCs w:val="28"/>
          <w:lang w:eastAsia="ko-KR"/>
        </w:rPr>
        <w:t>РФ-положительных</w:t>
      </w:r>
      <w:proofErr w:type="gramEnd"/>
      <w:r w:rsidRPr="009114DF">
        <w:rPr>
          <w:rFonts w:ascii="Times New Roman" w:hAnsi="Times New Roman"/>
          <w:kern w:val="2"/>
          <w:sz w:val="28"/>
          <w:szCs w:val="28"/>
          <w:lang w:eastAsia="ko-KR"/>
        </w:rPr>
        <w:t xml:space="preserve"> пациентов 20%-</w:t>
      </w:r>
      <w:r w:rsidR="00100963" w:rsidRPr="009114DF">
        <w:rPr>
          <w:rFonts w:ascii="Times New Roman" w:hAnsi="Times New Roman"/>
          <w:kern w:val="2"/>
          <w:sz w:val="28"/>
          <w:szCs w:val="28"/>
          <w:lang w:eastAsia="ko-KR"/>
        </w:rPr>
        <w:t>но</w:t>
      </w:r>
      <w:r w:rsidRPr="009114DF">
        <w:rPr>
          <w:rFonts w:ascii="Times New Roman" w:hAnsi="Times New Roman"/>
          <w:kern w:val="2"/>
          <w:sz w:val="28"/>
          <w:szCs w:val="28"/>
          <w:lang w:eastAsia="ko-KR"/>
        </w:rPr>
        <w:t>е улучшение было достигнуто в 50% случаев, 50%-</w:t>
      </w:r>
      <w:r w:rsidR="00100963" w:rsidRPr="009114DF">
        <w:rPr>
          <w:rFonts w:ascii="Times New Roman" w:hAnsi="Times New Roman"/>
          <w:kern w:val="2"/>
          <w:sz w:val="28"/>
          <w:szCs w:val="28"/>
          <w:lang w:eastAsia="ko-KR"/>
        </w:rPr>
        <w:t>но</w:t>
      </w:r>
      <w:r w:rsidRPr="009114DF">
        <w:rPr>
          <w:rFonts w:ascii="Times New Roman" w:hAnsi="Times New Roman"/>
          <w:kern w:val="2"/>
          <w:sz w:val="28"/>
          <w:szCs w:val="28"/>
          <w:lang w:eastAsia="ko-KR"/>
        </w:rPr>
        <w:t>е</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в 29% и 70%-</w:t>
      </w:r>
      <w:r w:rsidR="00100963" w:rsidRPr="009114DF">
        <w:rPr>
          <w:rFonts w:ascii="Times New Roman" w:hAnsi="Times New Roman"/>
          <w:kern w:val="2"/>
          <w:sz w:val="28"/>
          <w:szCs w:val="28"/>
          <w:lang w:eastAsia="ko-KR"/>
        </w:rPr>
        <w:t>но</w:t>
      </w:r>
      <w:r w:rsidRPr="009114DF">
        <w:rPr>
          <w:rFonts w:ascii="Times New Roman" w:hAnsi="Times New Roman"/>
          <w:kern w:val="2"/>
          <w:sz w:val="28"/>
          <w:szCs w:val="28"/>
          <w:lang w:eastAsia="ko-KR"/>
        </w:rPr>
        <w:t>е</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 xml:space="preserve">в 15% случаев. Среди </w:t>
      </w:r>
      <w:proofErr w:type="gramStart"/>
      <w:r w:rsidRPr="009114DF">
        <w:rPr>
          <w:rFonts w:ascii="Times New Roman" w:hAnsi="Times New Roman"/>
          <w:kern w:val="2"/>
          <w:sz w:val="28"/>
          <w:szCs w:val="28"/>
          <w:lang w:eastAsia="ko-KR"/>
        </w:rPr>
        <w:t>РФ-отрицательных</w:t>
      </w:r>
      <w:proofErr w:type="gramEnd"/>
      <w:r w:rsidRPr="009114DF">
        <w:rPr>
          <w:rFonts w:ascii="Times New Roman" w:hAnsi="Times New Roman"/>
          <w:kern w:val="2"/>
          <w:sz w:val="28"/>
          <w:szCs w:val="28"/>
          <w:lang w:eastAsia="ko-KR"/>
        </w:rPr>
        <w:t xml:space="preserve"> больных РА соответствующие цифры составили 28, 7, и 3%. Таким образом, по данным указанных авторов, исходное отсутствие РФ не исключало лечебное действие</w:t>
      </w:r>
      <w:r w:rsidR="000C2FEC" w:rsidRPr="009114DF">
        <w:rPr>
          <w:rFonts w:ascii="Times New Roman" w:hAnsi="Times New Roman"/>
          <w:kern w:val="2"/>
          <w:sz w:val="28"/>
          <w:szCs w:val="28"/>
          <w:lang w:eastAsia="ko-KR"/>
        </w:rPr>
        <w:t xml:space="preserve"> РТМ, но заметно снижало его [</w:t>
      </w:r>
      <w:r w:rsidR="00DB4CFA" w:rsidRPr="009114DF">
        <w:rPr>
          <w:rFonts w:ascii="Times New Roman" w:hAnsi="Times New Roman"/>
          <w:kern w:val="2"/>
          <w:sz w:val="28"/>
          <w:szCs w:val="28"/>
          <w:lang w:eastAsia="ko-KR"/>
        </w:rPr>
        <w:t>10</w:t>
      </w:r>
      <w:r w:rsidRPr="009114DF">
        <w:rPr>
          <w:rFonts w:ascii="Times New Roman" w:hAnsi="Times New Roman"/>
          <w:kern w:val="2"/>
          <w:sz w:val="28"/>
          <w:szCs w:val="28"/>
          <w:lang w:eastAsia="ko-KR"/>
        </w:rPr>
        <w:t>]. Через</w:t>
      </w:r>
      <w:r w:rsidR="00100963" w:rsidRPr="009114DF">
        <w:rPr>
          <w:rFonts w:ascii="Times New Roman" w:hAnsi="Times New Roman"/>
          <w:kern w:val="2"/>
          <w:sz w:val="28"/>
          <w:szCs w:val="28"/>
          <w:lang w:eastAsia="ko-KR"/>
        </w:rPr>
        <w:br/>
      </w:r>
      <w:r w:rsidRPr="009114DF">
        <w:rPr>
          <w:rFonts w:ascii="Times New Roman" w:hAnsi="Times New Roman"/>
          <w:kern w:val="2"/>
          <w:sz w:val="28"/>
          <w:szCs w:val="28"/>
          <w:lang w:eastAsia="ko-KR"/>
        </w:rPr>
        <w:t xml:space="preserve">6 месяцев после получения двух инфузий РТМ отмечалась тенденция к уменьшению суммарного рентгенологического прогрессирования по сравнению с больными, получавшими </w:t>
      </w:r>
      <w:r w:rsidR="00954E2D" w:rsidRPr="009114DF">
        <w:rPr>
          <w:rFonts w:ascii="Times New Roman" w:hAnsi="Times New Roman"/>
          <w:kern w:val="2"/>
          <w:sz w:val="28"/>
          <w:szCs w:val="28"/>
          <w:lang w:eastAsia="ko-KR"/>
        </w:rPr>
        <w:t>плацебо</w:t>
      </w:r>
      <w:r w:rsidRPr="009114DF">
        <w:rPr>
          <w:rFonts w:ascii="Times New Roman" w:hAnsi="Times New Roman"/>
          <w:kern w:val="2"/>
          <w:sz w:val="28"/>
          <w:szCs w:val="28"/>
          <w:lang w:eastAsia="ko-KR"/>
        </w:rPr>
        <w:t xml:space="preserve"> </w:t>
      </w:r>
      <w:r w:rsidR="00954E2D" w:rsidRPr="009114DF">
        <w:rPr>
          <w:rFonts w:ascii="Times New Roman" w:hAnsi="Times New Roman"/>
          <w:kern w:val="2"/>
          <w:sz w:val="28"/>
          <w:szCs w:val="28"/>
          <w:lang w:eastAsia="ko-KR"/>
        </w:rPr>
        <w:t>[</w:t>
      </w:r>
      <w:r w:rsidR="00F94DB5" w:rsidRPr="009114DF">
        <w:rPr>
          <w:rFonts w:ascii="Times New Roman" w:hAnsi="Times New Roman"/>
          <w:kern w:val="2"/>
          <w:sz w:val="28"/>
          <w:szCs w:val="28"/>
          <w:lang w:eastAsia="ko-KR"/>
        </w:rPr>
        <w:t>39</w:t>
      </w:r>
      <w:r w:rsidR="000C2FEC" w:rsidRPr="009114DF">
        <w:rPr>
          <w:rFonts w:ascii="Times New Roman" w:hAnsi="Times New Roman"/>
          <w:kern w:val="2"/>
          <w:sz w:val="28"/>
          <w:szCs w:val="28"/>
          <w:lang w:eastAsia="ko-KR"/>
        </w:rPr>
        <w:t>,</w:t>
      </w:r>
      <w:r w:rsidR="00100963" w:rsidRPr="009114DF">
        <w:rPr>
          <w:rFonts w:ascii="Times New Roman" w:hAnsi="Times New Roman"/>
          <w:kern w:val="2"/>
          <w:sz w:val="28"/>
          <w:szCs w:val="28"/>
          <w:lang w:eastAsia="ko-KR"/>
        </w:rPr>
        <w:t xml:space="preserve"> </w:t>
      </w:r>
      <w:r w:rsidR="00A05647" w:rsidRPr="009114DF">
        <w:rPr>
          <w:rFonts w:ascii="Times New Roman" w:hAnsi="Times New Roman"/>
          <w:kern w:val="2"/>
          <w:sz w:val="28"/>
          <w:szCs w:val="28"/>
          <w:lang w:eastAsia="ko-KR"/>
        </w:rPr>
        <w:t>103</w:t>
      </w:r>
      <w:r w:rsidR="00954E2D"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Прогрессирование сужения суставной щели при применении РТМ достоверно снижалось. В последующем, продолжая наблюдение за этими пациентами, Е. Keystone и соавт. показали, что лечение РТМ привело к достоверному торможению как хрящевой, так и костной суставной деструкции. Через 56 недель после начала терапии установлено, что среди лечившихся РТМ нарастание эрозирования суставов и сужение суставной щели происходили в 2 раза медленнее, чем в контрольной группе лиц </w:t>
      </w:r>
      <w:r w:rsidR="0084005F" w:rsidRPr="009114DF">
        <w:rPr>
          <w:rFonts w:ascii="Times New Roman" w:hAnsi="Times New Roman"/>
          <w:kern w:val="2"/>
          <w:sz w:val="28"/>
          <w:szCs w:val="28"/>
          <w:lang w:eastAsia="ko-KR"/>
        </w:rPr>
        <w:t>[</w:t>
      </w:r>
      <w:r w:rsidR="00F94DB5" w:rsidRPr="009114DF">
        <w:rPr>
          <w:rFonts w:ascii="Times New Roman" w:hAnsi="Times New Roman"/>
          <w:kern w:val="2"/>
          <w:sz w:val="28"/>
          <w:szCs w:val="28"/>
          <w:lang w:eastAsia="ko-KR"/>
        </w:rPr>
        <w:t>39</w:t>
      </w:r>
      <w:r w:rsidR="000C2FEC" w:rsidRPr="009114DF">
        <w:rPr>
          <w:rFonts w:ascii="Times New Roman" w:hAnsi="Times New Roman"/>
          <w:kern w:val="2"/>
          <w:sz w:val="28"/>
          <w:szCs w:val="28"/>
          <w:lang w:eastAsia="ko-KR"/>
        </w:rPr>
        <w:t>,</w:t>
      </w:r>
      <w:r w:rsidR="00100963" w:rsidRPr="009114DF">
        <w:rPr>
          <w:rFonts w:ascii="Times New Roman" w:hAnsi="Times New Roman"/>
          <w:kern w:val="2"/>
          <w:sz w:val="28"/>
          <w:szCs w:val="28"/>
          <w:lang w:eastAsia="ko-KR"/>
        </w:rPr>
        <w:t xml:space="preserve"> </w:t>
      </w:r>
      <w:r w:rsidR="00266791" w:rsidRPr="009114DF">
        <w:rPr>
          <w:rFonts w:ascii="Times New Roman" w:hAnsi="Times New Roman"/>
          <w:kern w:val="2"/>
          <w:sz w:val="28"/>
          <w:szCs w:val="28"/>
          <w:lang w:eastAsia="ko-KR"/>
        </w:rPr>
        <w:t>144</w:t>
      </w:r>
      <w:r w:rsidR="0084005F" w:rsidRPr="009114DF">
        <w:rPr>
          <w:rFonts w:ascii="Times New Roman" w:hAnsi="Times New Roman"/>
          <w:kern w:val="2"/>
          <w:sz w:val="28"/>
          <w:szCs w:val="28"/>
          <w:lang w:eastAsia="ko-KR"/>
        </w:rPr>
        <w:t>].</w:t>
      </w:r>
    </w:p>
    <w:p w:rsidR="00CF7FBB" w:rsidRPr="009114DF" w:rsidRDefault="00CF7FBB" w:rsidP="00504620">
      <w:pPr>
        <w:spacing w:after="0" w:line="370"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В клиническое исследование DANCER (Dose-ranging Assessment International Clinical Evaluation of Rituximab in RA) вошли пациенты с серопозитивным умеренно тяжелым и тяжелым РА, которые были </w:t>
      </w:r>
      <w:proofErr w:type="gramStart"/>
      <w:r w:rsidRPr="009114DF">
        <w:rPr>
          <w:rFonts w:ascii="Times New Roman" w:hAnsi="Times New Roman"/>
          <w:kern w:val="2"/>
          <w:sz w:val="28"/>
          <w:szCs w:val="28"/>
          <w:lang w:eastAsia="ko-KR"/>
        </w:rPr>
        <w:t>резистентны</w:t>
      </w:r>
      <w:proofErr w:type="gramEnd"/>
      <w:r w:rsidRPr="009114DF">
        <w:rPr>
          <w:rFonts w:ascii="Times New Roman" w:hAnsi="Times New Roman"/>
          <w:kern w:val="2"/>
          <w:sz w:val="28"/>
          <w:szCs w:val="28"/>
          <w:lang w:eastAsia="ko-KR"/>
        </w:rPr>
        <w:t xml:space="preserve"> по </w:t>
      </w:r>
      <w:r w:rsidRPr="009114DF">
        <w:rPr>
          <w:rFonts w:ascii="Times New Roman" w:hAnsi="Times New Roman"/>
          <w:kern w:val="2"/>
          <w:sz w:val="28"/>
          <w:szCs w:val="28"/>
          <w:lang w:eastAsia="ko-KR"/>
        </w:rPr>
        <w:lastRenderedPageBreak/>
        <w:t>крайней мере к одному БПВП (включая ингибиторы ФНО</w:t>
      </w:r>
      <w:r w:rsidR="00100963" w:rsidRPr="009114DF">
        <w:rPr>
          <w:rFonts w:ascii="Times New Roman" w:hAnsi="Times New Roman"/>
          <w:kern w:val="2"/>
          <w:sz w:val="28"/>
          <w:szCs w:val="28"/>
          <w:lang w:eastAsia="ko-KR"/>
        </w:rPr>
        <w:t>-α</w:t>
      </w:r>
      <w:r w:rsidR="00CD2EDC"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27</w:t>
      </w:r>
      <w:r w:rsidR="00100963"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32%)</w:t>
      </w:r>
      <w:r w:rsidR="000C2FEC" w:rsidRPr="009114DF">
        <w:rPr>
          <w:rFonts w:ascii="Times New Roman" w:hAnsi="Times New Roman"/>
          <w:kern w:val="2"/>
          <w:sz w:val="28"/>
          <w:szCs w:val="28"/>
          <w:lang w:eastAsia="ko-KR"/>
        </w:rPr>
        <w:t xml:space="preserve"> [</w:t>
      </w:r>
      <w:r w:rsidR="00A05647" w:rsidRPr="009114DF">
        <w:rPr>
          <w:rFonts w:ascii="Times New Roman" w:hAnsi="Times New Roman"/>
          <w:kern w:val="2"/>
          <w:sz w:val="28"/>
          <w:szCs w:val="28"/>
          <w:lang w:eastAsia="ko-KR"/>
        </w:rPr>
        <w:t>115</w:t>
      </w:r>
      <w:r w:rsidR="002C058C"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Больные разделены на три группы: первую составили пациенты, получавшие монотерапию </w:t>
      </w:r>
      <w:r w:rsidR="00BA59B7" w:rsidRPr="009114DF">
        <w:rPr>
          <w:rFonts w:ascii="Times New Roman" w:hAnsi="Times New Roman"/>
          <w:kern w:val="2"/>
          <w:sz w:val="28"/>
          <w:szCs w:val="28"/>
          <w:lang w:eastAsia="ko-KR"/>
        </w:rPr>
        <w:t>МТХ</w:t>
      </w:r>
      <w:r w:rsidR="000C2FEC" w:rsidRPr="009114DF">
        <w:rPr>
          <w:rFonts w:ascii="Times New Roman" w:hAnsi="Times New Roman"/>
          <w:kern w:val="2"/>
          <w:sz w:val="28"/>
          <w:szCs w:val="28"/>
          <w:lang w:eastAsia="ko-KR"/>
        </w:rPr>
        <w:t xml:space="preserve"> (</w:t>
      </w:r>
      <w:r w:rsidR="000C2FEC" w:rsidRPr="009114DF">
        <w:rPr>
          <w:rFonts w:ascii="Times New Roman" w:hAnsi="Times New Roman"/>
          <w:kern w:val="2"/>
          <w:sz w:val="28"/>
          <w:szCs w:val="28"/>
          <w:lang w:val="en-US" w:eastAsia="ko-KR"/>
        </w:rPr>
        <w:t>n</w:t>
      </w:r>
      <w:r w:rsidRPr="009114DF">
        <w:rPr>
          <w:rFonts w:ascii="Times New Roman" w:hAnsi="Times New Roman"/>
          <w:kern w:val="2"/>
          <w:sz w:val="28"/>
          <w:szCs w:val="28"/>
          <w:lang w:eastAsia="ko-KR"/>
        </w:rPr>
        <w:t>=122), а две других</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 xml:space="preserve">получавшие комбинированную терапию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и РТМ в дозах 500 мг и</w:t>
      </w:r>
      <w:r w:rsidR="00097064"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1000 мг дважды с интервалом в две недели. Авторы показали, что комбинированная терапия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и РТМ была более эффективной, чем монотерапия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ACR20 имел место у 28% обследованных в группе плацебо и у 54</w:t>
      </w:r>
      <w:r w:rsidR="00100963"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55% пациентов, получавших РТМ; ACR50</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соответственно у 13, 33 и 34% пациентов, a ACR70</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у 5, 13 и 20% (</w:t>
      </w:r>
      <w:proofErr w:type="gramStart"/>
      <w:r w:rsidRPr="009114DF">
        <w:rPr>
          <w:rFonts w:ascii="Times New Roman" w:hAnsi="Times New Roman"/>
          <w:kern w:val="2"/>
          <w:sz w:val="28"/>
          <w:szCs w:val="28"/>
          <w:lang w:eastAsia="ko-KR"/>
        </w:rPr>
        <w:t>р</w:t>
      </w:r>
      <w:proofErr w:type="gramEnd"/>
      <w:r w:rsidRPr="009114DF">
        <w:rPr>
          <w:rFonts w:ascii="Times New Roman" w:hAnsi="Times New Roman"/>
          <w:kern w:val="2"/>
          <w:sz w:val="28"/>
          <w:szCs w:val="28"/>
          <w:lang w:eastAsia="ko-KR"/>
        </w:rPr>
        <w:t xml:space="preserve">&lt;0,001). При этом достоверных различий в эффективности терапии у пациентов, получавших 500 мг и 1000 мг РТМ, не наблюдалось. Следует отметить, что исследователи установили высокую эффективность повторных курсов РТМ. </w:t>
      </w:r>
    </w:p>
    <w:p w:rsidR="00CF7FBB" w:rsidRPr="009114DF" w:rsidRDefault="00CF7FBB" w:rsidP="00504620">
      <w:pPr>
        <w:spacing w:after="0" w:line="374"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До последнего времени основным показанием к назначению РТМ при РА была резистентность к ингибиторам ФНО-</w:t>
      </w:r>
      <w:r w:rsidR="00504620" w:rsidRPr="009114DF">
        <w:rPr>
          <w:rFonts w:ascii="Times New Roman" w:hAnsi="Times New Roman"/>
          <w:kern w:val="2"/>
          <w:sz w:val="28"/>
          <w:szCs w:val="28"/>
          <w:lang w:eastAsia="ko-KR"/>
        </w:rPr>
        <w:t>α</w:t>
      </w:r>
      <w:r w:rsidRPr="009114DF">
        <w:rPr>
          <w:rFonts w:ascii="Times New Roman" w:hAnsi="Times New Roman"/>
          <w:kern w:val="2"/>
          <w:sz w:val="28"/>
          <w:szCs w:val="28"/>
          <w:lang w:eastAsia="ko-KR"/>
        </w:rPr>
        <w:t xml:space="preserve"> </w:t>
      </w:r>
      <w:r w:rsidR="002C058C" w:rsidRPr="009114DF">
        <w:rPr>
          <w:rFonts w:ascii="Times New Roman" w:hAnsi="Times New Roman"/>
          <w:kern w:val="2"/>
          <w:sz w:val="28"/>
          <w:szCs w:val="28"/>
          <w:lang w:eastAsia="ko-KR"/>
        </w:rPr>
        <w:t>[</w:t>
      </w:r>
      <w:r w:rsidR="00243567" w:rsidRPr="009114DF">
        <w:rPr>
          <w:rFonts w:ascii="Times New Roman" w:hAnsi="Times New Roman"/>
          <w:kern w:val="2"/>
          <w:sz w:val="28"/>
          <w:szCs w:val="28"/>
          <w:lang w:eastAsia="ko-KR"/>
        </w:rPr>
        <w:t>119</w:t>
      </w:r>
      <w:r w:rsidR="002C058C"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Однако данные многочисленных исследований убедительно свидетельствуют о высокой эффективности РТМ у пациентов с множественной лекарственной резистентностью к </w:t>
      </w:r>
      <w:proofErr w:type="gramStart"/>
      <w:r w:rsidRPr="009114DF">
        <w:rPr>
          <w:rFonts w:ascii="Times New Roman" w:hAnsi="Times New Roman"/>
          <w:kern w:val="2"/>
          <w:sz w:val="28"/>
          <w:szCs w:val="28"/>
          <w:lang w:eastAsia="ko-KR"/>
        </w:rPr>
        <w:t>стандартным</w:t>
      </w:r>
      <w:proofErr w:type="gramEnd"/>
      <w:r w:rsidRPr="009114DF">
        <w:rPr>
          <w:rFonts w:ascii="Times New Roman" w:hAnsi="Times New Roman"/>
          <w:kern w:val="2"/>
          <w:sz w:val="28"/>
          <w:szCs w:val="28"/>
          <w:lang w:eastAsia="ko-KR"/>
        </w:rPr>
        <w:t xml:space="preserve"> БПВП, не получавших ранее ингибиторы ФНО-</w:t>
      </w:r>
      <w:r w:rsidR="00504620" w:rsidRPr="009114DF">
        <w:rPr>
          <w:rFonts w:ascii="Times New Roman" w:hAnsi="Times New Roman"/>
          <w:kern w:val="2"/>
          <w:sz w:val="28"/>
          <w:szCs w:val="28"/>
          <w:lang w:eastAsia="ko-KR"/>
        </w:rPr>
        <w:t>α</w:t>
      </w:r>
      <w:r w:rsidRPr="009114DF">
        <w:rPr>
          <w:rFonts w:ascii="Times New Roman" w:hAnsi="Times New Roman"/>
          <w:kern w:val="2"/>
          <w:sz w:val="28"/>
          <w:szCs w:val="28"/>
          <w:lang w:eastAsia="ko-KR"/>
        </w:rPr>
        <w:t xml:space="preserve"> </w:t>
      </w:r>
      <w:r w:rsidR="002C058C" w:rsidRPr="009114DF">
        <w:rPr>
          <w:rFonts w:ascii="Times New Roman" w:hAnsi="Times New Roman"/>
          <w:kern w:val="2"/>
          <w:sz w:val="28"/>
          <w:szCs w:val="28"/>
          <w:lang w:eastAsia="ko-KR"/>
        </w:rPr>
        <w:t>[</w:t>
      </w:r>
      <w:r w:rsidR="00041E69" w:rsidRPr="009114DF">
        <w:rPr>
          <w:rFonts w:ascii="Times New Roman" w:hAnsi="Times New Roman"/>
          <w:kern w:val="2"/>
          <w:sz w:val="28"/>
          <w:szCs w:val="28"/>
          <w:lang w:eastAsia="ko-KR"/>
        </w:rPr>
        <w:t xml:space="preserve">88, </w:t>
      </w:r>
      <w:r w:rsidR="00A05647" w:rsidRPr="009114DF">
        <w:rPr>
          <w:rFonts w:ascii="Times New Roman" w:hAnsi="Times New Roman"/>
          <w:kern w:val="2"/>
          <w:sz w:val="28"/>
          <w:szCs w:val="28"/>
          <w:lang w:eastAsia="ko-KR"/>
        </w:rPr>
        <w:t>111, 112</w:t>
      </w:r>
      <w:r w:rsidR="00763A24" w:rsidRPr="009114DF">
        <w:rPr>
          <w:rFonts w:ascii="Times New Roman" w:hAnsi="Times New Roman"/>
          <w:kern w:val="2"/>
          <w:sz w:val="28"/>
          <w:szCs w:val="28"/>
          <w:lang w:eastAsia="ko-KR"/>
        </w:rPr>
        <w:t>,</w:t>
      </w:r>
      <w:r w:rsidR="00504620" w:rsidRPr="009114DF">
        <w:rPr>
          <w:rFonts w:ascii="Times New Roman" w:hAnsi="Times New Roman"/>
          <w:kern w:val="2"/>
          <w:sz w:val="28"/>
          <w:szCs w:val="28"/>
          <w:lang w:eastAsia="ko-KR"/>
        </w:rPr>
        <w:t xml:space="preserve"> </w:t>
      </w:r>
      <w:r w:rsidR="00266791" w:rsidRPr="009114DF">
        <w:rPr>
          <w:rFonts w:ascii="Times New Roman" w:hAnsi="Times New Roman"/>
          <w:kern w:val="2"/>
          <w:sz w:val="28"/>
          <w:szCs w:val="28"/>
          <w:lang w:eastAsia="ko-KR"/>
        </w:rPr>
        <w:t>146</w:t>
      </w:r>
      <w:r w:rsidR="00763A24" w:rsidRPr="009114DF">
        <w:rPr>
          <w:rFonts w:ascii="Times New Roman" w:hAnsi="Times New Roman"/>
          <w:kern w:val="2"/>
          <w:sz w:val="28"/>
          <w:szCs w:val="28"/>
          <w:lang w:eastAsia="ko-KR"/>
        </w:rPr>
        <w:t>,</w:t>
      </w:r>
      <w:r w:rsidR="00504620" w:rsidRPr="009114DF">
        <w:rPr>
          <w:rFonts w:ascii="Times New Roman" w:hAnsi="Times New Roman"/>
          <w:kern w:val="2"/>
          <w:sz w:val="28"/>
          <w:szCs w:val="28"/>
          <w:lang w:eastAsia="ko-KR"/>
        </w:rPr>
        <w:t xml:space="preserve"> </w:t>
      </w:r>
      <w:r w:rsidR="00BD6504" w:rsidRPr="009114DF">
        <w:rPr>
          <w:rFonts w:ascii="Times New Roman" w:hAnsi="Times New Roman"/>
          <w:kern w:val="2"/>
          <w:sz w:val="28"/>
          <w:szCs w:val="28"/>
          <w:lang w:eastAsia="ko-KR"/>
        </w:rPr>
        <w:t>155</w:t>
      </w:r>
      <w:r w:rsidR="00763A24" w:rsidRPr="009114DF">
        <w:rPr>
          <w:rFonts w:ascii="Times New Roman" w:hAnsi="Times New Roman"/>
          <w:kern w:val="2"/>
          <w:sz w:val="28"/>
          <w:szCs w:val="28"/>
          <w:lang w:eastAsia="ko-KR"/>
        </w:rPr>
        <w:t>,</w:t>
      </w:r>
      <w:r w:rsidR="00504620" w:rsidRPr="009114DF">
        <w:rPr>
          <w:rFonts w:ascii="Times New Roman" w:hAnsi="Times New Roman"/>
          <w:kern w:val="2"/>
          <w:sz w:val="28"/>
          <w:szCs w:val="28"/>
          <w:lang w:eastAsia="ko-KR"/>
        </w:rPr>
        <w:t xml:space="preserve"> </w:t>
      </w:r>
      <w:r w:rsidR="00957C16" w:rsidRPr="009114DF">
        <w:rPr>
          <w:rFonts w:ascii="Times New Roman" w:hAnsi="Times New Roman"/>
          <w:kern w:val="2"/>
          <w:sz w:val="28"/>
          <w:szCs w:val="28"/>
          <w:lang w:eastAsia="ko-KR"/>
        </w:rPr>
        <w:t>171</w:t>
      </w:r>
      <w:r w:rsidR="002C058C"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w:t>
      </w:r>
    </w:p>
    <w:p w:rsidR="00CF7FBB" w:rsidRPr="009114DF" w:rsidRDefault="00CF7FBB" w:rsidP="00504620">
      <w:pPr>
        <w:spacing w:after="0" w:line="374"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Это подтверждают результаты РПКИ SERENE (Study Evaluating Rituximab's Efficacy in Methotrexate Inadequate Responders), которое было посвящено изучению возможности применения РТМ в качестве первого ГИБП у пациентов с неэффективностью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w:t>
      </w:r>
      <w:r w:rsidR="002C058C" w:rsidRPr="009114DF">
        <w:rPr>
          <w:rFonts w:ascii="Times New Roman" w:hAnsi="Times New Roman"/>
          <w:kern w:val="2"/>
          <w:sz w:val="28"/>
          <w:szCs w:val="28"/>
          <w:lang w:eastAsia="ko-KR"/>
        </w:rPr>
        <w:t>[</w:t>
      </w:r>
      <w:r w:rsidR="000C2FEC" w:rsidRPr="009114DF">
        <w:rPr>
          <w:rFonts w:ascii="Times New Roman" w:hAnsi="Times New Roman"/>
          <w:kern w:val="2"/>
          <w:sz w:val="28"/>
          <w:szCs w:val="28"/>
          <w:lang w:eastAsia="ko-KR"/>
        </w:rPr>
        <w:t>47</w:t>
      </w:r>
      <w:r w:rsidR="00763A24" w:rsidRPr="009114DF">
        <w:rPr>
          <w:rFonts w:ascii="Times New Roman" w:hAnsi="Times New Roman"/>
          <w:kern w:val="2"/>
          <w:sz w:val="28"/>
          <w:szCs w:val="28"/>
          <w:lang w:eastAsia="ko-KR"/>
        </w:rPr>
        <w:t>,</w:t>
      </w:r>
      <w:r w:rsidR="00504620" w:rsidRPr="009114DF">
        <w:rPr>
          <w:rFonts w:ascii="Times New Roman" w:hAnsi="Times New Roman"/>
          <w:kern w:val="2"/>
          <w:sz w:val="28"/>
          <w:szCs w:val="28"/>
          <w:lang w:eastAsia="ko-KR"/>
        </w:rPr>
        <w:t xml:space="preserve"> </w:t>
      </w:r>
      <w:r w:rsidR="00A05647" w:rsidRPr="009114DF">
        <w:rPr>
          <w:rFonts w:ascii="Times New Roman" w:hAnsi="Times New Roman"/>
          <w:kern w:val="2"/>
          <w:sz w:val="28"/>
          <w:szCs w:val="28"/>
          <w:lang w:eastAsia="ko-KR"/>
        </w:rPr>
        <w:t>113</w:t>
      </w:r>
      <w:r w:rsidR="002C058C" w:rsidRPr="009114DF">
        <w:rPr>
          <w:rFonts w:ascii="Times New Roman" w:hAnsi="Times New Roman"/>
          <w:kern w:val="2"/>
          <w:sz w:val="28"/>
          <w:szCs w:val="28"/>
          <w:lang w:eastAsia="ko-KR"/>
        </w:rPr>
        <w:t xml:space="preserve">]. </w:t>
      </w:r>
      <w:r w:rsidR="000D7E95" w:rsidRPr="009114DF">
        <w:rPr>
          <w:rFonts w:ascii="Times New Roman" w:hAnsi="Times New Roman"/>
          <w:kern w:val="2"/>
          <w:sz w:val="28"/>
          <w:szCs w:val="28"/>
          <w:lang w:eastAsia="ko-KR"/>
        </w:rPr>
        <w:t xml:space="preserve">В </w:t>
      </w:r>
      <w:r w:rsidRPr="009114DF">
        <w:rPr>
          <w:rFonts w:ascii="Times New Roman" w:hAnsi="Times New Roman"/>
          <w:kern w:val="2"/>
          <w:sz w:val="28"/>
          <w:szCs w:val="28"/>
          <w:lang w:eastAsia="ko-KR"/>
        </w:rPr>
        <w:t>ходе исследования установлено, что как низкие, так и стандартные дозы РТМ были достоверно эффективнее плацебо. При этом, как и в предыдущих исследованиях, отмечалась тенденция к повышению эффективности повторных курсов РТМ.</w:t>
      </w:r>
    </w:p>
    <w:p w:rsidR="00CF7FBB" w:rsidRPr="009114DF" w:rsidRDefault="00CF7FBB" w:rsidP="00504620">
      <w:pPr>
        <w:spacing w:after="0" w:line="374"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Особый интерес представляют данные исследования IMAGE (Internat</w:t>
      </w:r>
      <w:r w:rsidR="000D7E95" w:rsidRPr="009114DF">
        <w:rPr>
          <w:rFonts w:ascii="Times New Roman" w:hAnsi="Times New Roman"/>
          <w:kern w:val="2"/>
          <w:sz w:val="28"/>
          <w:szCs w:val="28"/>
          <w:lang w:eastAsia="ko-KR"/>
        </w:rPr>
        <w:t>ional Study in Methotrexate-nai</w:t>
      </w:r>
      <w:r w:rsidRPr="009114DF">
        <w:rPr>
          <w:rFonts w:ascii="Times New Roman" w:hAnsi="Times New Roman"/>
          <w:kern w:val="2"/>
          <w:sz w:val="28"/>
          <w:szCs w:val="28"/>
          <w:lang w:eastAsia="ko-KR"/>
        </w:rPr>
        <w:t xml:space="preserve">ve Subjects Investigating Riruximab Efficacy), целью которого было изучение эффективности комбинированной терапии РТМ и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по сравнению с монотерапией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у пациентов с ранним активным РА</w:t>
      </w:r>
      <w:r w:rsidR="00763A24" w:rsidRPr="009114DF">
        <w:rPr>
          <w:rFonts w:ascii="Times New Roman" w:hAnsi="Times New Roman"/>
          <w:kern w:val="2"/>
          <w:sz w:val="28"/>
          <w:szCs w:val="28"/>
          <w:lang w:eastAsia="ko-KR"/>
        </w:rPr>
        <w:t xml:space="preserve"> [22,</w:t>
      </w:r>
      <w:r w:rsidR="00504620" w:rsidRPr="009114DF">
        <w:rPr>
          <w:rFonts w:ascii="Times New Roman" w:hAnsi="Times New Roman"/>
          <w:kern w:val="2"/>
          <w:sz w:val="28"/>
          <w:szCs w:val="28"/>
          <w:lang w:eastAsia="ko-KR"/>
        </w:rPr>
        <w:t xml:space="preserve"> </w:t>
      </w:r>
      <w:r w:rsidR="00763A24" w:rsidRPr="009114DF">
        <w:rPr>
          <w:rFonts w:ascii="Times New Roman" w:hAnsi="Times New Roman"/>
          <w:kern w:val="2"/>
          <w:sz w:val="28"/>
          <w:szCs w:val="28"/>
          <w:lang w:eastAsia="ko-KR"/>
        </w:rPr>
        <w:t>19</w:t>
      </w:r>
      <w:r w:rsidR="00EC4BD2" w:rsidRPr="009114DF">
        <w:rPr>
          <w:rFonts w:ascii="Times New Roman" w:hAnsi="Times New Roman"/>
          <w:kern w:val="2"/>
          <w:sz w:val="28"/>
          <w:szCs w:val="28"/>
          <w:lang w:eastAsia="ko-KR"/>
        </w:rPr>
        <w:t>3</w:t>
      </w:r>
      <w:r w:rsidR="00E45A0C"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lastRenderedPageBreak/>
        <w:t xml:space="preserve">Установлено, что комбинированная терапия РТМ и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существенно превосходит по эффективности монотерапию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и тормозит прогрессирование деструктивного процесса в суставах</w:t>
      </w:r>
      <w:r w:rsidR="00504620"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по данным рентгенологического исследования </w:t>
      </w:r>
      <w:r w:rsidR="00E45A0C" w:rsidRPr="009114DF">
        <w:rPr>
          <w:rFonts w:ascii="Times New Roman" w:hAnsi="Times New Roman"/>
          <w:kern w:val="2"/>
          <w:sz w:val="28"/>
          <w:szCs w:val="28"/>
          <w:lang w:eastAsia="ko-KR"/>
        </w:rPr>
        <w:t>[</w:t>
      </w:r>
      <w:r w:rsidR="00A05647" w:rsidRPr="009114DF">
        <w:rPr>
          <w:rFonts w:ascii="Times New Roman" w:hAnsi="Times New Roman"/>
          <w:kern w:val="2"/>
          <w:sz w:val="28"/>
          <w:szCs w:val="28"/>
          <w:lang w:eastAsia="ko-KR"/>
        </w:rPr>
        <w:t>111</w:t>
      </w:r>
      <w:r w:rsidR="00E45A0C"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 </w:t>
      </w:r>
    </w:p>
    <w:p w:rsidR="00CF7FBB" w:rsidRPr="009114DF" w:rsidRDefault="00CF7FBB" w:rsidP="00504620">
      <w:pPr>
        <w:spacing w:after="0" w:line="374"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Кроме того, как и в исследовании REFLEX, в исследовании IMAGE продемонстрирована способность комбинированной терапии РТМ и </w:t>
      </w:r>
      <w:r w:rsidR="00BA59B7" w:rsidRPr="009114DF">
        <w:rPr>
          <w:rFonts w:ascii="Times New Roman" w:hAnsi="Times New Roman"/>
          <w:kern w:val="2"/>
          <w:sz w:val="28"/>
          <w:szCs w:val="28"/>
          <w:lang w:eastAsia="ko-KR"/>
        </w:rPr>
        <w:t>МТХ</w:t>
      </w:r>
      <w:r w:rsidRPr="009114DF">
        <w:rPr>
          <w:rFonts w:ascii="Times New Roman" w:hAnsi="Times New Roman"/>
          <w:kern w:val="2"/>
          <w:sz w:val="28"/>
          <w:szCs w:val="28"/>
          <w:lang w:eastAsia="ko-KR"/>
        </w:rPr>
        <w:t xml:space="preserve"> </w:t>
      </w:r>
      <w:proofErr w:type="gramStart"/>
      <w:r w:rsidRPr="009114DF">
        <w:rPr>
          <w:rFonts w:ascii="Times New Roman" w:hAnsi="Times New Roman"/>
          <w:kern w:val="2"/>
          <w:sz w:val="28"/>
          <w:szCs w:val="28"/>
          <w:lang w:eastAsia="ko-KR"/>
        </w:rPr>
        <w:t>замедлять</w:t>
      </w:r>
      <w:proofErr w:type="gramEnd"/>
      <w:r w:rsidRPr="009114DF">
        <w:rPr>
          <w:rFonts w:ascii="Times New Roman" w:hAnsi="Times New Roman"/>
          <w:kern w:val="2"/>
          <w:sz w:val="28"/>
          <w:szCs w:val="28"/>
          <w:lang w:eastAsia="ko-KR"/>
        </w:rPr>
        <w:t xml:space="preserve"> прогрессирование суставной деструкции при РА [</w:t>
      </w:r>
      <w:r w:rsidR="006D17D9" w:rsidRPr="009114DF">
        <w:rPr>
          <w:rFonts w:ascii="Times New Roman" w:hAnsi="Times New Roman"/>
          <w:kern w:val="2"/>
          <w:sz w:val="28"/>
          <w:szCs w:val="28"/>
          <w:lang w:eastAsia="ko-KR"/>
        </w:rPr>
        <w:t>106</w:t>
      </w:r>
      <w:r w:rsidR="00EC4BD2" w:rsidRPr="009114DF">
        <w:rPr>
          <w:rFonts w:ascii="Times New Roman" w:hAnsi="Times New Roman"/>
          <w:kern w:val="2"/>
          <w:sz w:val="28"/>
          <w:szCs w:val="28"/>
          <w:lang w:eastAsia="ko-KR"/>
        </w:rPr>
        <w:t>, 194</w:t>
      </w:r>
      <w:r w:rsidRPr="009114DF">
        <w:rPr>
          <w:rFonts w:ascii="Times New Roman" w:hAnsi="Times New Roman"/>
          <w:kern w:val="2"/>
          <w:sz w:val="28"/>
          <w:szCs w:val="28"/>
          <w:lang w:eastAsia="ko-KR"/>
        </w:rPr>
        <w:t xml:space="preserve">]. Однако исследования о влиянии РТМ на </w:t>
      </w:r>
      <w:proofErr w:type="gramStart"/>
      <w:r w:rsidRPr="009114DF">
        <w:rPr>
          <w:rFonts w:ascii="Times New Roman" w:hAnsi="Times New Roman"/>
          <w:kern w:val="2"/>
          <w:sz w:val="28"/>
          <w:szCs w:val="28"/>
          <w:lang w:eastAsia="ko-KR"/>
        </w:rPr>
        <w:t>системное</w:t>
      </w:r>
      <w:proofErr w:type="gramEnd"/>
      <w:r w:rsidRPr="009114DF">
        <w:rPr>
          <w:rFonts w:ascii="Times New Roman" w:hAnsi="Times New Roman"/>
          <w:kern w:val="2"/>
          <w:sz w:val="28"/>
          <w:szCs w:val="28"/>
          <w:lang w:eastAsia="ko-KR"/>
        </w:rPr>
        <w:t xml:space="preserve"> ремоделирование костной ткани крайне малочисленны. M.</w:t>
      </w:r>
      <w:r w:rsidR="00504620"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J.</w:t>
      </w:r>
      <w:r w:rsidR="00504620"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H. Boumans и соавт. считают, что уменьшение числа синовиальных предшественников остеокластов и экспрессии RANKL, а также увеличение отношения OPG/RANKL в сыворотке объясняет протективный эффект РТМ на прогрессирование</w:t>
      </w:r>
      <w:r w:rsidR="006A397B" w:rsidRPr="009114DF">
        <w:rPr>
          <w:rFonts w:ascii="Times New Roman" w:hAnsi="Times New Roman"/>
          <w:kern w:val="2"/>
          <w:sz w:val="28"/>
          <w:szCs w:val="28"/>
          <w:lang w:eastAsia="ko-KR"/>
        </w:rPr>
        <w:t xml:space="preserve"> суставной деструкции при РА [</w:t>
      </w:r>
      <w:r w:rsidR="00041E69" w:rsidRPr="009114DF">
        <w:rPr>
          <w:rFonts w:ascii="Times New Roman" w:hAnsi="Times New Roman"/>
          <w:kern w:val="2"/>
          <w:sz w:val="28"/>
          <w:szCs w:val="28"/>
          <w:lang w:eastAsia="ko-KR"/>
        </w:rPr>
        <w:t>95</w:t>
      </w:r>
      <w:r w:rsidRPr="009114DF">
        <w:rPr>
          <w:rFonts w:ascii="Times New Roman" w:hAnsi="Times New Roman"/>
          <w:kern w:val="2"/>
          <w:sz w:val="28"/>
          <w:szCs w:val="28"/>
          <w:lang w:eastAsia="ko-KR"/>
        </w:rPr>
        <w:t>].  G. Wheater и соавт. [</w:t>
      </w:r>
      <w:r w:rsidR="00EC4BD2" w:rsidRPr="009114DF">
        <w:rPr>
          <w:rFonts w:ascii="Times New Roman" w:hAnsi="Times New Roman"/>
          <w:kern w:val="2"/>
          <w:sz w:val="28"/>
          <w:szCs w:val="28"/>
          <w:lang w:eastAsia="ko-KR"/>
        </w:rPr>
        <w:t>209</w:t>
      </w:r>
      <w:r w:rsidRPr="009114DF">
        <w:rPr>
          <w:rFonts w:ascii="Times New Roman" w:hAnsi="Times New Roman"/>
          <w:kern w:val="2"/>
          <w:sz w:val="28"/>
          <w:szCs w:val="28"/>
          <w:lang w:eastAsia="ko-KR"/>
        </w:rPr>
        <w:t>], изучавшие роль B-клеток в формировании кости и ее резорбции при воспалении у пациентов с РА, отмечают, что на фоне терапии РТМ снизилась клиническая активность заболевания</w:t>
      </w:r>
      <w:r w:rsidR="00F33EAE">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и замедлилось костное ремоделирование.</w:t>
      </w:r>
    </w:p>
    <w:p w:rsidR="00CF7FBB" w:rsidRPr="009114DF" w:rsidRDefault="00CF7FBB" w:rsidP="00504620">
      <w:pPr>
        <w:spacing w:after="0" w:line="374" w:lineRule="auto"/>
        <w:ind w:firstLine="709"/>
        <w:jc w:val="both"/>
        <w:rPr>
          <w:rFonts w:ascii="Times New Roman" w:hAnsi="Times New Roman"/>
          <w:kern w:val="2"/>
          <w:sz w:val="28"/>
          <w:szCs w:val="28"/>
          <w:lang w:eastAsia="ko-KR"/>
        </w:rPr>
      </w:pPr>
      <w:r w:rsidRPr="009114DF">
        <w:rPr>
          <w:rFonts w:ascii="Times New Roman" w:hAnsi="Times New Roman"/>
          <w:kern w:val="2"/>
          <w:sz w:val="28"/>
          <w:szCs w:val="28"/>
          <w:lang w:eastAsia="ko-KR"/>
        </w:rPr>
        <w:t>По результатам исследования П.</w:t>
      </w:r>
      <w:r w:rsidR="00504620"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С.</w:t>
      </w:r>
      <w:r w:rsidR="00504620" w:rsidRPr="009114DF">
        <w:rPr>
          <w:rFonts w:ascii="Times New Roman" w:hAnsi="Times New Roman"/>
          <w:kern w:val="2"/>
          <w:sz w:val="28"/>
          <w:szCs w:val="28"/>
          <w:lang w:eastAsia="ko-KR"/>
        </w:rPr>
        <w:t xml:space="preserve"> Дыдыкиной</w:t>
      </w:r>
      <w:r w:rsidRPr="009114DF">
        <w:rPr>
          <w:rFonts w:ascii="Times New Roman" w:hAnsi="Times New Roman"/>
          <w:kern w:val="2"/>
          <w:sz w:val="28"/>
          <w:szCs w:val="28"/>
          <w:lang w:eastAsia="ko-KR"/>
        </w:rPr>
        <w:t xml:space="preserve"> и соавторов, которые наблюдали больных РА на фоне терапии РТМ на протяжен</w:t>
      </w:r>
      <w:bookmarkStart w:id="0" w:name="_GoBack"/>
      <w:bookmarkEnd w:id="0"/>
      <w:r w:rsidRPr="009114DF">
        <w:rPr>
          <w:rFonts w:ascii="Times New Roman" w:hAnsi="Times New Roman"/>
          <w:kern w:val="2"/>
          <w:sz w:val="28"/>
          <w:szCs w:val="28"/>
          <w:lang w:eastAsia="ko-KR"/>
        </w:rPr>
        <w:t>ии 12 месяцев, установлено, что МПК больных РА с высокой активностью заболевания на фоне терапии РТМ сохранялась стабильной вне зависимости от полученной суммарной дозы препарата</w:t>
      </w:r>
      <w:r w:rsidR="006A397B" w:rsidRPr="009114DF">
        <w:rPr>
          <w:rFonts w:ascii="Times New Roman" w:hAnsi="Times New Roman"/>
          <w:kern w:val="2"/>
          <w:sz w:val="28"/>
          <w:szCs w:val="28"/>
          <w:lang w:eastAsia="ko-KR"/>
        </w:rPr>
        <w:t xml:space="preserve"> [</w:t>
      </w:r>
      <w:r w:rsidR="00007E92" w:rsidRPr="009114DF">
        <w:rPr>
          <w:rFonts w:ascii="Times New Roman" w:hAnsi="Times New Roman"/>
          <w:kern w:val="2"/>
          <w:sz w:val="28"/>
          <w:szCs w:val="28"/>
          <w:lang w:eastAsia="ko-KR"/>
        </w:rPr>
        <w:t>29</w:t>
      </w:r>
      <w:r w:rsidR="006A397B"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w:t>
      </w:r>
    </w:p>
    <w:p w:rsidR="00CF7FBB" w:rsidRPr="009114DF" w:rsidRDefault="00CF7FBB" w:rsidP="00504620">
      <w:pPr>
        <w:spacing w:after="0" w:line="374" w:lineRule="auto"/>
        <w:ind w:firstLine="709"/>
        <w:jc w:val="both"/>
        <w:rPr>
          <w:rFonts w:ascii="Times New Roman" w:hAnsi="Times New Roman"/>
          <w:kern w:val="2"/>
          <w:sz w:val="28"/>
          <w:szCs w:val="28"/>
          <w:lang w:eastAsia="ko-KR"/>
        </w:rPr>
      </w:pPr>
      <w:r w:rsidRPr="009114DF">
        <w:rPr>
          <w:rFonts w:ascii="Times New Roman" w:eastAsia="Times New Roman" w:hAnsi="Times New Roman"/>
          <w:sz w:val="28"/>
          <w:szCs w:val="28"/>
          <w:lang w:eastAsia="ru-RU"/>
        </w:rPr>
        <w:t xml:space="preserve">Анализ представленных данных свидетельствует о необходимости проведения дальнейших исследований по изучению механизмов развития РА, сравнительной оценке эффективности противовоспалительной активности ГИБП, что будет способствовать совершенствованию терапии заболевания. Несмотря на тот факт, что ГИБП уже не первый год применяются в лечении РА, до настоящего времени не определены дифференцированные подходы к назначению препаратов. </w:t>
      </w:r>
      <w:r w:rsidRPr="009114DF">
        <w:rPr>
          <w:rFonts w:ascii="Times New Roman" w:hAnsi="Times New Roman"/>
          <w:kern w:val="2"/>
          <w:sz w:val="28"/>
          <w:szCs w:val="28"/>
          <w:lang w:eastAsia="ko-KR"/>
        </w:rPr>
        <w:t>Вместе с тем обращает на себя внимание</w:t>
      </w:r>
      <w:r w:rsidR="00404230" w:rsidRPr="009114DF">
        <w:rPr>
          <w:rFonts w:ascii="Times New Roman" w:hAnsi="Times New Roman"/>
          <w:kern w:val="2"/>
          <w:sz w:val="28"/>
          <w:szCs w:val="28"/>
          <w:lang w:eastAsia="ko-KR"/>
        </w:rPr>
        <w:t xml:space="preserve"> то</w:t>
      </w:r>
      <w:r w:rsidRPr="009114DF">
        <w:rPr>
          <w:rFonts w:ascii="Times New Roman" w:hAnsi="Times New Roman"/>
          <w:kern w:val="2"/>
          <w:sz w:val="28"/>
          <w:szCs w:val="28"/>
          <w:lang w:eastAsia="ko-KR"/>
        </w:rPr>
        <w:t xml:space="preserve">, что многие аспекты биологической терапии остаются малоизученными. Остается открытым вопрос о сроках </w:t>
      </w:r>
      <w:r w:rsidRPr="009114DF">
        <w:rPr>
          <w:rFonts w:ascii="Times New Roman" w:hAnsi="Times New Roman"/>
          <w:kern w:val="2"/>
          <w:sz w:val="28"/>
          <w:szCs w:val="28"/>
          <w:lang w:eastAsia="ko-KR"/>
        </w:rPr>
        <w:lastRenderedPageBreak/>
        <w:t>назначения биологических агентов и длительности их применения. Явно недостаточно изучены причины резистентности и механизмы «ускол</w:t>
      </w:r>
      <w:r w:rsidR="00040914" w:rsidRPr="009114DF">
        <w:rPr>
          <w:rFonts w:ascii="Times New Roman" w:hAnsi="Times New Roman"/>
          <w:kern w:val="2"/>
          <w:sz w:val="28"/>
          <w:szCs w:val="28"/>
          <w:lang w:eastAsia="ko-KR"/>
        </w:rPr>
        <w:t>ьзания» эффекта</w:t>
      </w:r>
      <w:r w:rsidRPr="009114DF">
        <w:rPr>
          <w:rFonts w:ascii="Times New Roman" w:hAnsi="Times New Roman"/>
          <w:kern w:val="2"/>
          <w:sz w:val="28"/>
          <w:szCs w:val="28"/>
          <w:lang w:eastAsia="ko-KR"/>
        </w:rPr>
        <w:t xml:space="preserve">. </w:t>
      </w:r>
    </w:p>
    <w:p w:rsidR="00CF7FBB" w:rsidRPr="009114DF" w:rsidRDefault="00CF7FBB" w:rsidP="00504620">
      <w:pPr>
        <w:spacing w:after="0" w:line="374" w:lineRule="auto"/>
        <w:ind w:firstLine="709"/>
        <w:jc w:val="both"/>
        <w:rPr>
          <w:rFonts w:ascii="Times New Roman" w:eastAsia="Times New Roman" w:hAnsi="Times New Roman"/>
          <w:sz w:val="28"/>
          <w:szCs w:val="28"/>
          <w:lang w:eastAsia="ru-RU"/>
        </w:rPr>
      </w:pPr>
      <w:proofErr w:type="gramStart"/>
      <w:r w:rsidRPr="009114DF">
        <w:rPr>
          <w:rFonts w:ascii="Times New Roman" w:eastAsia="Times New Roman" w:hAnsi="Times New Roman"/>
          <w:sz w:val="28"/>
          <w:szCs w:val="28"/>
          <w:lang w:eastAsia="ru-RU"/>
        </w:rPr>
        <w:t>Данные положения определяют необходимость проведения дальнейших исследований по изучению противовоспалительной активности генно-инженерных биологических препаратов у больных различными клинико-иммунологическими формами РА, длительно</w:t>
      </w:r>
      <w:r w:rsidR="00504620" w:rsidRPr="009114DF">
        <w:rPr>
          <w:rFonts w:ascii="Times New Roman" w:eastAsia="Times New Roman" w:hAnsi="Times New Roman"/>
          <w:sz w:val="28"/>
          <w:szCs w:val="28"/>
          <w:lang w:eastAsia="ru-RU"/>
        </w:rPr>
        <w:t>го</w:t>
      </w:r>
      <w:r w:rsidRPr="009114DF">
        <w:rPr>
          <w:rFonts w:ascii="Times New Roman" w:eastAsia="Times New Roman" w:hAnsi="Times New Roman"/>
          <w:sz w:val="28"/>
          <w:szCs w:val="28"/>
          <w:lang w:eastAsia="ru-RU"/>
        </w:rPr>
        <w:t xml:space="preserve"> мониторинг</w:t>
      </w:r>
      <w:r w:rsidR="00504620" w:rsidRPr="009114DF">
        <w:rPr>
          <w:rFonts w:ascii="Times New Roman" w:eastAsia="Times New Roman" w:hAnsi="Times New Roman"/>
          <w:sz w:val="28"/>
          <w:szCs w:val="28"/>
          <w:lang w:eastAsia="ru-RU"/>
        </w:rPr>
        <w:t>а</w:t>
      </w:r>
      <w:r w:rsidRPr="009114DF">
        <w:rPr>
          <w:rFonts w:ascii="Times New Roman" w:eastAsia="Times New Roman" w:hAnsi="Times New Roman"/>
          <w:sz w:val="28"/>
          <w:szCs w:val="28"/>
          <w:lang w:eastAsia="ru-RU"/>
        </w:rPr>
        <w:t xml:space="preserve"> терапии с целью оптимизации результатов лечения, разработки персонифицированных подходов к назначению РТМ при РА, что направлено на достижение стратегической цели терапии РА</w:t>
      </w:r>
      <w:r w:rsidR="00CD2EDC"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развити</w:t>
      </w:r>
      <w:r w:rsidR="00504620" w:rsidRPr="009114DF">
        <w:rPr>
          <w:rFonts w:ascii="Times New Roman" w:eastAsia="Times New Roman" w:hAnsi="Times New Roman"/>
          <w:sz w:val="28"/>
          <w:szCs w:val="28"/>
          <w:lang w:eastAsia="ru-RU"/>
        </w:rPr>
        <w:t>е</w:t>
      </w:r>
      <w:r w:rsidRPr="009114DF">
        <w:rPr>
          <w:rFonts w:ascii="Times New Roman" w:eastAsia="Times New Roman" w:hAnsi="Times New Roman"/>
          <w:sz w:val="28"/>
          <w:szCs w:val="28"/>
          <w:lang w:eastAsia="ru-RU"/>
        </w:rPr>
        <w:t xml:space="preserve"> ремиссии, а не только симптомат</w:t>
      </w:r>
      <w:r w:rsidR="00040914" w:rsidRPr="009114DF">
        <w:rPr>
          <w:rFonts w:ascii="Times New Roman" w:eastAsia="Times New Roman" w:hAnsi="Times New Roman"/>
          <w:sz w:val="28"/>
          <w:szCs w:val="28"/>
          <w:lang w:eastAsia="ru-RU"/>
        </w:rPr>
        <w:t>ическо</w:t>
      </w:r>
      <w:r w:rsidR="00504620" w:rsidRPr="009114DF">
        <w:rPr>
          <w:rFonts w:ascii="Times New Roman" w:eastAsia="Times New Roman" w:hAnsi="Times New Roman"/>
          <w:sz w:val="28"/>
          <w:szCs w:val="28"/>
          <w:lang w:eastAsia="ru-RU"/>
        </w:rPr>
        <w:t>е</w:t>
      </w:r>
      <w:r w:rsidR="00040914" w:rsidRPr="009114DF">
        <w:rPr>
          <w:rFonts w:ascii="Times New Roman" w:eastAsia="Times New Roman" w:hAnsi="Times New Roman"/>
          <w:sz w:val="28"/>
          <w:szCs w:val="28"/>
          <w:lang w:eastAsia="ru-RU"/>
        </w:rPr>
        <w:t xml:space="preserve"> улучшени</w:t>
      </w:r>
      <w:r w:rsidR="00504620" w:rsidRPr="009114DF">
        <w:rPr>
          <w:rFonts w:ascii="Times New Roman" w:eastAsia="Times New Roman" w:hAnsi="Times New Roman"/>
          <w:sz w:val="28"/>
          <w:szCs w:val="28"/>
          <w:lang w:eastAsia="ru-RU"/>
        </w:rPr>
        <w:t>е</w:t>
      </w:r>
      <w:r w:rsidR="00040914" w:rsidRPr="009114DF">
        <w:rPr>
          <w:rFonts w:ascii="Times New Roman" w:eastAsia="Times New Roman" w:hAnsi="Times New Roman"/>
          <w:sz w:val="28"/>
          <w:szCs w:val="28"/>
          <w:lang w:eastAsia="ru-RU"/>
        </w:rPr>
        <w:t xml:space="preserve"> состояния</w:t>
      </w:r>
      <w:r w:rsidRPr="009114DF">
        <w:rPr>
          <w:rFonts w:ascii="Times New Roman" w:eastAsia="Times New Roman" w:hAnsi="Times New Roman"/>
          <w:sz w:val="28"/>
          <w:szCs w:val="28"/>
          <w:lang w:eastAsia="ru-RU"/>
        </w:rPr>
        <w:t xml:space="preserve">. </w:t>
      </w:r>
      <w:proofErr w:type="gramEnd"/>
    </w:p>
    <w:p w:rsidR="001552FE" w:rsidRPr="009114DF" w:rsidRDefault="001552FE" w:rsidP="009A3840">
      <w:pPr>
        <w:spacing w:after="0" w:line="360" w:lineRule="auto"/>
        <w:jc w:val="both"/>
        <w:rPr>
          <w:rFonts w:ascii="Times New Roman" w:eastAsia="Times New Roman" w:hAnsi="Times New Roman"/>
          <w:sz w:val="28"/>
          <w:szCs w:val="28"/>
          <w:lang w:eastAsia="ru-RU"/>
        </w:rPr>
      </w:pPr>
    </w:p>
    <w:p w:rsidR="00CF7FBB" w:rsidRPr="009114DF" w:rsidRDefault="00CF7FBB" w:rsidP="002230F3">
      <w:pPr>
        <w:pStyle w:val="ad"/>
        <w:numPr>
          <w:ilvl w:val="1"/>
          <w:numId w:val="23"/>
        </w:numPr>
        <w:spacing w:after="0" w:line="360" w:lineRule="auto"/>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 xml:space="preserve">Качество жизни больных </w:t>
      </w:r>
      <w:r w:rsidR="00B46258" w:rsidRPr="009114DF">
        <w:rPr>
          <w:rFonts w:ascii="Times New Roman" w:eastAsia="Times New Roman" w:hAnsi="Times New Roman"/>
          <w:b/>
          <w:sz w:val="28"/>
          <w:szCs w:val="28"/>
          <w:lang w:eastAsia="ru-RU"/>
        </w:rPr>
        <w:t>ревматоидным артритом</w:t>
      </w:r>
      <w:r w:rsidRPr="009114DF">
        <w:rPr>
          <w:rFonts w:ascii="Times New Roman" w:eastAsia="Times New Roman" w:hAnsi="Times New Roman"/>
          <w:b/>
          <w:sz w:val="28"/>
          <w:szCs w:val="28"/>
          <w:lang w:eastAsia="ru-RU"/>
        </w:rPr>
        <w:t xml:space="preserve">, получавших терапию </w:t>
      </w:r>
      <w:r w:rsidR="00B46258" w:rsidRPr="009114DF">
        <w:rPr>
          <w:rFonts w:ascii="Times New Roman" w:eastAsia="Times New Roman" w:hAnsi="Times New Roman"/>
          <w:b/>
          <w:sz w:val="28"/>
          <w:szCs w:val="28"/>
          <w:lang w:eastAsia="ru-RU"/>
        </w:rPr>
        <w:t>ритуксимабом</w:t>
      </w:r>
    </w:p>
    <w:p w:rsidR="002230F3" w:rsidRPr="009114DF" w:rsidRDefault="002230F3" w:rsidP="002230F3">
      <w:pPr>
        <w:pStyle w:val="ad"/>
        <w:spacing w:after="0" w:line="360" w:lineRule="auto"/>
        <w:ind w:left="1425"/>
        <w:jc w:val="both"/>
        <w:rPr>
          <w:rFonts w:ascii="Times New Roman" w:eastAsia="Times New Roman" w:hAnsi="Times New Roman"/>
          <w:b/>
          <w:sz w:val="28"/>
          <w:szCs w:val="28"/>
          <w:lang w:eastAsia="ru-RU"/>
        </w:rPr>
      </w:pPr>
    </w:p>
    <w:p w:rsidR="00CF7FBB" w:rsidRPr="009114DF" w:rsidRDefault="00B46258" w:rsidP="00EC4BD2">
      <w:pPr>
        <w:autoSpaceDE w:val="0"/>
        <w:autoSpaceDN w:val="0"/>
        <w:spacing w:after="0" w:line="360" w:lineRule="auto"/>
        <w:ind w:firstLine="708"/>
        <w:jc w:val="both"/>
        <w:rPr>
          <w:rFonts w:ascii="Times New Roman" w:hAnsi="Times New Roman"/>
          <w:kern w:val="2"/>
          <w:sz w:val="28"/>
          <w:szCs w:val="28"/>
          <w:lang w:eastAsia="ko-KR"/>
        </w:rPr>
      </w:pPr>
      <w:r w:rsidRPr="009114DF">
        <w:rPr>
          <w:rFonts w:ascii="Times New Roman" w:hAnsi="Times New Roman"/>
          <w:kern w:val="2"/>
          <w:sz w:val="28"/>
          <w:szCs w:val="28"/>
          <w:lang w:eastAsia="ko-KR"/>
        </w:rPr>
        <w:t>Качество жизни (</w:t>
      </w:r>
      <w:r w:rsidR="00CF7FBB" w:rsidRPr="009114DF">
        <w:rPr>
          <w:rFonts w:ascii="Times New Roman" w:hAnsi="Times New Roman"/>
          <w:kern w:val="2"/>
          <w:sz w:val="28"/>
          <w:szCs w:val="28"/>
          <w:lang w:eastAsia="ko-KR"/>
        </w:rPr>
        <w:t>КЖ</w:t>
      </w:r>
      <w:r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явля</w:t>
      </w:r>
      <w:r w:rsidR="00D46239" w:rsidRPr="009114DF">
        <w:rPr>
          <w:rFonts w:ascii="Times New Roman" w:hAnsi="Times New Roman"/>
          <w:kern w:val="2"/>
          <w:sz w:val="28"/>
          <w:szCs w:val="28"/>
          <w:lang w:eastAsia="ko-KR"/>
        </w:rPr>
        <w:t>ется</w:t>
      </w:r>
      <w:r w:rsidR="00CF7FBB" w:rsidRPr="009114DF">
        <w:rPr>
          <w:rFonts w:ascii="Times New Roman" w:hAnsi="Times New Roman"/>
          <w:kern w:val="2"/>
          <w:sz w:val="28"/>
          <w:szCs w:val="28"/>
          <w:lang w:eastAsia="ko-KR"/>
        </w:rPr>
        <w:t xml:space="preserve"> </w:t>
      </w:r>
      <w:r w:rsidR="00D46239" w:rsidRPr="009114DF">
        <w:rPr>
          <w:rFonts w:ascii="Times New Roman" w:hAnsi="Times New Roman"/>
          <w:kern w:val="2"/>
          <w:sz w:val="28"/>
          <w:szCs w:val="28"/>
          <w:lang w:eastAsia="ko-KR"/>
        </w:rPr>
        <w:t>обобщающей</w:t>
      </w:r>
      <w:r w:rsidR="00CF7FBB" w:rsidRPr="009114DF">
        <w:rPr>
          <w:rFonts w:ascii="Times New Roman" w:hAnsi="Times New Roman"/>
          <w:kern w:val="2"/>
          <w:sz w:val="28"/>
          <w:szCs w:val="28"/>
          <w:lang w:eastAsia="ko-KR"/>
        </w:rPr>
        <w:t xml:space="preserve"> характеристикой различных сфер </w:t>
      </w:r>
      <w:r w:rsidR="003B29FB" w:rsidRPr="009114DF">
        <w:rPr>
          <w:rFonts w:ascii="Times New Roman" w:hAnsi="Times New Roman"/>
          <w:kern w:val="2"/>
          <w:sz w:val="28"/>
          <w:szCs w:val="28"/>
          <w:lang w:eastAsia="ko-KR"/>
        </w:rPr>
        <w:t>жизне</w:t>
      </w:r>
      <w:r w:rsidR="00D46239" w:rsidRPr="009114DF">
        <w:rPr>
          <w:rFonts w:ascii="Times New Roman" w:hAnsi="Times New Roman"/>
          <w:kern w:val="2"/>
          <w:sz w:val="28"/>
          <w:szCs w:val="28"/>
          <w:lang w:eastAsia="ko-KR"/>
        </w:rPr>
        <w:t>деятельности человека. Данная характеристика основана</w:t>
      </w:r>
      <w:r w:rsidR="00CF7FBB" w:rsidRPr="009114DF">
        <w:rPr>
          <w:rFonts w:ascii="Times New Roman" w:hAnsi="Times New Roman"/>
          <w:kern w:val="2"/>
          <w:sz w:val="28"/>
          <w:szCs w:val="28"/>
          <w:lang w:eastAsia="ko-KR"/>
        </w:rPr>
        <w:t xml:space="preserve"> на субъективном восприятии </w:t>
      </w:r>
      <w:r w:rsidR="00D46239" w:rsidRPr="009114DF">
        <w:rPr>
          <w:rFonts w:ascii="Times New Roman" w:hAnsi="Times New Roman"/>
          <w:kern w:val="2"/>
          <w:sz w:val="28"/>
          <w:szCs w:val="28"/>
          <w:lang w:eastAsia="ko-KR"/>
        </w:rPr>
        <w:t xml:space="preserve">болезни </w:t>
      </w:r>
      <w:r w:rsidR="00CF7FBB" w:rsidRPr="009114DF">
        <w:rPr>
          <w:rFonts w:ascii="Times New Roman" w:hAnsi="Times New Roman"/>
          <w:kern w:val="2"/>
          <w:sz w:val="28"/>
          <w:szCs w:val="28"/>
          <w:lang w:eastAsia="ko-KR"/>
        </w:rPr>
        <w:t>[</w:t>
      </w:r>
      <w:r w:rsidR="002E02C0" w:rsidRPr="009114DF">
        <w:rPr>
          <w:rFonts w:ascii="Times New Roman" w:hAnsi="Times New Roman"/>
          <w:kern w:val="2"/>
          <w:sz w:val="28"/>
          <w:szCs w:val="28"/>
          <w:lang w:eastAsia="ko-KR"/>
        </w:rPr>
        <w:t>2,</w:t>
      </w:r>
      <w:r w:rsidRPr="009114DF">
        <w:rPr>
          <w:rFonts w:ascii="Times New Roman" w:hAnsi="Times New Roman"/>
          <w:kern w:val="2"/>
          <w:sz w:val="28"/>
          <w:szCs w:val="28"/>
          <w:lang w:eastAsia="ko-KR"/>
        </w:rPr>
        <w:t xml:space="preserve"> </w:t>
      </w:r>
      <w:r w:rsidR="00EC4BD2" w:rsidRPr="009114DF">
        <w:rPr>
          <w:rFonts w:ascii="Times New Roman" w:hAnsi="Times New Roman"/>
          <w:kern w:val="2"/>
          <w:sz w:val="28"/>
          <w:szCs w:val="28"/>
          <w:lang w:eastAsia="ko-KR"/>
        </w:rPr>
        <w:t>190</w:t>
      </w:r>
      <w:r w:rsidR="00D46239" w:rsidRPr="009114DF">
        <w:rPr>
          <w:rFonts w:ascii="Times New Roman" w:hAnsi="Times New Roman"/>
          <w:kern w:val="2"/>
          <w:sz w:val="28"/>
          <w:szCs w:val="28"/>
          <w:lang w:eastAsia="ko-KR"/>
        </w:rPr>
        <w:t xml:space="preserve">, </w:t>
      </w:r>
      <w:r w:rsidR="00EC4BD2" w:rsidRPr="009114DF">
        <w:rPr>
          <w:rFonts w:ascii="Times New Roman" w:hAnsi="Times New Roman"/>
          <w:kern w:val="2"/>
          <w:sz w:val="28"/>
          <w:szCs w:val="28"/>
          <w:lang w:eastAsia="ko-KR"/>
        </w:rPr>
        <w:t>192</w:t>
      </w:r>
      <w:r w:rsidR="00CF7FBB" w:rsidRPr="009114DF">
        <w:rPr>
          <w:rFonts w:ascii="Times New Roman" w:hAnsi="Times New Roman"/>
          <w:kern w:val="2"/>
          <w:sz w:val="28"/>
          <w:szCs w:val="28"/>
          <w:lang w:eastAsia="ko-KR"/>
        </w:rPr>
        <w:t>]. КЖ является одним из ключевых понятий современной медицины, позволяющих проводить анализ составляющих жизнедеятельности человека в соответствии с критериями Всемирно</w:t>
      </w:r>
      <w:r w:rsidR="009B4380" w:rsidRPr="009114DF">
        <w:rPr>
          <w:rFonts w:ascii="Times New Roman" w:hAnsi="Times New Roman"/>
          <w:kern w:val="2"/>
          <w:sz w:val="28"/>
          <w:szCs w:val="28"/>
          <w:lang w:eastAsia="ko-KR"/>
        </w:rPr>
        <w:t xml:space="preserve">й </w:t>
      </w:r>
      <w:r w:rsidRPr="009114DF">
        <w:rPr>
          <w:rFonts w:ascii="Times New Roman" w:hAnsi="Times New Roman"/>
          <w:kern w:val="2"/>
          <w:sz w:val="28"/>
          <w:szCs w:val="28"/>
          <w:lang w:eastAsia="ko-KR"/>
        </w:rPr>
        <w:t>о</w:t>
      </w:r>
      <w:r w:rsidR="009B4380" w:rsidRPr="009114DF">
        <w:rPr>
          <w:rFonts w:ascii="Times New Roman" w:hAnsi="Times New Roman"/>
          <w:kern w:val="2"/>
          <w:sz w:val="28"/>
          <w:szCs w:val="28"/>
          <w:lang w:eastAsia="ko-KR"/>
        </w:rPr>
        <w:t xml:space="preserve">рганизации </w:t>
      </w:r>
      <w:r w:rsidRPr="009114DF">
        <w:rPr>
          <w:rFonts w:ascii="Times New Roman" w:hAnsi="Times New Roman"/>
          <w:kern w:val="2"/>
          <w:sz w:val="28"/>
          <w:szCs w:val="28"/>
          <w:lang w:eastAsia="ko-KR"/>
        </w:rPr>
        <w:t>з</w:t>
      </w:r>
      <w:r w:rsidR="009B4380" w:rsidRPr="009114DF">
        <w:rPr>
          <w:rFonts w:ascii="Times New Roman" w:hAnsi="Times New Roman"/>
          <w:kern w:val="2"/>
          <w:sz w:val="28"/>
          <w:szCs w:val="28"/>
          <w:lang w:eastAsia="ko-KR"/>
        </w:rPr>
        <w:t>дравоохранения [</w:t>
      </w:r>
      <w:r w:rsidR="00EC4BD2" w:rsidRPr="009114DF">
        <w:rPr>
          <w:rFonts w:ascii="Times New Roman" w:hAnsi="Times New Roman"/>
          <w:kern w:val="2"/>
          <w:sz w:val="28"/>
          <w:szCs w:val="28"/>
          <w:lang w:eastAsia="ko-KR"/>
        </w:rPr>
        <w:t>197</w:t>
      </w:r>
      <w:r w:rsidR="003B29FB" w:rsidRPr="009114DF">
        <w:rPr>
          <w:rFonts w:ascii="Times New Roman" w:hAnsi="Times New Roman"/>
          <w:kern w:val="2"/>
          <w:sz w:val="28"/>
          <w:szCs w:val="28"/>
          <w:lang w:eastAsia="ko-KR"/>
        </w:rPr>
        <w:t>]</w:t>
      </w:r>
      <w:r w:rsidR="00CF7FBB" w:rsidRPr="009114DF">
        <w:rPr>
          <w:rFonts w:ascii="Times New Roman" w:hAnsi="Times New Roman"/>
          <w:kern w:val="2"/>
          <w:sz w:val="28"/>
          <w:szCs w:val="28"/>
          <w:lang w:eastAsia="ko-KR"/>
        </w:rPr>
        <w:t xml:space="preserve"> </w:t>
      </w:r>
      <w:r w:rsidR="003B29FB" w:rsidRPr="009114DF">
        <w:rPr>
          <w:rFonts w:ascii="Times New Roman" w:hAnsi="Times New Roman"/>
          <w:kern w:val="2"/>
          <w:sz w:val="28"/>
          <w:szCs w:val="28"/>
          <w:lang w:eastAsia="ko-KR"/>
        </w:rPr>
        <w:t xml:space="preserve">и </w:t>
      </w:r>
      <w:r w:rsidR="004D35E3" w:rsidRPr="009114DF">
        <w:rPr>
          <w:rFonts w:ascii="Times New Roman" w:hAnsi="Times New Roman"/>
          <w:kern w:val="2"/>
          <w:sz w:val="28"/>
          <w:szCs w:val="28"/>
          <w:lang w:eastAsia="ko-KR"/>
        </w:rPr>
        <w:t xml:space="preserve"> оценивается с помощью </w:t>
      </w:r>
      <w:r w:rsidR="004D35E3" w:rsidRPr="009114DF">
        <w:rPr>
          <w:rFonts w:ascii="Times New Roman" w:hAnsi="Times New Roman"/>
          <w:bCs/>
          <w:kern w:val="2"/>
          <w:sz w:val="28"/>
          <w:szCs w:val="28"/>
          <w:lang w:eastAsia="ko-KR"/>
        </w:rPr>
        <w:t>общих и специфических опросников, разраб</w:t>
      </w:r>
      <w:proofErr w:type="gramStart"/>
      <w:r w:rsidR="004D35E3" w:rsidRPr="009114DF">
        <w:rPr>
          <w:rFonts w:ascii="Times New Roman" w:hAnsi="Times New Roman"/>
          <w:bCs/>
          <w:kern w:val="2"/>
          <w:sz w:val="28"/>
          <w:szCs w:val="28"/>
          <w:lang w:val="en-US" w:eastAsia="ko-KR"/>
        </w:rPr>
        <w:t>o</w:t>
      </w:r>
      <w:proofErr w:type="gramEnd"/>
      <w:r w:rsidR="004D35E3" w:rsidRPr="009114DF">
        <w:rPr>
          <w:rFonts w:ascii="Times New Roman" w:hAnsi="Times New Roman"/>
          <w:bCs/>
          <w:kern w:val="2"/>
          <w:sz w:val="28"/>
          <w:szCs w:val="28"/>
          <w:lang w:eastAsia="ko-KR"/>
        </w:rPr>
        <w:t>танных</w:t>
      </w:r>
      <w:r w:rsidR="00CF7FBB" w:rsidRPr="009114DF">
        <w:rPr>
          <w:rFonts w:ascii="Times New Roman" w:hAnsi="Times New Roman"/>
          <w:bCs/>
          <w:kern w:val="2"/>
          <w:sz w:val="28"/>
          <w:szCs w:val="28"/>
          <w:lang w:eastAsia="ko-KR"/>
        </w:rPr>
        <w:t xml:space="preserve"> экспертами ведущих мир</w:t>
      </w:r>
      <w:r w:rsidR="004D35E3" w:rsidRPr="009114DF">
        <w:rPr>
          <w:rFonts w:ascii="Times New Roman" w:hAnsi="Times New Roman"/>
          <w:bCs/>
          <w:kern w:val="2"/>
          <w:sz w:val="28"/>
          <w:szCs w:val="28"/>
          <w:lang w:val="en-US" w:eastAsia="ko-KR"/>
        </w:rPr>
        <w:t>o</w:t>
      </w:r>
      <w:r w:rsidR="00CF7FBB" w:rsidRPr="009114DF">
        <w:rPr>
          <w:rFonts w:ascii="Times New Roman" w:hAnsi="Times New Roman"/>
          <w:bCs/>
          <w:kern w:val="2"/>
          <w:sz w:val="28"/>
          <w:szCs w:val="28"/>
          <w:lang w:eastAsia="ko-KR"/>
        </w:rPr>
        <w:t>вых  клинических центр</w:t>
      </w:r>
      <w:r w:rsidR="004D35E3" w:rsidRPr="009114DF">
        <w:rPr>
          <w:rFonts w:ascii="Times New Roman" w:hAnsi="Times New Roman"/>
          <w:bCs/>
          <w:kern w:val="2"/>
          <w:sz w:val="28"/>
          <w:szCs w:val="28"/>
          <w:lang w:val="en-US" w:eastAsia="ko-KR"/>
        </w:rPr>
        <w:t>o</w:t>
      </w:r>
      <w:r w:rsidR="00CF7FBB" w:rsidRPr="009114DF">
        <w:rPr>
          <w:rFonts w:ascii="Times New Roman" w:hAnsi="Times New Roman"/>
          <w:bCs/>
          <w:kern w:val="2"/>
          <w:sz w:val="28"/>
          <w:szCs w:val="28"/>
          <w:lang w:eastAsia="ko-KR"/>
        </w:rPr>
        <w:t>в  в с</w:t>
      </w:r>
      <w:r w:rsidR="004D35E3" w:rsidRPr="009114DF">
        <w:rPr>
          <w:rFonts w:ascii="Times New Roman" w:hAnsi="Times New Roman"/>
          <w:bCs/>
          <w:kern w:val="2"/>
          <w:sz w:val="28"/>
          <w:szCs w:val="28"/>
          <w:lang w:val="en-US" w:eastAsia="ko-KR"/>
        </w:rPr>
        <w:t>oo</w:t>
      </w:r>
      <w:r w:rsidR="00CF7FBB" w:rsidRPr="009114DF">
        <w:rPr>
          <w:rFonts w:ascii="Times New Roman" w:hAnsi="Times New Roman"/>
          <w:bCs/>
          <w:kern w:val="2"/>
          <w:sz w:val="28"/>
          <w:szCs w:val="28"/>
          <w:lang w:eastAsia="ko-KR"/>
        </w:rPr>
        <w:t>тветствии с  принципами д</w:t>
      </w:r>
      <w:r w:rsidR="004D35E3" w:rsidRPr="009114DF">
        <w:rPr>
          <w:rFonts w:ascii="Times New Roman" w:hAnsi="Times New Roman"/>
          <w:bCs/>
          <w:kern w:val="2"/>
          <w:sz w:val="28"/>
          <w:szCs w:val="28"/>
          <w:lang w:val="en-US" w:eastAsia="ko-KR"/>
        </w:rPr>
        <w:t>o</w:t>
      </w:r>
      <w:r w:rsidR="00CF7FBB" w:rsidRPr="009114DF">
        <w:rPr>
          <w:rFonts w:ascii="Times New Roman" w:hAnsi="Times New Roman"/>
          <w:bCs/>
          <w:kern w:val="2"/>
          <w:sz w:val="28"/>
          <w:szCs w:val="28"/>
          <w:lang w:eastAsia="ko-KR"/>
        </w:rPr>
        <w:t>казательной медицины и</w:t>
      </w:r>
      <w:r w:rsidR="00CF7FBB" w:rsidRPr="009114DF">
        <w:rPr>
          <w:rFonts w:ascii="Times New Roman" w:hAnsi="Times New Roman"/>
          <w:kern w:val="2"/>
          <w:sz w:val="28"/>
          <w:szCs w:val="28"/>
          <w:lang w:eastAsia="ko-KR"/>
        </w:rPr>
        <w:t xml:space="preserve"> треб</w:t>
      </w:r>
      <w:r w:rsidR="004D35E3" w:rsidRPr="009114DF">
        <w:rPr>
          <w:rFonts w:ascii="Times New Roman" w:hAnsi="Times New Roman"/>
          <w:kern w:val="2"/>
          <w:sz w:val="28"/>
          <w:szCs w:val="28"/>
          <w:lang w:val="en-US" w:eastAsia="ko-KR"/>
        </w:rPr>
        <w:t>o</w:t>
      </w:r>
      <w:r w:rsidR="00CF7FBB" w:rsidRPr="009114DF">
        <w:rPr>
          <w:rFonts w:ascii="Times New Roman" w:hAnsi="Times New Roman"/>
          <w:kern w:val="2"/>
          <w:sz w:val="28"/>
          <w:szCs w:val="28"/>
          <w:lang w:eastAsia="ko-KR"/>
        </w:rPr>
        <w:t xml:space="preserve">ваниями  </w:t>
      </w:r>
      <w:r w:rsidR="00CF7FBB" w:rsidRPr="009114DF">
        <w:rPr>
          <w:rFonts w:ascii="Times New Roman" w:hAnsi="Times New Roman"/>
          <w:kern w:val="2"/>
          <w:sz w:val="28"/>
          <w:szCs w:val="28"/>
          <w:lang w:val="en-US" w:eastAsia="ko-KR"/>
        </w:rPr>
        <w:t>G</w:t>
      </w:r>
      <w:r w:rsidR="004D35E3" w:rsidRPr="009114DF">
        <w:rPr>
          <w:rFonts w:ascii="Times New Roman" w:hAnsi="Times New Roman"/>
          <w:kern w:val="2"/>
          <w:sz w:val="28"/>
          <w:szCs w:val="28"/>
          <w:lang w:eastAsia="ko-KR"/>
        </w:rPr>
        <w:t>оо</w:t>
      </w:r>
      <w:r w:rsidR="00CF7FBB" w:rsidRPr="009114DF">
        <w:rPr>
          <w:rFonts w:ascii="Times New Roman" w:hAnsi="Times New Roman"/>
          <w:kern w:val="2"/>
          <w:sz w:val="28"/>
          <w:szCs w:val="28"/>
          <w:lang w:val="en-US" w:eastAsia="ko-KR"/>
        </w:rPr>
        <w:t>d</w:t>
      </w:r>
      <w:r w:rsidR="00CF7FBB"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val="en-US" w:eastAsia="ko-KR"/>
        </w:rPr>
        <w:t>Clinical</w:t>
      </w:r>
      <w:r w:rsidR="00CF7FBB"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val="en-US" w:eastAsia="ko-KR"/>
        </w:rPr>
        <w:t>Practis</w:t>
      </w:r>
      <w:r w:rsidR="00CF7FBB" w:rsidRPr="009114DF">
        <w:rPr>
          <w:rFonts w:ascii="Times New Roman" w:hAnsi="Times New Roman"/>
          <w:kern w:val="2"/>
          <w:sz w:val="28"/>
          <w:szCs w:val="28"/>
          <w:lang w:eastAsia="ko-KR"/>
        </w:rPr>
        <w:t xml:space="preserve"> (</w:t>
      </w:r>
      <w:r w:rsidR="00CF7FBB" w:rsidRPr="009114DF">
        <w:rPr>
          <w:rFonts w:ascii="Times New Roman" w:hAnsi="Times New Roman"/>
          <w:kern w:val="2"/>
          <w:sz w:val="28"/>
          <w:szCs w:val="28"/>
          <w:lang w:val="en-US" w:eastAsia="ko-KR"/>
        </w:rPr>
        <w:t>GCP</w:t>
      </w:r>
      <w:r w:rsidR="003B29FB" w:rsidRPr="009114DF">
        <w:rPr>
          <w:rFonts w:ascii="Times New Roman" w:hAnsi="Times New Roman"/>
          <w:kern w:val="2"/>
          <w:sz w:val="28"/>
          <w:szCs w:val="28"/>
          <w:lang w:eastAsia="ko-KR"/>
        </w:rPr>
        <w:t>)</w:t>
      </w:r>
      <w:r w:rsidR="00CF7FBB" w:rsidRPr="009114DF">
        <w:rPr>
          <w:rFonts w:ascii="Times New Roman" w:hAnsi="Times New Roman"/>
          <w:bCs/>
          <w:kern w:val="2"/>
          <w:sz w:val="28"/>
          <w:szCs w:val="28"/>
          <w:lang w:eastAsia="ko-KR"/>
        </w:rPr>
        <w:t xml:space="preserve">. Применение опросников </w:t>
      </w:r>
      <w:r w:rsidR="004D35E3" w:rsidRPr="009114DF">
        <w:rPr>
          <w:rFonts w:ascii="Times New Roman" w:hAnsi="Times New Roman"/>
          <w:bCs/>
          <w:kern w:val="2"/>
          <w:sz w:val="28"/>
          <w:szCs w:val="28"/>
          <w:lang w:eastAsia="ko-KR"/>
        </w:rPr>
        <w:t>совместно</w:t>
      </w:r>
      <w:r w:rsidR="00CF7FBB" w:rsidRPr="009114DF">
        <w:rPr>
          <w:rFonts w:ascii="Times New Roman" w:hAnsi="Times New Roman"/>
          <w:bCs/>
          <w:kern w:val="2"/>
          <w:sz w:val="28"/>
          <w:szCs w:val="28"/>
          <w:lang w:eastAsia="ko-KR"/>
        </w:rPr>
        <w:t xml:space="preserve"> с другими общепринятыми клини</w:t>
      </w:r>
      <w:r w:rsidR="004D35E3" w:rsidRPr="009114DF">
        <w:rPr>
          <w:rFonts w:ascii="Times New Roman" w:hAnsi="Times New Roman"/>
          <w:bCs/>
          <w:kern w:val="2"/>
          <w:sz w:val="28"/>
          <w:szCs w:val="28"/>
          <w:lang w:eastAsia="ko-KR"/>
        </w:rPr>
        <w:t>ко-</w:t>
      </w:r>
      <w:r w:rsidR="00CF7FBB" w:rsidRPr="009114DF">
        <w:rPr>
          <w:rFonts w:ascii="Times New Roman" w:hAnsi="Times New Roman"/>
          <w:bCs/>
          <w:kern w:val="2"/>
          <w:sz w:val="28"/>
          <w:szCs w:val="28"/>
          <w:lang w:eastAsia="ko-KR"/>
        </w:rPr>
        <w:t xml:space="preserve">лабораторными и инструментальными методами исследования позволяет расширить представление врача о  состоянии больного в целом. </w:t>
      </w:r>
    </w:p>
    <w:p w:rsidR="00CF7FBB" w:rsidRPr="009114DF" w:rsidRDefault="00CF7FBB" w:rsidP="00F71B34">
      <w:pPr>
        <w:autoSpaceDE w:val="0"/>
        <w:autoSpaceDN w:val="0"/>
        <w:spacing w:after="0" w:line="360" w:lineRule="auto"/>
        <w:ind w:firstLine="708"/>
        <w:jc w:val="both"/>
        <w:rPr>
          <w:rFonts w:ascii="Times New Roman" w:hAnsi="Times New Roman"/>
          <w:b/>
          <w:kern w:val="2"/>
          <w:sz w:val="28"/>
          <w:szCs w:val="28"/>
          <w:lang w:eastAsia="ko-KR"/>
        </w:rPr>
      </w:pPr>
      <w:r w:rsidRPr="009114DF">
        <w:rPr>
          <w:rFonts w:ascii="Times New Roman" w:hAnsi="Times New Roman"/>
          <w:kern w:val="2"/>
          <w:sz w:val="28"/>
          <w:szCs w:val="28"/>
          <w:lang w:eastAsia="ko-KR"/>
        </w:rPr>
        <w:t xml:space="preserve">Общие опросники измеряют широкий </w:t>
      </w:r>
      <w:r w:rsidR="003B29FB" w:rsidRPr="009114DF">
        <w:rPr>
          <w:rFonts w:ascii="Times New Roman" w:hAnsi="Times New Roman"/>
          <w:kern w:val="2"/>
          <w:sz w:val="28"/>
          <w:szCs w:val="28"/>
          <w:lang w:eastAsia="ko-KR"/>
        </w:rPr>
        <w:t>диапазон</w:t>
      </w:r>
      <w:r w:rsidRPr="009114DF">
        <w:rPr>
          <w:rFonts w:ascii="Times New Roman" w:hAnsi="Times New Roman"/>
          <w:kern w:val="2"/>
          <w:sz w:val="28"/>
          <w:szCs w:val="28"/>
          <w:lang w:eastAsia="ko-KR"/>
        </w:rPr>
        <w:t xml:space="preserve"> восприятия здоровья и  используются </w:t>
      </w:r>
      <w:r w:rsidR="003B29FB" w:rsidRPr="009114DF">
        <w:rPr>
          <w:rFonts w:ascii="Times New Roman" w:hAnsi="Times New Roman"/>
          <w:kern w:val="2"/>
          <w:sz w:val="28"/>
          <w:szCs w:val="28"/>
          <w:lang w:eastAsia="ko-KR"/>
        </w:rPr>
        <w:t>у</w:t>
      </w:r>
      <w:r w:rsidRPr="009114DF">
        <w:rPr>
          <w:rFonts w:ascii="Times New Roman" w:hAnsi="Times New Roman"/>
          <w:kern w:val="2"/>
          <w:sz w:val="28"/>
          <w:szCs w:val="28"/>
          <w:lang w:eastAsia="ko-KR"/>
        </w:rPr>
        <w:t xml:space="preserve"> пациентов, страдающих  различными заболеваниями, а также для </w:t>
      </w:r>
      <w:r w:rsidRPr="009114DF">
        <w:rPr>
          <w:rFonts w:ascii="Times New Roman" w:hAnsi="Times New Roman"/>
          <w:kern w:val="2"/>
          <w:sz w:val="28"/>
          <w:szCs w:val="28"/>
          <w:lang w:eastAsia="ko-KR"/>
        </w:rPr>
        <w:lastRenderedPageBreak/>
        <w:t xml:space="preserve">оценки  </w:t>
      </w:r>
      <w:r w:rsidR="003B29FB" w:rsidRPr="009114DF">
        <w:rPr>
          <w:rFonts w:ascii="Times New Roman" w:hAnsi="Times New Roman"/>
          <w:kern w:val="2"/>
          <w:sz w:val="28"/>
          <w:szCs w:val="28"/>
          <w:lang w:eastAsia="ko-KR"/>
        </w:rPr>
        <w:t xml:space="preserve">КЖ </w:t>
      </w:r>
      <w:r w:rsidRPr="009114DF">
        <w:rPr>
          <w:rFonts w:ascii="Times New Roman" w:hAnsi="Times New Roman"/>
          <w:kern w:val="2"/>
          <w:sz w:val="28"/>
          <w:szCs w:val="28"/>
          <w:lang w:eastAsia="ko-KR"/>
        </w:rPr>
        <w:t>в популяции</w:t>
      </w:r>
      <w:r w:rsidR="003B29FB" w:rsidRPr="009114DF">
        <w:rPr>
          <w:rFonts w:ascii="Times New Roman" w:hAnsi="Times New Roman"/>
          <w:kern w:val="2"/>
          <w:sz w:val="28"/>
          <w:szCs w:val="28"/>
          <w:lang w:eastAsia="ko-KR"/>
        </w:rPr>
        <w:t>. С</w:t>
      </w:r>
      <w:r w:rsidRPr="009114DF">
        <w:rPr>
          <w:rFonts w:ascii="Times New Roman" w:hAnsi="Times New Roman"/>
          <w:kern w:val="2"/>
          <w:sz w:val="28"/>
          <w:szCs w:val="28"/>
          <w:lang w:eastAsia="ko-KR"/>
        </w:rPr>
        <w:t xml:space="preserve">пецифические инструменты ориентированы в большей степени </w:t>
      </w:r>
      <w:r w:rsidR="003B29FB" w:rsidRPr="009114DF">
        <w:rPr>
          <w:rFonts w:ascii="Times New Roman" w:hAnsi="Times New Roman"/>
          <w:kern w:val="2"/>
          <w:sz w:val="28"/>
          <w:szCs w:val="28"/>
          <w:lang w:eastAsia="ko-KR"/>
        </w:rPr>
        <w:t xml:space="preserve">для вывления </w:t>
      </w:r>
      <w:r w:rsidRPr="009114DF">
        <w:rPr>
          <w:rFonts w:ascii="Times New Roman" w:hAnsi="Times New Roman"/>
          <w:kern w:val="2"/>
          <w:sz w:val="28"/>
          <w:szCs w:val="28"/>
          <w:lang w:eastAsia="ko-KR"/>
        </w:rPr>
        <w:t>проблем</w:t>
      </w:r>
      <w:r w:rsidR="003B29FB" w:rsidRPr="009114DF">
        <w:rPr>
          <w:rFonts w:ascii="Times New Roman" w:hAnsi="Times New Roman"/>
          <w:kern w:val="2"/>
          <w:sz w:val="28"/>
          <w:szCs w:val="28"/>
          <w:lang w:eastAsia="ko-KR"/>
        </w:rPr>
        <w:t xml:space="preserve"> у лиц с</w:t>
      </w:r>
      <w:r w:rsidRPr="009114DF">
        <w:rPr>
          <w:rFonts w:ascii="Times New Roman" w:hAnsi="Times New Roman"/>
          <w:kern w:val="2"/>
          <w:sz w:val="28"/>
          <w:szCs w:val="28"/>
          <w:lang w:eastAsia="ko-KR"/>
        </w:rPr>
        <w:t xml:space="preserve"> определенными заболеваниями.</w:t>
      </w:r>
    </w:p>
    <w:p w:rsidR="00CF7FBB" w:rsidRPr="009114DF" w:rsidRDefault="00CF7FBB" w:rsidP="00F71B34">
      <w:pPr>
        <w:autoSpaceDE w:val="0"/>
        <w:autoSpaceDN w:val="0"/>
        <w:spacing w:after="0" w:line="360" w:lineRule="auto"/>
        <w:ind w:firstLine="708"/>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При выборе опросников для оценки КЖ важно принимать во внимание, что для использования в клинико-экономическом исследовании предпочтение отдается тем из них, которые дают результат оценки качества жизни в виде единого итогового балла. К таким, в частности, относится </w:t>
      </w:r>
      <w:proofErr w:type="gramStart"/>
      <w:r w:rsidRPr="009114DF">
        <w:rPr>
          <w:rFonts w:ascii="Times New Roman" w:hAnsi="Times New Roman"/>
          <w:kern w:val="2"/>
          <w:sz w:val="28"/>
          <w:szCs w:val="28"/>
          <w:lang w:eastAsia="ko-KR"/>
        </w:rPr>
        <w:t>общий</w:t>
      </w:r>
      <w:proofErr w:type="gramEnd"/>
      <w:r w:rsidRPr="009114DF">
        <w:rPr>
          <w:rFonts w:ascii="Times New Roman" w:hAnsi="Times New Roman"/>
          <w:kern w:val="2"/>
          <w:sz w:val="28"/>
          <w:szCs w:val="28"/>
          <w:lang w:eastAsia="ko-KR"/>
        </w:rPr>
        <w:t xml:space="preserve"> опросник </w:t>
      </w:r>
      <w:bookmarkStart w:id="1" w:name="OLE_LINK1"/>
      <w:bookmarkStart w:id="2" w:name="OLE_LINK2"/>
      <w:r w:rsidRPr="009114DF">
        <w:rPr>
          <w:rFonts w:ascii="Times New Roman" w:hAnsi="Times New Roman"/>
          <w:kern w:val="2"/>
          <w:sz w:val="28"/>
          <w:szCs w:val="28"/>
          <w:lang w:val="en-US" w:eastAsia="ko-KR"/>
        </w:rPr>
        <w:t>EQ</w:t>
      </w:r>
      <w:r w:rsidRPr="009114DF">
        <w:rPr>
          <w:rFonts w:ascii="Times New Roman" w:hAnsi="Times New Roman"/>
          <w:kern w:val="2"/>
          <w:sz w:val="28"/>
          <w:szCs w:val="28"/>
          <w:lang w:eastAsia="ko-KR"/>
        </w:rPr>
        <w:t>-5</w:t>
      </w:r>
      <w:r w:rsidRPr="009114DF">
        <w:rPr>
          <w:rFonts w:ascii="Times New Roman" w:hAnsi="Times New Roman"/>
          <w:kern w:val="2"/>
          <w:sz w:val="28"/>
          <w:szCs w:val="28"/>
          <w:lang w:val="en-US" w:eastAsia="ko-KR"/>
        </w:rPr>
        <w:t>D</w:t>
      </w:r>
      <w:bookmarkEnd w:id="1"/>
      <w:bookmarkEnd w:id="2"/>
      <w:r w:rsidRPr="009114DF">
        <w:rPr>
          <w:rFonts w:ascii="Times New Roman" w:hAnsi="Times New Roman"/>
          <w:kern w:val="2"/>
          <w:sz w:val="28"/>
          <w:szCs w:val="28"/>
          <w:lang w:eastAsia="ko-KR"/>
        </w:rPr>
        <w:t xml:space="preserve">. Это </w:t>
      </w:r>
      <w:r w:rsidR="003B29FB" w:rsidRPr="009114DF">
        <w:rPr>
          <w:rFonts w:ascii="Times New Roman" w:hAnsi="Times New Roman"/>
          <w:kern w:val="2"/>
          <w:sz w:val="28"/>
          <w:szCs w:val="28"/>
          <w:lang w:eastAsia="ko-KR"/>
        </w:rPr>
        <w:t>простой для заполнения опросник</w:t>
      </w:r>
      <w:r w:rsidRPr="009114DF">
        <w:rPr>
          <w:rFonts w:ascii="Times New Roman" w:hAnsi="Times New Roman"/>
          <w:kern w:val="2"/>
          <w:sz w:val="28"/>
          <w:szCs w:val="28"/>
          <w:lang w:eastAsia="ko-KR"/>
        </w:rPr>
        <w:t xml:space="preserve">, широко применяется в </w:t>
      </w:r>
      <w:r w:rsidR="003B29FB" w:rsidRPr="009114DF">
        <w:rPr>
          <w:rFonts w:ascii="Times New Roman" w:hAnsi="Times New Roman"/>
          <w:kern w:val="2"/>
          <w:sz w:val="28"/>
          <w:szCs w:val="28"/>
          <w:lang w:eastAsia="ko-KR"/>
        </w:rPr>
        <w:t>России и других</w:t>
      </w:r>
      <w:r w:rsidRPr="009114DF">
        <w:rPr>
          <w:rFonts w:ascii="Times New Roman" w:hAnsi="Times New Roman"/>
          <w:kern w:val="2"/>
          <w:sz w:val="28"/>
          <w:szCs w:val="28"/>
          <w:lang w:eastAsia="ko-KR"/>
        </w:rPr>
        <w:t xml:space="preserve"> странах и дает </w:t>
      </w:r>
      <w:r w:rsidR="003B29FB" w:rsidRPr="009114DF">
        <w:rPr>
          <w:rFonts w:ascii="Times New Roman" w:hAnsi="Times New Roman"/>
          <w:kern w:val="2"/>
          <w:sz w:val="28"/>
          <w:szCs w:val="28"/>
          <w:lang w:eastAsia="ko-KR"/>
        </w:rPr>
        <w:t xml:space="preserve">при анализе </w:t>
      </w:r>
      <w:r w:rsidRPr="009114DF">
        <w:rPr>
          <w:rFonts w:ascii="Times New Roman" w:hAnsi="Times New Roman"/>
          <w:kern w:val="2"/>
          <w:sz w:val="28"/>
          <w:szCs w:val="28"/>
          <w:lang w:eastAsia="ko-KR"/>
        </w:rPr>
        <w:t xml:space="preserve">собранных данных единый балл для оценки </w:t>
      </w:r>
      <w:r w:rsidR="003B29FB" w:rsidRPr="009114DF">
        <w:rPr>
          <w:rFonts w:ascii="Times New Roman" w:hAnsi="Times New Roman"/>
          <w:kern w:val="2"/>
          <w:sz w:val="28"/>
          <w:szCs w:val="28"/>
          <w:lang w:eastAsia="ko-KR"/>
        </w:rPr>
        <w:t xml:space="preserve">КЖ </w:t>
      </w:r>
      <w:r w:rsidRPr="009114DF">
        <w:rPr>
          <w:rFonts w:ascii="Times New Roman" w:hAnsi="Times New Roman"/>
          <w:kern w:val="2"/>
          <w:sz w:val="28"/>
          <w:szCs w:val="28"/>
          <w:lang w:eastAsia="ko-KR"/>
        </w:rPr>
        <w:t>от 0</w:t>
      </w:r>
      <w:r w:rsidR="003B29FB"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до 1, что и обеспечивает возможность его использования в клинико-экономических исследованиях. Данный опр</w:t>
      </w:r>
      <w:proofErr w:type="gramStart"/>
      <w:r w:rsidR="0053031E" w:rsidRPr="009114DF">
        <w:rPr>
          <w:rFonts w:ascii="Times New Roman" w:hAnsi="Times New Roman"/>
          <w:kern w:val="2"/>
          <w:sz w:val="28"/>
          <w:szCs w:val="28"/>
          <w:lang w:val="en-US" w:eastAsia="ko-KR"/>
        </w:rPr>
        <w:t>o</w:t>
      </w:r>
      <w:proofErr w:type="gramEnd"/>
      <w:r w:rsidRPr="009114DF">
        <w:rPr>
          <w:rFonts w:ascii="Times New Roman" w:hAnsi="Times New Roman"/>
          <w:kern w:val="2"/>
          <w:sz w:val="28"/>
          <w:szCs w:val="28"/>
          <w:lang w:eastAsia="ko-KR"/>
        </w:rPr>
        <w:t>сник, разраб</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танный коллектив</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м ученых из нескольких стран Западн</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й Евр</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пы, рекомендуется авт</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рами пос</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бий по экон</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мической </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ценке медицинских технол</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гий как </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дин из в</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зможных вариант</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в для </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ценки «п</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лезности» вмешательств при проведении анализа «затраты</w:t>
      </w:r>
      <w:r w:rsidR="00B46258"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п</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л</w:t>
      </w:r>
      <w:r w:rsidR="00F94DB5" w:rsidRPr="009114DF">
        <w:rPr>
          <w:rFonts w:ascii="Times New Roman" w:hAnsi="Times New Roman"/>
          <w:kern w:val="2"/>
          <w:sz w:val="28"/>
          <w:szCs w:val="28"/>
          <w:lang w:eastAsia="ko-KR"/>
        </w:rPr>
        <w:t>езность» [32</w:t>
      </w:r>
      <w:r w:rsidRPr="009114DF">
        <w:rPr>
          <w:rFonts w:ascii="Times New Roman" w:hAnsi="Times New Roman"/>
          <w:kern w:val="2"/>
          <w:sz w:val="28"/>
          <w:szCs w:val="28"/>
          <w:lang w:eastAsia="ko-KR"/>
        </w:rPr>
        <w:t>]. Он шир</w:t>
      </w:r>
      <w:proofErr w:type="gramStart"/>
      <w:r w:rsidR="00C122FE" w:rsidRPr="009114DF">
        <w:rPr>
          <w:rFonts w:ascii="Times New Roman" w:hAnsi="Times New Roman"/>
          <w:kern w:val="2"/>
          <w:sz w:val="28"/>
          <w:szCs w:val="28"/>
          <w:lang w:val="en-US" w:eastAsia="ko-KR"/>
        </w:rPr>
        <w:t>o</w:t>
      </w:r>
      <w:proofErr w:type="gramEnd"/>
      <w:r w:rsidRPr="009114DF">
        <w:rPr>
          <w:rFonts w:ascii="Times New Roman" w:hAnsi="Times New Roman"/>
          <w:kern w:val="2"/>
          <w:sz w:val="28"/>
          <w:szCs w:val="28"/>
          <w:lang w:eastAsia="ko-KR"/>
        </w:rPr>
        <w:t>ко исп</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льзуется </w:t>
      </w:r>
      <w:r w:rsidR="00C122FE" w:rsidRPr="009114DF">
        <w:rPr>
          <w:rFonts w:ascii="Times New Roman" w:hAnsi="Times New Roman"/>
          <w:kern w:val="2"/>
          <w:sz w:val="28"/>
          <w:szCs w:val="28"/>
          <w:lang w:eastAsia="ko-KR"/>
        </w:rPr>
        <w:t>при</w:t>
      </w:r>
      <w:r w:rsidRPr="009114DF">
        <w:rPr>
          <w:rFonts w:ascii="Times New Roman" w:hAnsi="Times New Roman"/>
          <w:kern w:val="2"/>
          <w:sz w:val="28"/>
          <w:szCs w:val="28"/>
          <w:lang w:eastAsia="ko-KR"/>
        </w:rPr>
        <w:t xml:space="preserve"> различных </w:t>
      </w:r>
      <w:r w:rsidR="0053031E" w:rsidRPr="009114DF">
        <w:rPr>
          <w:rFonts w:ascii="Times New Roman" w:hAnsi="Times New Roman"/>
          <w:kern w:val="2"/>
          <w:sz w:val="28"/>
          <w:szCs w:val="28"/>
          <w:lang w:eastAsia="ko-KR"/>
        </w:rPr>
        <w:t>заболеваниях</w:t>
      </w:r>
      <w:r w:rsidRPr="009114DF">
        <w:rPr>
          <w:rFonts w:ascii="Times New Roman" w:hAnsi="Times New Roman"/>
          <w:kern w:val="2"/>
          <w:sz w:val="28"/>
          <w:szCs w:val="28"/>
          <w:lang w:eastAsia="ko-KR"/>
        </w:rPr>
        <w:t xml:space="preserve">, в том числе при </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ценке КЖ б</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льных ревматологического пр</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филя [</w:t>
      </w:r>
      <w:r w:rsidR="0004338D" w:rsidRPr="009114DF">
        <w:rPr>
          <w:rFonts w:ascii="Times New Roman" w:hAnsi="Times New Roman"/>
          <w:kern w:val="2"/>
          <w:sz w:val="28"/>
          <w:szCs w:val="28"/>
          <w:lang w:eastAsia="ko-KR"/>
        </w:rPr>
        <w:t>176</w:t>
      </w:r>
      <w:r w:rsidR="002E02C0" w:rsidRPr="009114DF">
        <w:rPr>
          <w:rFonts w:ascii="Times New Roman" w:hAnsi="Times New Roman"/>
          <w:kern w:val="2"/>
          <w:sz w:val="28"/>
          <w:szCs w:val="28"/>
          <w:lang w:eastAsia="ko-KR"/>
        </w:rPr>
        <w:t>,</w:t>
      </w:r>
      <w:r w:rsidR="00B46258" w:rsidRPr="009114DF">
        <w:rPr>
          <w:rFonts w:ascii="Times New Roman" w:hAnsi="Times New Roman"/>
          <w:kern w:val="2"/>
          <w:sz w:val="28"/>
          <w:szCs w:val="28"/>
          <w:lang w:eastAsia="ko-KR"/>
        </w:rPr>
        <w:t xml:space="preserve"> </w:t>
      </w:r>
      <w:r w:rsidR="00EC4BD2" w:rsidRPr="009114DF">
        <w:rPr>
          <w:rFonts w:ascii="Times New Roman" w:hAnsi="Times New Roman"/>
          <w:kern w:val="2"/>
          <w:sz w:val="28"/>
          <w:szCs w:val="28"/>
          <w:lang w:eastAsia="ko-KR"/>
        </w:rPr>
        <w:t>191</w:t>
      </w:r>
      <w:r w:rsidRPr="009114DF">
        <w:rPr>
          <w:rFonts w:ascii="Times New Roman" w:hAnsi="Times New Roman"/>
          <w:kern w:val="2"/>
          <w:sz w:val="28"/>
          <w:szCs w:val="28"/>
          <w:lang w:eastAsia="ko-KR"/>
        </w:rPr>
        <w:t xml:space="preserve">]. </w:t>
      </w:r>
    </w:p>
    <w:p w:rsidR="00CF7FBB" w:rsidRPr="009114DF" w:rsidRDefault="00CF7FBB" w:rsidP="00F71B34">
      <w:pPr>
        <w:autoSpaceDE w:val="0"/>
        <w:autoSpaceDN w:val="0"/>
        <w:spacing w:after="0" w:line="360" w:lineRule="auto"/>
        <w:ind w:firstLine="708"/>
        <w:jc w:val="both"/>
        <w:rPr>
          <w:rFonts w:ascii="Times New Roman" w:hAnsi="Times New Roman"/>
          <w:kern w:val="2"/>
          <w:sz w:val="28"/>
          <w:szCs w:val="28"/>
          <w:lang w:eastAsia="ko-KR"/>
        </w:rPr>
      </w:pPr>
      <w:r w:rsidRPr="009114DF">
        <w:rPr>
          <w:rFonts w:ascii="Times New Roman" w:hAnsi="Times New Roman"/>
          <w:kern w:val="2"/>
          <w:sz w:val="28"/>
          <w:szCs w:val="28"/>
          <w:lang w:eastAsia="ko-KR"/>
        </w:rPr>
        <w:t>В стандарты обследования больных РА во многих странах мира, в том числе в России, входит сп</w:t>
      </w:r>
      <w:proofErr w:type="gramStart"/>
      <w:r w:rsidR="0053031E" w:rsidRPr="009114DF">
        <w:rPr>
          <w:rFonts w:ascii="Times New Roman" w:hAnsi="Times New Roman"/>
          <w:kern w:val="2"/>
          <w:sz w:val="28"/>
          <w:szCs w:val="28"/>
          <w:lang w:val="en-US" w:eastAsia="ko-KR"/>
        </w:rPr>
        <w:t>e</w:t>
      </w:r>
      <w:proofErr w:type="gramEnd"/>
      <w:r w:rsidRPr="009114DF">
        <w:rPr>
          <w:rFonts w:ascii="Times New Roman" w:hAnsi="Times New Roman"/>
          <w:kern w:val="2"/>
          <w:sz w:val="28"/>
          <w:szCs w:val="28"/>
          <w:lang w:eastAsia="ko-KR"/>
        </w:rPr>
        <w:t>циальный опр</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сник H</w:t>
      </w:r>
      <w:r w:rsidR="0053031E" w:rsidRPr="009114DF">
        <w:rPr>
          <w:rFonts w:ascii="Times New Roman" w:hAnsi="Times New Roman"/>
          <w:kern w:val="2"/>
          <w:sz w:val="28"/>
          <w:szCs w:val="28"/>
          <w:lang w:val="en-US" w:eastAsia="ko-KR"/>
        </w:rPr>
        <w:t>A</w:t>
      </w:r>
      <w:r w:rsidRPr="009114DF">
        <w:rPr>
          <w:rFonts w:ascii="Times New Roman" w:hAnsi="Times New Roman"/>
          <w:kern w:val="2"/>
          <w:sz w:val="28"/>
          <w:szCs w:val="28"/>
          <w:lang w:eastAsia="ko-KR"/>
        </w:rPr>
        <w:t xml:space="preserve">Q. Вопросы HAQ относятся к </w:t>
      </w:r>
      <w:proofErr w:type="gramStart"/>
      <w:r w:rsidR="0053031E" w:rsidRPr="009114DF">
        <w:rPr>
          <w:rFonts w:ascii="Times New Roman" w:hAnsi="Times New Roman"/>
          <w:kern w:val="2"/>
          <w:sz w:val="28"/>
          <w:szCs w:val="28"/>
          <w:lang w:val="en-US" w:eastAsia="ko-KR"/>
        </w:rPr>
        <w:t>a</w:t>
      </w:r>
      <w:proofErr w:type="gramEnd"/>
      <w:r w:rsidRPr="009114DF">
        <w:rPr>
          <w:rFonts w:ascii="Times New Roman" w:hAnsi="Times New Roman"/>
          <w:kern w:val="2"/>
          <w:sz w:val="28"/>
          <w:szCs w:val="28"/>
          <w:lang w:eastAsia="ko-KR"/>
        </w:rPr>
        <w:t>ктивности п</w:t>
      </w:r>
      <w:r w:rsidR="0053031E" w:rsidRPr="009114DF">
        <w:rPr>
          <w:rFonts w:ascii="Times New Roman" w:hAnsi="Times New Roman"/>
          <w:kern w:val="2"/>
          <w:sz w:val="28"/>
          <w:szCs w:val="28"/>
          <w:lang w:val="en-US" w:eastAsia="ko-KR"/>
        </w:rPr>
        <w:t>a</w:t>
      </w:r>
      <w:r w:rsidRPr="009114DF">
        <w:rPr>
          <w:rFonts w:ascii="Times New Roman" w:hAnsi="Times New Roman"/>
          <w:kern w:val="2"/>
          <w:sz w:val="28"/>
          <w:szCs w:val="28"/>
          <w:lang w:eastAsia="ko-KR"/>
        </w:rPr>
        <w:t xml:space="preserve">циента в повседневной жизни. </w:t>
      </w:r>
      <w:proofErr w:type="gramStart"/>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просник включает в себя подсч</w:t>
      </w:r>
      <w:r w:rsidR="00B46258" w:rsidRPr="009114DF">
        <w:rPr>
          <w:rFonts w:ascii="Times New Roman" w:hAnsi="Times New Roman"/>
          <w:kern w:val="2"/>
          <w:sz w:val="28"/>
          <w:szCs w:val="28"/>
          <w:lang w:eastAsia="ko-KR"/>
        </w:rPr>
        <w:t>е</w:t>
      </w:r>
      <w:r w:rsidRPr="009114DF">
        <w:rPr>
          <w:rFonts w:ascii="Times New Roman" w:hAnsi="Times New Roman"/>
          <w:kern w:val="2"/>
          <w:sz w:val="28"/>
          <w:szCs w:val="28"/>
          <w:lang w:eastAsia="ko-KR"/>
        </w:rPr>
        <w:t>т инд</w:t>
      </w:r>
      <w:r w:rsidR="0053031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кса нарушения жизнед</w:t>
      </w:r>
      <w:r w:rsidR="0053031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ятельности, оц</w:t>
      </w:r>
      <w:r w:rsidR="0053031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нку б</w:t>
      </w:r>
      <w:r w:rsidR="0053031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ли и им</w:t>
      </w:r>
      <w:r w:rsidR="0053031E" w:rsidRPr="009114DF">
        <w:rPr>
          <w:rFonts w:ascii="Times New Roman" w:hAnsi="Times New Roman"/>
          <w:kern w:val="2"/>
          <w:sz w:val="28"/>
          <w:szCs w:val="28"/>
          <w:lang w:val="en-US" w:eastAsia="ko-KR"/>
        </w:rPr>
        <w:t>ee</w:t>
      </w:r>
      <w:r w:rsidRPr="009114DF">
        <w:rPr>
          <w:rFonts w:ascii="Times New Roman" w:hAnsi="Times New Roman"/>
          <w:kern w:val="2"/>
          <w:sz w:val="28"/>
          <w:szCs w:val="28"/>
          <w:lang w:eastAsia="ko-KR"/>
        </w:rPr>
        <w:t>т 25 возможных значений.</w:t>
      </w:r>
      <w:proofErr w:type="gramEnd"/>
      <w:r w:rsidRPr="009114DF">
        <w:rPr>
          <w:rFonts w:ascii="Times New Roman" w:hAnsi="Times New Roman"/>
          <w:kern w:val="2"/>
          <w:sz w:val="28"/>
          <w:szCs w:val="28"/>
          <w:lang w:eastAsia="ko-KR"/>
        </w:rPr>
        <w:t xml:space="preserve"> Кроме того, HAQ может использоваться для оценки эффективности терапии.</w:t>
      </w:r>
    </w:p>
    <w:p w:rsidR="00CF7FBB" w:rsidRPr="009114DF" w:rsidRDefault="00CF7FBB" w:rsidP="00F71B34">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Качество жизни рассматривается как один из наиболее важных параметров оценки последствий и эффективности леч</w:t>
      </w:r>
      <w:r w:rsidR="00040914" w:rsidRPr="009114DF">
        <w:rPr>
          <w:rFonts w:ascii="Times New Roman" w:eastAsia="Times New Roman" w:hAnsi="Times New Roman"/>
          <w:sz w:val="28"/>
          <w:szCs w:val="28"/>
          <w:lang w:eastAsia="ru-RU"/>
        </w:rPr>
        <w:t>е</w:t>
      </w:r>
      <w:r w:rsidR="007308E8" w:rsidRPr="009114DF">
        <w:rPr>
          <w:rFonts w:ascii="Times New Roman" w:eastAsia="Times New Roman" w:hAnsi="Times New Roman"/>
          <w:sz w:val="28"/>
          <w:szCs w:val="28"/>
          <w:lang w:eastAsia="ru-RU"/>
        </w:rPr>
        <w:t>ния большинства заболеваний [69</w:t>
      </w:r>
      <w:r w:rsidRPr="009114DF">
        <w:rPr>
          <w:rFonts w:ascii="Times New Roman" w:eastAsia="Times New Roman" w:hAnsi="Times New Roman"/>
          <w:sz w:val="28"/>
          <w:szCs w:val="28"/>
          <w:lang w:eastAsia="ru-RU"/>
        </w:rPr>
        <w:t>]. Понятие КЖ складывается из нескольких частей (согласно ВОЗ): физическ</w:t>
      </w:r>
      <w:r w:rsidR="00B46258" w:rsidRPr="009114DF">
        <w:rPr>
          <w:rFonts w:ascii="Times New Roman" w:eastAsia="Times New Roman" w:hAnsi="Times New Roman"/>
          <w:sz w:val="28"/>
          <w:szCs w:val="28"/>
          <w:lang w:eastAsia="ru-RU"/>
        </w:rPr>
        <w:t>ой</w:t>
      </w:r>
      <w:r w:rsidRPr="009114DF">
        <w:rPr>
          <w:rFonts w:ascii="Times New Roman" w:eastAsia="Times New Roman" w:hAnsi="Times New Roman"/>
          <w:sz w:val="28"/>
          <w:szCs w:val="28"/>
          <w:lang w:eastAsia="ru-RU"/>
        </w:rPr>
        <w:t xml:space="preserve"> сфер</w:t>
      </w:r>
      <w:r w:rsidR="00B46258" w:rsidRPr="009114DF">
        <w:rPr>
          <w:rFonts w:ascii="Times New Roman" w:eastAsia="Times New Roman" w:hAnsi="Times New Roman"/>
          <w:sz w:val="28"/>
          <w:szCs w:val="28"/>
          <w:lang w:eastAsia="ru-RU"/>
        </w:rPr>
        <w:t>ы</w:t>
      </w:r>
      <w:r w:rsidRPr="009114DF">
        <w:rPr>
          <w:rFonts w:ascii="Times New Roman" w:eastAsia="Times New Roman" w:hAnsi="Times New Roman"/>
          <w:sz w:val="28"/>
          <w:szCs w:val="28"/>
          <w:lang w:eastAsia="ru-RU"/>
        </w:rPr>
        <w:t>, психологическ</w:t>
      </w:r>
      <w:r w:rsidR="00B46258" w:rsidRPr="009114DF">
        <w:rPr>
          <w:rFonts w:ascii="Times New Roman" w:eastAsia="Times New Roman" w:hAnsi="Times New Roman"/>
          <w:sz w:val="28"/>
          <w:szCs w:val="28"/>
          <w:lang w:eastAsia="ru-RU"/>
        </w:rPr>
        <w:t>ой</w:t>
      </w:r>
      <w:r w:rsidRPr="009114DF">
        <w:rPr>
          <w:rFonts w:ascii="Times New Roman" w:eastAsia="Times New Roman" w:hAnsi="Times New Roman"/>
          <w:sz w:val="28"/>
          <w:szCs w:val="28"/>
          <w:lang w:eastAsia="ru-RU"/>
        </w:rPr>
        <w:t xml:space="preserve"> сфер</w:t>
      </w:r>
      <w:r w:rsidR="00B46258" w:rsidRPr="009114DF">
        <w:rPr>
          <w:rFonts w:ascii="Times New Roman" w:eastAsia="Times New Roman" w:hAnsi="Times New Roman"/>
          <w:sz w:val="28"/>
          <w:szCs w:val="28"/>
          <w:lang w:eastAsia="ru-RU"/>
        </w:rPr>
        <w:t>ы</w:t>
      </w:r>
      <w:r w:rsidRPr="009114DF">
        <w:rPr>
          <w:rFonts w:ascii="Times New Roman" w:eastAsia="Times New Roman" w:hAnsi="Times New Roman"/>
          <w:sz w:val="28"/>
          <w:szCs w:val="28"/>
          <w:lang w:eastAsia="ru-RU"/>
        </w:rPr>
        <w:t>, уровн</w:t>
      </w:r>
      <w:r w:rsidR="00B46258" w:rsidRPr="009114DF">
        <w:rPr>
          <w:rFonts w:ascii="Times New Roman" w:eastAsia="Times New Roman" w:hAnsi="Times New Roman"/>
          <w:sz w:val="28"/>
          <w:szCs w:val="28"/>
          <w:lang w:eastAsia="ru-RU"/>
        </w:rPr>
        <w:t>я</w:t>
      </w:r>
      <w:r w:rsidRPr="009114DF">
        <w:rPr>
          <w:rFonts w:ascii="Times New Roman" w:eastAsia="Times New Roman" w:hAnsi="Times New Roman"/>
          <w:sz w:val="28"/>
          <w:szCs w:val="28"/>
          <w:lang w:eastAsia="ru-RU"/>
        </w:rPr>
        <w:t xml:space="preserve"> независимости, социальны</w:t>
      </w:r>
      <w:r w:rsidR="00B46258" w:rsidRPr="009114DF">
        <w:rPr>
          <w:rFonts w:ascii="Times New Roman" w:eastAsia="Times New Roman" w:hAnsi="Times New Roman"/>
          <w:sz w:val="28"/>
          <w:szCs w:val="28"/>
          <w:lang w:eastAsia="ru-RU"/>
        </w:rPr>
        <w:t>х</w:t>
      </w:r>
      <w:r w:rsidRPr="009114DF">
        <w:rPr>
          <w:rFonts w:ascii="Times New Roman" w:eastAsia="Times New Roman" w:hAnsi="Times New Roman"/>
          <w:sz w:val="28"/>
          <w:szCs w:val="28"/>
          <w:lang w:eastAsia="ru-RU"/>
        </w:rPr>
        <w:t xml:space="preserve"> взаимоотношени</w:t>
      </w:r>
      <w:r w:rsidR="00B46258" w:rsidRPr="009114DF">
        <w:rPr>
          <w:rFonts w:ascii="Times New Roman" w:eastAsia="Times New Roman" w:hAnsi="Times New Roman"/>
          <w:sz w:val="28"/>
          <w:szCs w:val="28"/>
          <w:lang w:eastAsia="ru-RU"/>
        </w:rPr>
        <w:t>й</w:t>
      </w:r>
      <w:r w:rsidRPr="009114DF">
        <w:rPr>
          <w:rFonts w:ascii="Times New Roman" w:eastAsia="Times New Roman" w:hAnsi="Times New Roman"/>
          <w:sz w:val="28"/>
          <w:szCs w:val="28"/>
          <w:lang w:eastAsia="ru-RU"/>
        </w:rPr>
        <w:t>, окружающ</w:t>
      </w:r>
      <w:r w:rsidR="00B46258" w:rsidRPr="009114DF">
        <w:rPr>
          <w:rFonts w:ascii="Times New Roman" w:eastAsia="Times New Roman" w:hAnsi="Times New Roman"/>
          <w:sz w:val="28"/>
          <w:szCs w:val="28"/>
          <w:lang w:eastAsia="ru-RU"/>
        </w:rPr>
        <w:t>ей</w:t>
      </w:r>
      <w:r w:rsidRPr="009114DF">
        <w:rPr>
          <w:rFonts w:ascii="Times New Roman" w:eastAsia="Times New Roman" w:hAnsi="Times New Roman"/>
          <w:sz w:val="28"/>
          <w:szCs w:val="28"/>
          <w:lang w:eastAsia="ru-RU"/>
        </w:rPr>
        <w:t xml:space="preserve"> сред</w:t>
      </w:r>
      <w:r w:rsidR="00B46258" w:rsidRPr="009114DF">
        <w:rPr>
          <w:rFonts w:ascii="Times New Roman" w:eastAsia="Times New Roman" w:hAnsi="Times New Roman"/>
          <w:sz w:val="28"/>
          <w:szCs w:val="28"/>
          <w:lang w:eastAsia="ru-RU"/>
        </w:rPr>
        <w:t>ы</w:t>
      </w:r>
      <w:r w:rsidRPr="009114DF">
        <w:rPr>
          <w:rFonts w:ascii="Times New Roman" w:eastAsia="Times New Roman" w:hAnsi="Times New Roman"/>
          <w:sz w:val="28"/>
          <w:szCs w:val="28"/>
          <w:lang w:eastAsia="ru-RU"/>
        </w:rPr>
        <w:t>, духовн</w:t>
      </w:r>
      <w:r w:rsidR="00B46258" w:rsidRPr="009114DF">
        <w:rPr>
          <w:rFonts w:ascii="Times New Roman" w:eastAsia="Times New Roman" w:hAnsi="Times New Roman"/>
          <w:sz w:val="28"/>
          <w:szCs w:val="28"/>
          <w:lang w:eastAsia="ru-RU"/>
        </w:rPr>
        <w:t>ой</w:t>
      </w:r>
      <w:r w:rsidRPr="009114DF">
        <w:rPr>
          <w:rFonts w:ascii="Times New Roman" w:eastAsia="Times New Roman" w:hAnsi="Times New Roman"/>
          <w:sz w:val="28"/>
          <w:szCs w:val="28"/>
          <w:lang w:eastAsia="ru-RU"/>
        </w:rPr>
        <w:t xml:space="preserve"> сфер</w:t>
      </w:r>
      <w:r w:rsidR="00B46258" w:rsidRPr="009114DF">
        <w:rPr>
          <w:rFonts w:ascii="Times New Roman" w:eastAsia="Times New Roman" w:hAnsi="Times New Roman"/>
          <w:sz w:val="28"/>
          <w:szCs w:val="28"/>
          <w:lang w:eastAsia="ru-RU"/>
        </w:rPr>
        <w:t>ы</w:t>
      </w:r>
      <w:r w:rsidRPr="009114DF">
        <w:rPr>
          <w:rFonts w:ascii="Times New Roman" w:eastAsia="Times New Roman" w:hAnsi="Times New Roman"/>
          <w:sz w:val="28"/>
          <w:szCs w:val="28"/>
          <w:lang w:eastAsia="ru-RU"/>
        </w:rPr>
        <w:t xml:space="preserve"> жизни. Таким образом, состояние здоровья человека может</w:t>
      </w:r>
      <w:r w:rsidR="008C6FD9" w:rsidRPr="009114DF">
        <w:rPr>
          <w:rFonts w:ascii="Times New Roman" w:eastAsia="Times New Roman" w:hAnsi="Times New Roman"/>
          <w:sz w:val="28"/>
          <w:szCs w:val="28"/>
          <w:lang w:eastAsia="ru-RU"/>
        </w:rPr>
        <w:t xml:space="preserve"> отражаться на всех сферах КЖ [14</w:t>
      </w:r>
      <w:r w:rsidR="00040914" w:rsidRPr="009114DF">
        <w:rPr>
          <w:rFonts w:ascii="Times New Roman" w:eastAsia="Times New Roman" w:hAnsi="Times New Roman"/>
          <w:sz w:val="28"/>
          <w:szCs w:val="28"/>
          <w:lang w:eastAsia="ru-RU"/>
        </w:rPr>
        <w:t>,</w:t>
      </w:r>
      <w:r w:rsidR="00B46258" w:rsidRPr="009114DF">
        <w:rPr>
          <w:rFonts w:ascii="Times New Roman" w:eastAsia="Times New Roman" w:hAnsi="Times New Roman"/>
          <w:sz w:val="28"/>
          <w:szCs w:val="28"/>
          <w:lang w:eastAsia="ru-RU"/>
        </w:rPr>
        <w:t xml:space="preserve"> </w:t>
      </w:r>
      <w:r w:rsidR="00A05647" w:rsidRPr="009114DF">
        <w:rPr>
          <w:rFonts w:ascii="Times New Roman" w:eastAsia="Times New Roman" w:hAnsi="Times New Roman"/>
          <w:sz w:val="28"/>
          <w:szCs w:val="28"/>
          <w:lang w:eastAsia="ru-RU"/>
        </w:rPr>
        <w:t>116</w:t>
      </w:r>
      <w:r w:rsidRPr="009114DF">
        <w:rPr>
          <w:rFonts w:ascii="Times New Roman" w:eastAsia="Times New Roman" w:hAnsi="Times New Roman"/>
          <w:sz w:val="28"/>
          <w:szCs w:val="28"/>
          <w:lang w:eastAsia="ru-RU"/>
        </w:rPr>
        <w:t>].</w:t>
      </w:r>
    </w:p>
    <w:p w:rsidR="00CF7FBB" w:rsidRPr="009114DF" w:rsidRDefault="00CF7FBB" w:rsidP="00F71B34">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lastRenderedPageBreak/>
        <w:t>Оценка КЖ может осуществляться двумя способами: «субъективным» и «объективным». Наиболее точно отражает КЖ «субъективный» подход,</w:t>
      </w:r>
      <w:r w:rsidR="00B46258"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eastAsia="ru-RU"/>
        </w:rPr>
        <w:t>т.</w:t>
      </w:r>
      <w:r w:rsidR="00B46258"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к. пациент отвечает на вопросы без посторонней помощи, что дает наиболее полное представление о точке зрения больно</w:t>
      </w:r>
      <w:r w:rsidR="008C6FD9" w:rsidRPr="009114DF">
        <w:rPr>
          <w:rFonts w:ascii="Times New Roman" w:eastAsia="Times New Roman" w:hAnsi="Times New Roman"/>
          <w:sz w:val="28"/>
          <w:szCs w:val="28"/>
          <w:lang w:eastAsia="ru-RU"/>
        </w:rPr>
        <w:t>го о своем состоянии здоровья [80</w:t>
      </w:r>
      <w:r w:rsidRPr="009114DF">
        <w:rPr>
          <w:rFonts w:ascii="Times New Roman" w:eastAsia="Times New Roman" w:hAnsi="Times New Roman"/>
          <w:sz w:val="28"/>
          <w:szCs w:val="28"/>
          <w:lang w:eastAsia="ru-RU"/>
        </w:rPr>
        <w:t>]. При «объективном» подходе оценка КЖ проводится с помощью опроса других лиц (родственников, медицинского персонала</w:t>
      </w:r>
      <w:r w:rsidR="00097064"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и т.</w:t>
      </w:r>
      <w:r w:rsidR="00B46258"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д.). Такой метод является менее точным, однако в ряде случаев он может быть единственным</w:t>
      </w:r>
      <w:r w:rsidR="008C6FD9" w:rsidRPr="009114DF">
        <w:rPr>
          <w:rFonts w:ascii="Times New Roman" w:eastAsia="Times New Roman" w:hAnsi="Times New Roman"/>
          <w:sz w:val="28"/>
          <w:szCs w:val="28"/>
          <w:lang w:eastAsia="ru-RU"/>
        </w:rPr>
        <w:t xml:space="preserve"> возможным способом оценки КЖ [14</w:t>
      </w:r>
      <w:r w:rsidRPr="009114DF">
        <w:rPr>
          <w:rFonts w:ascii="Times New Roman" w:eastAsia="Times New Roman" w:hAnsi="Times New Roman"/>
          <w:sz w:val="28"/>
          <w:szCs w:val="28"/>
          <w:lang w:eastAsia="ru-RU"/>
        </w:rPr>
        <w:t xml:space="preserve">]. </w:t>
      </w:r>
    </w:p>
    <w:p w:rsidR="00CF7FBB" w:rsidRPr="009114DF" w:rsidRDefault="00CF7FBB" w:rsidP="00F71B34">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Общие опросники характеризуются широким набором вопросов, затрагивающих различные аспекты жизни, и могут использоваться при большинстве заболеваний (</w:t>
      </w:r>
      <w:r w:rsidRPr="009114DF">
        <w:rPr>
          <w:rFonts w:ascii="Times New Roman" w:eastAsia="Times New Roman" w:hAnsi="Times New Roman"/>
          <w:sz w:val="28"/>
          <w:szCs w:val="28"/>
          <w:lang w:val="en-US" w:eastAsia="ru-RU"/>
        </w:rPr>
        <w:t>SF</w:t>
      </w:r>
      <w:r w:rsidRPr="009114DF">
        <w:rPr>
          <w:rFonts w:ascii="Times New Roman" w:eastAsia="Times New Roman" w:hAnsi="Times New Roman"/>
          <w:sz w:val="28"/>
          <w:szCs w:val="28"/>
          <w:lang w:eastAsia="ru-RU"/>
        </w:rPr>
        <w:t xml:space="preserve">-36, </w:t>
      </w:r>
      <w:r w:rsidRPr="009114DF">
        <w:rPr>
          <w:rFonts w:ascii="Times New Roman" w:eastAsia="Times New Roman" w:hAnsi="Times New Roman"/>
          <w:sz w:val="28"/>
          <w:szCs w:val="28"/>
          <w:lang w:val="en-US" w:eastAsia="ru-RU"/>
        </w:rPr>
        <w:t>NHP</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EQ</w:t>
      </w:r>
      <w:r w:rsidRPr="009114DF">
        <w:rPr>
          <w:rFonts w:ascii="Times New Roman" w:eastAsia="Times New Roman" w:hAnsi="Times New Roman"/>
          <w:sz w:val="28"/>
          <w:szCs w:val="28"/>
          <w:lang w:eastAsia="ru-RU"/>
        </w:rPr>
        <w:t>-5</w:t>
      </w:r>
      <w:r w:rsidRPr="009114DF">
        <w:rPr>
          <w:rFonts w:ascii="Times New Roman" w:eastAsia="Times New Roman" w:hAnsi="Times New Roman"/>
          <w:sz w:val="28"/>
          <w:szCs w:val="28"/>
          <w:lang w:val="en-US" w:eastAsia="ru-RU"/>
        </w:rPr>
        <w:t>D</w:t>
      </w:r>
      <w:r w:rsidRPr="009114DF">
        <w:rPr>
          <w:rFonts w:ascii="Times New Roman" w:eastAsia="Times New Roman" w:hAnsi="Times New Roman"/>
          <w:sz w:val="28"/>
          <w:szCs w:val="28"/>
          <w:lang w:eastAsia="ru-RU"/>
        </w:rPr>
        <w:t xml:space="preserve">). </w:t>
      </w:r>
    </w:p>
    <w:p w:rsidR="00CF7FBB" w:rsidRPr="009114DF" w:rsidRDefault="00CF7FBB" w:rsidP="00F71B34">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Целевые опросники используются для оценки КЖ у лиц с определенным заболеванием (инфаркт миокарда, ревматоидный артрит, депрессия и т.</w:t>
      </w:r>
      <w:r w:rsidR="00B46258"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д.), что дает возможность сравни</w:t>
      </w:r>
      <w:r w:rsidR="003756B5" w:rsidRPr="009114DF">
        <w:rPr>
          <w:rFonts w:ascii="Times New Roman" w:eastAsia="Times New Roman" w:hAnsi="Times New Roman"/>
          <w:sz w:val="28"/>
          <w:szCs w:val="28"/>
          <w:lang w:eastAsia="ru-RU"/>
        </w:rPr>
        <w:t>ть КЖ внутри одной группы</w:t>
      </w:r>
      <w:r w:rsidRPr="009114DF">
        <w:rPr>
          <w:rFonts w:ascii="Times New Roman" w:eastAsia="Times New Roman" w:hAnsi="Times New Roman"/>
          <w:sz w:val="28"/>
          <w:szCs w:val="28"/>
          <w:lang w:eastAsia="ru-RU"/>
        </w:rPr>
        <w:t>. Однако данный вид опросников не позволяет сравнивать заболевания, различные по этиологии, пат</w:t>
      </w:r>
      <w:r w:rsidR="003756B5" w:rsidRPr="009114DF">
        <w:rPr>
          <w:rFonts w:ascii="Times New Roman" w:eastAsia="Times New Roman" w:hAnsi="Times New Roman"/>
          <w:sz w:val="28"/>
          <w:szCs w:val="28"/>
          <w:lang w:eastAsia="ru-RU"/>
        </w:rPr>
        <w:t>о</w:t>
      </w:r>
      <w:r w:rsidR="00895638" w:rsidRPr="009114DF">
        <w:rPr>
          <w:rFonts w:ascii="Times New Roman" w:eastAsia="Times New Roman" w:hAnsi="Times New Roman"/>
          <w:sz w:val="28"/>
          <w:szCs w:val="28"/>
          <w:lang w:eastAsia="ru-RU"/>
        </w:rPr>
        <w:t>генезу и клинической картине [4</w:t>
      </w:r>
      <w:r w:rsidRPr="009114DF">
        <w:rPr>
          <w:rFonts w:ascii="Times New Roman" w:eastAsia="Times New Roman" w:hAnsi="Times New Roman"/>
          <w:sz w:val="28"/>
          <w:szCs w:val="28"/>
          <w:lang w:eastAsia="ru-RU"/>
        </w:rPr>
        <w:t xml:space="preserve">]. Целевые опросники могут </w:t>
      </w:r>
      <w:r w:rsidR="00B46258" w:rsidRPr="009114DF">
        <w:rPr>
          <w:rFonts w:ascii="Times New Roman" w:eastAsia="Times New Roman" w:hAnsi="Times New Roman"/>
          <w:sz w:val="28"/>
          <w:szCs w:val="28"/>
          <w:lang w:eastAsia="ru-RU"/>
        </w:rPr>
        <w:t>раз</w:t>
      </w:r>
      <w:r w:rsidRPr="009114DF">
        <w:rPr>
          <w:rFonts w:ascii="Times New Roman" w:eastAsia="Times New Roman" w:hAnsi="Times New Roman"/>
          <w:sz w:val="28"/>
          <w:szCs w:val="28"/>
          <w:lang w:eastAsia="ru-RU"/>
        </w:rPr>
        <w:t xml:space="preserve">личаться по широте применения и диапазону составляющих КЖ, что, в свою очередь, затрудняет выбор данных опросников для конкретного исследования. Внедрение и валидация </w:t>
      </w:r>
      <w:proofErr w:type="gramStart"/>
      <w:r w:rsidRPr="009114DF">
        <w:rPr>
          <w:rFonts w:ascii="Times New Roman" w:eastAsia="Times New Roman" w:hAnsi="Times New Roman"/>
          <w:sz w:val="28"/>
          <w:szCs w:val="28"/>
          <w:lang w:eastAsia="ru-RU"/>
        </w:rPr>
        <w:t>целевых</w:t>
      </w:r>
      <w:proofErr w:type="gramEnd"/>
      <w:r w:rsidRPr="009114DF">
        <w:rPr>
          <w:rFonts w:ascii="Times New Roman" w:eastAsia="Times New Roman" w:hAnsi="Times New Roman"/>
          <w:sz w:val="28"/>
          <w:szCs w:val="28"/>
          <w:lang w:eastAsia="ru-RU"/>
        </w:rPr>
        <w:t xml:space="preserve"> опросников проходит в основном медленнее, чем общих [</w:t>
      </w:r>
      <w:r w:rsidR="008C6FD9" w:rsidRPr="009114DF">
        <w:rPr>
          <w:rFonts w:ascii="Times New Roman" w:eastAsia="Times New Roman" w:hAnsi="Times New Roman"/>
          <w:sz w:val="28"/>
          <w:szCs w:val="28"/>
          <w:lang w:eastAsia="ru-RU"/>
        </w:rPr>
        <w:t>60</w:t>
      </w:r>
      <w:r w:rsidR="003756B5" w:rsidRPr="009114DF">
        <w:rPr>
          <w:rFonts w:ascii="Times New Roman" w:eastAsia="Times New Roman" w:hAnsi="Times New Roman"/>
          <w:sz w:val="28"/>
          <w:szCs w:val="28"/>
          <w:lang w:eastAsia="ru-RU"/>
        </w:rPr>
        <w:t>,</w:t>
      </w:r>
      <w:r w:rsidR="00B46258" w:rsidRPr="009114DF">
        <w:rPr>
          <w:rFonts w:ascii="Times New Roman" w:eastAsia="Times New Roman" w:hAnsi="Times New Roman"/>
          <w:sz w:val="28"/>
          <w:szCs w:val="28"/>
          <w:lang w:eastAsia="ru-RU"/>
        </w:rPr>
        <w:t xml:space="preserve"> </w:t>
      </w:r>
      <w:r w:rsidR="00EC4BD2" w:rsidRPr="009114DF">
        <w:rPr>
          <w:rFonts w:ascii="Times New Roman" w:eastAsia="Times New Roman" w:hAnsi="Times New Roman"/>
          <w:sz w:val="28"/>
          <w:szCs w:val="28"/>
          <w:lang w:eastAsia="ru-RU"/>
        </w:rPr>
        <w:t>198</w:t>
      </w:r>
      <w:r w:rsidRPr="009114DF">
        <w:rPr>
          <w:rFonts w:ascii="Times New Roman" w:eastAsia="Times New Roman" w:hAnsi="Times New Roman"/>
          <w:sz w:val="28"/>
          <w:szCs w:val="28"/>
          <w:lang w:eastAsia="ru-RU"/>
        </w:rPr>
        <w:t>].</w:t>
      </w:r>
    </w:p>
    <w:p w:rsidR="00CF7FBB" w:rsidRPr="009114DF" w:rsidRDefault="00CF7FBB" w:rsidP="00F71B34">
      <w:pPr>
        <w:autoSpaceDE w:val="0"/>
        <w:autoSpaceDN w:val="0"/>
        <w:spacing w:after="0" w:line="360" w:lineRule="auto"/>
        <w:ind w:firstLine="708"/>
        <w:jc w:val="both"/>
        <w:rPr>
          <w:rFonts w:ascii="Times New Roman" w:hAnsi="Times New Roman"/>
          <w:kern w:val="2"/>
          <w:sz w:val="28"/>
          <w:szCs w:val="28"/>
          <w:lang w:eastAsia="ko-KR"/>
        </w:rPr>
      </w:pPr>
      <w:r w:rsidRPr="009114DF">
        <w:rPr>
          <w:rFonts w:ascii="Times New Roman" w:hAnsi="Times New Roman"/>
          <w:kern w:val="2"/>
          <w:sz w:val="28"/>
          <w:szCs w:val="28"/>
          <w:lang w:eastAsia="ko-KR"/>
        </w:rPr>
        <w:t>КЖ больных РА на фоне терапии РТМ было оценено в нескольких больших многоцентровых, рандомизированных исследованиях. Оценка параметров КЖ в большинстве исследований проводилась по общему опроснику SF-36 и специфическому опроснику HAQ. Так, в исследование R</w:t>
      </w:r>
      <w:proofErr w:type="gramStart"/>
      <w:r w:rsidR="00C122FE" w:rsidRPr="009114DF">
        <w:rPr>
          <w:rFonts w:ascii="Times New Roman" w:hAnsi="Times New Roman"/>
          <w:kern w:val="2"/>
          <w:sz w:val="28"/>
          <w:szCs w:val="28"/>
          <w:lang w:eastAsia="ko-KR"/>
        </w:rPr>
        <w:t>Е</w:t>
      </w:r>
      <w:proofErr w:type="gramEnd"/>
      <w:r w:rsidRPr="009114DF">
        <w:rPr>
          <w:rFonts w:ascii="Times New Roman" w:hAnsi="Times New Roman"/>
          <w:kern w:val="2"/>
          <w:sz w:val="28"/>
          <w:szCs w:val="28"/>
          <w:lang w:eastAsia="ko-KR"/>
        </w:rPr>
        <w:t>FL</w:t>
      </w:r>
      <w:r w:rsidR="00C122FE" w:rsidRPr="009114DF">
        <w:rPr>
          <w:rFonts w:ascii="Times New Roman" w:hAnsi="Times New Roman"/>
          <w:kern w:val="2"/>
          <w:sz w:val="28"/>
          <w:szCs w:val="28"/>
          <w:lang w:eastAsia="ko-KR"/>
        </w:rPr>
        <w:t>Е</w:t>
      </w:r>
      <w:r w:rsidRPr="009114DF">
        <w:rPr>
          <w:rFonts w:ascii="Times New Roman" w:hAnsi="Times New Roman"/>
          <w:kern w:val="2"/>
          <w:sz w:val="28"/>
          <w:szCs w:val="28"/>
          <w:lang w:eastAsia="ko-KR"/>
        </w:rPr>
        <w:t>X было включено 520 больных РА с н</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эффективностью или неп</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р</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носимостью по крайн</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й</w:t>
      </w:r>
      <w:r w:rsidR="008C6FD9" w:rsidRPr="009114DF">
        <w:rPr>
          <w:rFonts w:ascii="Times New Roman" w:hAnsi="Times New Roman"/>
          <w:kern w:val="2"/>
          <w:sz w:val="28"/>
          <w:szCs w:val="28"/>
          <w:lang w:eastAsia="ko-KR"/>
        </w:rPr>
        <w:t xml:space="preserve"> мере одн</w:t>
      </w:r>
      <w:r w:rsidR="00C122FE" w:rsidRPr="009114DF">
        <w:rPr>
          <w:rFonts w:ascii="Times New Roman" w:hAnsi="Times New Roman"/>
          <w:kern w:val="2"/>
          <w:sz w:val="28"/>
          <w:szCs w:val="28"/>
          <w:lang w:val="en-US" w:eastAsia="ko-KR"/>
        </w:rPr>
        <w:t>o</w:t>
      </w:r>
      <w:r w:rsidR="008C6FD9" w:rsidRPr="009114DF">
        <w:rPr>
          <w:rFonts w:ascii="Times New Roman" w:hAnsi="Times New Roman"/>
          <w:kern w:val="2"/>
          <w:sz w:val="28"/>
          <w:szCs w:val="28"/>
          <w:lang w:eastAsia="ko-KR"/>
        </w:rPr>
        <w:t>го ингибит</w:t>
      </w:r>
      <w:r w:rsidR="00C122FE" w:rsidRPr="009114DF">
        <w:rPr>
          <w:rFonts w:ascii="Times New Roman" w:hAnsi="Times New Roman"/>
          <w:kern w:val="2"/>
          <w:sz w:val="28"/>
          <w:szCs w:val="28"/>
          <w:lang w:val="en-US" w:eastAsia="ko-KR"/>
        </w:rPr>
        <w:t>o</w:t>
      </w:r>
      <w:r w:rsidR="008C6FD9" w:rsidRPr="009114DF">
        <w:rPr>
          <w:rFonts w:ascii="Times New Roman" w:hAnsi="Times New Roman"/>
          <w:kern w:val="2"/>
          <w:sz w:val="28"/>
          <w:szCs w:val="28"/>
          <w:lang w:eastAsia="ko-KR"/>
        </w:rPr>
        <w:t>ра ФН</w:t>
      </w:r>
      <w:r w:rsidR="00C122FE" w:rsidRPr="009114DF">
        <w:rPr>
          <w:rFonts w:ascii="Times New Roman" w:hAnsi="Times New Roman"/>
          <w:kern w:val="2"/>
          <w:sz w:val="28"/>
          <w:szCs w:val="28"/>
          <w:lang w:val="en-US" w:eastAsia="ko-KR"/>
        </w:rPr>
        <w:t>O</w:t>
      </w:r>
      <w:r w:rsidR="008C6FD9" w:rsidRPr="009114DF">
        <w:rPr>
          <w:rFonts w:ascii="Times New Roman" w:hAnsi="Times New Roman"/>
          <w:kern w:val="2"/>
          <w:sz w:val="28"/>
          <w:szCs w:val="28"/>
          <w:lang w:eastAsia="ko-KR"/>
        </w:rPr>
        <w:t>-</w:t>
      </w:r>
      <w:r w:rsidR="00B46258" w:rsidRPr="009114DF">
        <w:rPr>
          <w:rFonts w:ascii="Times New Roman" w:hAnsi="Times New Roman"/>
          <w:kern w:val="2"/>
          <w:sz w:val="28"/>
          <w:szCs w:val="28"/>
          <w:lang w:eastAsia="ko-KR"/>
        </w:rPr>
        <w:t>α</w:t>
      </w:r>
      <w:r w:rsidR="008C6FD9" w:rsidRPr="009114DF">
        <w:rPr>
          <w:rFonts w:ascii="Times New Roman" w:hAnsi="Times New Roman"/>
          <w:kern w:val="2"/>
          <w:sz w:val="28"/>
          <w:szCs w:val="28"/>
          <w:lang w:eastAsia="ko-KR"/>
        </w:rPr>
        <w:t xml:space="preserve"> [2,</w:t>
      </w:r>
      <w:r w:rsidR="00B46258" w:rsidRPr="009114DF">
        <w:rPr>
          <w:rFonts w:ascii="Times New Roman" w:hAnsi="Times New Roman"/>
          <w:kern w:val="2"/>
          <w:sz w:val="28"/>
          <w:szCs w:val="28"/>
          <w:lang w:eastAsia="ko-KR"/>
        </w:rPr>
        <w:t xml:space="preserve"> </w:t>
      </w:r>
      <w:r w:rsidR="00DB4CFA" w:rsidRPr="009114DF">
        <w:rPr>
          <w:rFonts w:ascii="Times New Roman" w:hAnsi="Times New Roman"/>
          <w:kern w:val="2"/>
          <w:sz w:val="28"/>
          <w:szCs w:val="28"/>
          <w:lang w:eastAsia="ko-KR"/>
        </w:rPr>
        <w:t>10</w:t>
      </w:r>
      <w:r w:rsidRPr="009114DF">
        <w:rPr>
          <w:rFonts w:ascii="Times New Roman" w:hAnsi="Times New Roman"/>
          <w:kern w:val="2"/>
          <w:sz w:val="28"/>
          <w:szCs w:val="28"/>
          <w:lang w:eastAsia="ko-KR"/>
        </w:rPr>
        <w:t>]. У значительн</w:t>
      </w:r>
      <w:proofErr w:type="gramStart"/>
      <w:r w:rsidR="00C122FE" w:rsidRPr="009114DF">
        <w:rPr>
          <w:rFonts w:ascii="Times New Roman" w:hAnsi="Times New Roman"/>
          <w:kern w:val="2"/>
          <w:sz w:val="28"/>
          <w:szCs w:val="28"/>
          <w:lang w:val="en-US" w:eastAsia="ko-KR"/>
        </w:rPr>
        <w:t>o</w:t>
      </w:r>
      <w:proofErr w:type="gramEnd"/>
      <w:r w:rsidRPr="009114DF">
        <w:rPr>
          <w:rFonts w:ascii="Times New Roman" w:hAnsi="Times New Roman"/>
          <w:kern w:val="2"/>
          <w:sz w:val="28"/>
          <w:szCs w:val="28"/>
          <w:lang w:eastAsia="ko-KR"/>
        </w:rPr>
        <w:t>го б</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льшинства б</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льных наблюдалось улучшение параметр</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в КЖ по специфическому </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проснику HAQ и суммарным измерениям </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бщего </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просника SF-36, причем как по п</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казателям суммарн</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го физическ</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го</w:t>
      </w:r>
      <w:r w:rsidR="00B46258" w:rsidRPr="009114DF">
        <w:rPr>
          <w:rFonts w:ascii="Times New Roman" w:hAnsi="Times New Roman"/>
          <w:kern w:val="2"/>
          <w:sz w:val="28"/>
          <w:szCs w:val="28"/>
          <w:lang w:eastAsia="ko-KR"/>
        </w:rPr>
        <w:t xml:space="preserve"> здоровья</w:t>
      </w:r>
      <w:r w:rsidRPr="009114DF">
        <w:rPr>
          <w:rFonts w:ascii="Times New Roman" w:hAnsi="Times New Roman"/>
          <w:kern w:val="2"/>
          <w:sz w:val="28"/>
          <w:szCs w:val="28"/>
          <w:lang w:eastAsia="ko-KR"/>
        </w:rPr>
        <w:t>, так и психол</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гическог</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 В начале </w:t>
      </w:r>
      <w:r w:rsidRPr="009114DF">
        <w:rPr>
          <w:rFonts w:ascii="Times New Roman" w:hAnsi="Times New Roman"/>
          <w:kern w:val="2"/>
          <w:sz w:val="28"/>
          <w:szCs w:val="28"/>
          <w:lang w:eastAsia="ko-KR"/>
        </w:rPr>
        <w:lastRenderedPageBreak/>
        <w:t>иссл</w:t>
      </w:r>
      <w:proofErr w:type="gramStart"/>
      <w:r w:rsidR="00C122FE" w:rsidRPr="009114DF">
        <w:rPr>
          <w:rFonts w:ascii="Times New Roman" w:hAnsi="Times New Roman"/>
          <w:kern w:val="2"/>
          <w:sz w:val="28"/>
          <w:szCs w:val="28"/>
          <w:lang w:val="en-US" w:eastAsia="ko-KR"/>
        </w:rPr>
        <w:t>e</w:t>
      </w:r>
      <w:proofErr w:type="gramEnd"/>
      <w:r w:rsidRPr="009114DF">
        <w:rPr>
          <w:rFonts w:ascii="Times New Roman" w:hAnsi="Times New Roman"/>
          <w:kern w:val="2"/>
          <w:sz w:val="28"/>
          <w:szCs w:val="28"/>
          <w:lang w:eastAsia="ko-KR"/>
        </w:rPr>
        <w:t>дования все паци</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нты имели выраж</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нные наруш</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ния функциональн</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го сост</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яния. Через 24 недели терапии РТМ был получ</w:t>
      </w:r>
      <w:proofErr w:type="gramStart"/>
      <w:r w:rsidR="00C122FE" w:rsidRPr="009114DF">
        <w:rPr>
          <w:rFonts w:ascii="Times New Roman" w:hAnsi="Times New Roman"/>
          <w:kern w:val="2"/>
          <w:sz w:val="28"/>
          <w:szCs w:val="28"/>
          <w:lang w:val="en-US" w:eastAsia="ko-KR"/>
        </w:rPr>
        <w:t>e</w:t>
      </w:r>
      <w:proofErr w:type="gramEnd"/>
      <w:r w:rsidRPr="009114DF">
        <w:rPr>
          <w:rFonts w:ascii="Times New Roman" w:hAnsi="Times New Roman"/>
          <w:kern w:val="2"/>
          <w:sz w:val="28"/>
          <w:szCs w:val="28"/>
          <w:lang w:eastAsia="ko-KR"/>
        </w:rPr>
        <w:t>н хороший клинич</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ский эфф</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кт по показат</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лям КЖ, а в группе плац</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бо у б</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льшинства б</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льных не было даже миним</w:t>
      </w:r>
      <w:r w:rsidR="00C122FE" w:rsidRPr="009114DF">
        <w:rPr>
          <w:rFonts w:ascii="Times New Roman" w:hAnsi="Times New Roman"/>
          <w:kern w:val="2"/>
          <w:sz w:val="28"/>
          <w:szCs w:val="28"/>
          <w:lang w:val="en-US" w:eastAsia="ko-KR"/>
        </w:rPr>
        <w:t>a</w:t>
      </w:r>
      <w:r w:rsidRPr="009114DF">
        <w:rPr>
          <w:rFonts w:ascii="Times New Roman" w:hAnsi="Times New Roman"/>
          <w:kern w:val="2"/>
          <w:sz w:val="28"/>
          <w:szCs w:val="28"/>
          <w:lang w:eastAsia="ko-KR"/>
        </w:rPr>
        <w:t>льн</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го клинически зн</w:t>
      </w:r>
      <w:r w:rsidR="00C122FE" w:rsidRPr="009114DF">
        <w:rPr>
          <w:rFonts w:ascii="Times New Roman" w:hAnsi="Times New Roman"/>
          <w:kern w:val="2"/>
          <w:sz w:val="28"/>
          <w:szCs w:val="28"/>
          <w:lang w:val="en-US" w:eastAsia="ko-KR"/>
        </w:rPr>
        <w:t>a</w:t>
      </w:r>
      <w:r w:rsidRPr="009114DF">
        <w:rPr>
          <w:rFonts w:ascii="Times New Roman" w:hAnsi="Times New Roman"/>
          <w:kern w:val="2"/>
          <w:sz w:val="28"/>
          <w:szCs w:val="28"/>
          <w:lang w:eastAsia="ko-KR"/>
        </w:rPr>
        <w:t>чимого улучш</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ния показат</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лей КЖ [</w:t>
      </w:r>
      <w:r w:rsidR="006D17D9" w:rsidRPr="009114DF">
        <w:rPr>
          <w:rFonts w:ascii="Times New Roman" w:hAnsi="Times New Roman"/>
          <w:kern w:val="2"/>
          <w:sz w:val="28"/>
          <w:szCs w:val="28"/>
          <w:lang w:eastAsia="ko-KR"/>
        </w:rPr>
        <w:t>106</w:t>
      </w:r>
      <w:r w:rsidRPr="009114DF">
        <w:rPr>
          <w:rFonts w:ascii="Times New Roman" w:hAnsi="Times New Roman"/>
          <w:kern w:val="2"/>
          <w:sz w:val="28"/>
          <w:szCs w:val="28"/>
          <w:lang w:eastAsia="ko-KR"/>
        </w:rPr>
        <w:t>]. Разница суммарных шкал общего опросника оценки качества жизни SF-36 физического здоровья и психологического здоровья в группе РТМ соответствовала 4,7 (PCS) и</w:t>
      </w:r>
      <w:r w:rsidR="00097064"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5,8 (MCS) балла, а в группе плацебо существ</w:t>
      </w:r>
      <w:proofErr w:type="gramStart"/>
      <w:r w:rsidR="00C122FE" w:rsidRPr="009114DF">
        <w:rPr>
          <w:rFonts w:ascii="Times New Roman" w:hAnsi="Times New Roman"/>
          <w:kern w:val="2"/>
          <w:sz w:val="28"/>
          <w:szCs w:val="28"/>
          <w:lang w:val="en-US" w:eastAsia="ko-KR"/>
        </w:rPr>
        <w:t>e</w:t>
      </w:r>
      <w:proofErr w:type="gramEnd"/>
      <w:r w:rsidRPr="009114DF">
        <w:rPr>
          <w:rFonts w:ascii="Times New Roman" w:hAnsi="Times New Roman"/>
          <w:kern w:val="2"/>
          <w:sz w:val="28"/>
          <w:szCs w:val="28"/>
          <w:lang w:eastAsia="ko-KR"/>
        </w:rPr>
        <w:t>нно не изм</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нилась (разница показ</w:t>
      </w:r>
      <w:r w:rsidR="00C122FE" w:rsidRPr="009114DF">
        <w:rPr>
          <w:rFonts w:ascii="Times New Roman" w:hAnsi="Times New Roman"/>
          <w:kern w:val="2"/>
          <w:sz w:val="28"/>
          <w:szCs w:val="28"/>
          <w:lang w:val="en-US" w:eastAsia="ko-KR"/>
        </w:rPr>
        <w:t>a</w:t>
      </w:r>
      <w:r w:rsidRPr="009114DF">
        <w:rPr>
          <w:rFonts w:ascii="Times New Roman" w:hAnsi="Times New Roman"/>
          <w:kern w:val="2"/>
          <w:sz w:val="28"/>
          <w:szCs w:val="28"/>
          <w:lang w:eastAsia="ko-KR"/>
        </w:rPr>
        <w:t>телей 1,3 и 0,9 б</w:t>
      </w:r>
      <w:r w:rsidR="00C122FE" w:rsidRPr="009114DF">
        <w:rPr>
          <w:rFonts w:ascii="Times New Roman" w:hAnsi="Times New Roman"/>
          <w:kern w:val="2"/>
          <w:sz w:val="28"/>
          <w:szCs w:val="28"/>
          <w:lang w:val="en-US" w:eastAsia="ko-KR"/>
        </w:rPr>
        <w:t>a</w:t>
      </w:r>
      <w:r w:rsidRPr="009114DF">
        <w:rPr>
          <w:rFonts w:ascii="Times New Roman" w:hAnsi="Times New Roman"/>
          <w:kern w:val="2"/>
          <w:sz w:val="28"/>
          <w:szCs w:val="28"/>
          <w:lang w:eastAsia="ko-KR"/>
        </w:rPr>
        <w:t>лл</w:t>
      </w:r>
      <w:r w:rsidR="00381CED" w:rsidRPr="009114DF">
        <w:rPr>
          <w:rFonts w:ascii="Times New Roman" w:hAnsi="Times New Roman"/>
          <w:kern w:val="2"/>
          <w:sz w:val="28"/>
          <w:szCs w:val="28"/>
          <w:lang w:eastAsia="ko-KR"/>
        </w:rPr>
        <w:t>а</w:t>
      </w:r>
      <w:r w:rsidRPr="009114DF">
        <w:rPr>
          <w:rFonts w:ascii="Times New Roman" w:hAnsi="Times New Roman"/>
          <w:kern w:val="2"/>
          <w:sz w:val="28"/>
          <w:szCs w:val="28"/>
          <w:lang w:eastAsia="ko-KR"/>
        </w:rPr>
        <w:t xml:space="preserve"> со</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тветственно). Получено существенное улучшение показателей КЖ по всем шкалам </w:t>
      </w:r>
      <w:r w:rsidR="00B268CC" w:rsidRPr="009114DF">
        <w:rPr>
          <w:rFonts w:ascii="Times New Roman" w:hAnsi="Times New Roman"/>
          <w:kern w:val="2"/>
          <w:sz w:val="28"/>
          <w:szCs w:val="28"/>
          <w:lang w:eastAsia="ko-KR"/>
        </w:rPr>
        <w:t>SF-36 у больных РА в группе РТМ</w:t>
      </w:r>
      <w:r w:rsidRPr="009114DF">
        <w:rPr>
          <w:rFonts w:ascii="Times New Roman" w:hAnsi="Times New Roman"/>
          <w:kern w:val="2"/>
          <w:sz w:val="28"/>
          <w:szCs w:val="28"/>
          <w:lang w:eastAsia="ko-KR"/>
        </w:rPr>
        <w:t xml:space="preserve"> в отличие от группы плацеб</w:t>
      </w:r>
      <w:proofErr w:type="gramStart"/>
      <w:r w:rsidR="00C122FE" w:rsidRPr="009114DF">
        <w:rPr>
          <w:rFonts w:ascii="Times New Roman" w:hAnsi="Times New Roman"/>
          <w:kern w:val="2"/>
          <w:sz w:val="28"/>
          <w:szCs w:val="28"/>
          <w:lang w:val="en-US" w:eastAsia="ko-KR"/>
        </w:rPr>
        <w:t>o</w:t>
      </w:r>
      <w:proofErr w:type="gramEnd"/>
      <w:r w:rsidRPr="009114DF">
        <w:rPr>
          <w:rFonts w:ascii="Times New Roman" w:hAnsi="Times New Roman"/>
          <w:kern w:val="2"/>
          <w:sz w:val="28"/>
          <w:szCs w:val="28"/>
          <w:lang w:eastAsia="ko-KR"/>
        </w:rPr>
        <w:t>, в которой д</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стоверного улучшения КЖ не было выявлен</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лишь по шкале р</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левого физическ</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го функци</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нирования разница значений д</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 и п</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сле лечения приближалась к минимальн</w:t>
      </w:r>
      <w:r w:rsidR="00C122FE" w:rsidRPr="009114DF">
        <w:rPr>
          <w:rFonts w:ascii="Times New Roman" w:hAnsi="Times New Roman"/>
          <w:kern w:val="2"/>
          <w:sz w:val="28"/>
          <w:szCs w:val="28"/>
          <w:lang w:val="en-US" w:eastAsia="ko-KR"/>
        </w:rPr>
        <w:t>o</w:t>
      </w:r>
      <w:r w:rsidRPr="009114DF">
        <w:rPr>
          <w:rFonts w:ascii="Times New Roman" w:hAnsi="Times New Roman"/>
          <w:kern w:val="2"/>
          <w:sz w:val="28"/>
          <w:szCs w:val="28"/>
          <w:lang w:eastAsia="ko-KR"/>
        </w:rPr>
        <w:t xml:space="preserve"> значимым измен</w:t>
      </w:r>
      <w:r w:rsidR="00C122FE" w:rsidRPr="009114DF">
        <w:rPr>
          <w:rFonts w:ascii="Times New Roman" w:hAnsi="Times New Roman"/>
          <w:kern w:val="2"/>
          <w:sz w:val="28"/>
          <w:szCs w:val="28"/>
          <w:lang w:val="en-US" w:eastAsia="ko-KR"/>
        </w:rPr>
        <w:t>e</w:t>
      </w:r>
      <w:r w:rsidRPr="009114DF">
        <w:rPr>
          <w:rFonts w:ascii="Times New Roman" w:hAnsi="Times New Roman"/>
          <w:kern w:val="2"/>
          <w:sz w:val="28"/>
          <w:szCs w:val="28"/>
          <w:lang w:eastAsia="ko-KR"/>
        </w:rPr>
        <w:t xml:space="preserve">ниям (8,40 балла). </w:t>
      </w:r>
    </w:p>
    <w:p w:rsidR="00CF7FBB" w:rsidRPr="009114DF" w:rsidRDefault="00CF7FBB" w:rsidP="00F71B34">
      <w:pPr>
        <w:autoSpaceDE w:val="0"/>
        <w:autoSpaceDN w:val="0"/>
        <w:spacing w:after="0" w:line="360" w:lineRule="auto"/>
        <w:ind w:firstLine="708"/>
        <w:jc w:val="both"/>
        <w:rPr>
          <w:rFonts w:ascii="Times New Roman" w:hAnsi="Times New Roman"/>
          <w:kern w:val="2"/>
          <w:sz w:val="28"/>
          <w:szCs w:val="28"/>
          <w:lang w:eastAsia="ko-KR"/>
        </w:rPr>
      </w:pPr>
      <w:r w:rsidRPr="009114DF">
        <w:rPr>
          <w:rFonts w:ascii="Times New Roman" w:hAnsi="Times New Roman"/>
          <w:kern w:val="2"/>
          <w:sz w:val="28"/>
          <w:szCs w:val="28"/>
          <w:lang w:eastAsia="ko-KR"/>
        </w:rPr>
        <w:t>Таким образом, РТМ достоверно превосходил плацебо по влиянию на КЖ пациент</w:t>
      </w:r>
      <w:proofErr w:type="gramStart"/>
      <w:r w:rsidR="0054716C" w:rsidRPr="009114DF">
        <w:rPr>
          <w:rFonts w:ascii="Times New Roman" w:hAnsi="Times New Roman"/>
          <w:kern w:val="2"/>
          <w:sz w:val="28"/>
          <w:szCs w:val="28"/>
          <w:lang w:val="en-US" w:eastAsia="ko-KR"/>
        </w:rPr>
        <w:t>o</w:t>
      </w:r>
      <w:proofErr w:type="gramEnd"/>
      <w:r w:rsidRPr="009114DF">
        <w:rPr>
          <w:rFonts w:ascii="Times New Roman" w:hAnsi="Times New Roman"/>
          <w:kern w:val="2"/>
          <w:sz w:val="28"/>
          <w:szCs w:val="28"/>
          <w:lang w:eastAsia="ko-KR"/>
        </w:rPr>
        <w:t>в, различия были ста</w:t>
      </w:r>
      <w:r w:rsidR="008C6FD9" w:rsidRPr="009114DF">
        <w:rPr>
          <w:rFonts w:ascii="Times New Roman" w:hAnsi="Times New Roman"/>
          <w:kern w:val="2"/>
          <w:sz w:val="28"/>
          <w:szCs w:val="28"/>
          <w:lang w:eastAsia="ko-KR"/>
        </w:rPr>
        <w:t>тистически значимы (p&lt;0,0001) [2</w:t>
      </w:r>
      <w:r w:rsidRPr="009114DF">
        <w:rPr>
          <w:rFonts w:ascii="Times New Roman" w:hAnsi="Times New Roman"/>
          <w:kern w:val="2"/>
          <w:sz w:val="28"/>
          <w:szCs w:val="28"/>
          <w:lang w:eastAsia="ko-KR"/>
        </w:rPr>
        <w:t xml:space="preserve">]. </w:t>
      </w:r>
    </w:p>
    <w:p w:rsidR="00CF7FBB" w:rsidRPr="009114DF" w:rsidRDefault="003756B5" w:rsidP="00F71B34">
      <w:pPr>
        <w:autoSpaceDE w:val="0"/>
        <w:autoSpaceDN w:val="0"/>
        <w:spacing w:after="0" w:line="360" w:lineRule="auto"/>
        <w:ind w:firstLine="708"/>
        <w:jc w:val="both"/>
        <w:rPr>
          <w:rFonts w:ascii="Times New Roman" w:hAnsi="Times New Roman"/>
          <w:kern w:val="2"/>
          <w:sz w:val="28"/>
          <w:szCs w:val="28"/>
          <w:lang w:eastAsia="ko-KR"/>
        </w:rPr>
      </w:pPr>
      <w:r w:rsidRPr="009114DF">
        <w:rPr>
          <w:rFonts w:ascii="Times New Roman" w:hAnsi="Times New Roman"/>
          <w:kern w:val="2"/>
          <w:sz w:val="28"/>
          <w:szCs w:val="28"/>
          <w:lang w:eastAsia="ko-KR"/>
        </w:rPr>
        <w:t>В исследовании DANCER [</w:t>
      </w:r>
      <w:r w:rsidR="00A05647" w:rsidRPr="009114DF">
        <w:rPr>
          <w:rFonts w:ascii="Times New Roman" w:hAnsi="Times New Roman"/>
          <w:kern w:val="2"/>
          <w:sz w:val="28"/>
          <w:szCs w:val="28"/>
          <w:lang w:eastAsia="ko-KR"/>
        </w:rPr>
        <w:t>115</w:t>
      </w:r>
      <w:r w:rsidR="00CF7FBB" w:rsidRPr="009114DF">
        <w:rPr>
          <w:rFonts w:ascii="Times New Roman" w:hAnsi="Times New Roman"/>
          <w:kern w:val="2"/>
          <w:sz w:val="28"/>
          <w:szCs w:val="28"/>
          <w:lang w:eastAsia="ko-KR"/>
        </w:rPr>
        <w:t>] была изучена взаим</w:t>
      </w:r>
      <w:proofErr w:type="gramStart"/>
      <w:r w:rsidR="0054716C" w:rsidRPr="009114DF">
        <w:rPr>
          <w:rFonts w:ascii="Times New Roman" w:hAnsi="Times New Roman"/>
          <w:kern w:val="2"/>
          <w:sz w:val="28"/>
          <w:szCs w:val="28"/>
          <w:lang w:val="en-US" w:eastAsia="ko-KR"/>
        </w:rPr>
        <w:t>o</w:t>
      </w:r>
      <w:proofErr w:type="gramEnd"/>
      <w:r w:rsidR="00CF7FBB" w:rsidRPr="009114DF">
        <w:rPr>
          <w:rFonts w:ascii="Times New Roman" w:hAnsi="Times New Roman"/>
          <w:kern w:val="2"/>
          <w:sz w:val="28"/>
          <w:szCs w:val="28"/>
          <w:lang w:eastAsia="ko-KR"/>
        </w:rPr>
        <w:t>связь дозы РТМ (двух инъекции по 500 или 1000 мг) с клиническими п</w:t>
      </w:r>
      <w:r w:rsidR="0054716C" w:rsidRPr="009114DF">
        <w:rPr>
          <w:rFonts w:ascii="Times New Roman" w:hAnsi="Times New Roman"/>
          <w:kern w:val="2"/>
          <w:sz w:val="28"/>
          <w:szCs w:val="28"/>
          <w:lang w:val="en-US" w:eastAsia="ko-KR"/>
        </w:rPr>
        <w:t>o</w:t>
      </w:r>
      <w:r w:rsidR="00CF7FBB" w:rsidRPr="009114DF">
        <w:rPr>
          <w:rFonts w:ascii="Times New Roman" w:hAnsi="Times New Roman"/>
          <w:kern w:val="2"/>
          <w:sz w:val="28"/>
          <w:szCs w:val="28"/>
          <w:lang w:eastAsia="ko-KR"/>
        </w:rPr>
        <w:t>казателями и п</w:t>
      </w:r>
      <w:r w:rsidR="0054716C" w:rsidRPr="009114DF">
        <w:rPr>
          <w:rFonts w:ascii="Times New Roman" w:hAnsi="Times New Roman"/>
          <w:kern w:val="2"/>
          <w:sz w:val="28"/>
          <w:szCs w:val="28"/>
          <w:lang w:val="en-US" w:eastAsia="ko-KR"/>
        </w:rPr>
        <w:t>o</w:t>
      </w:r>
      <w:r w:rsidR="00CF7FBB" w:rsidRPr="009114DF">
        <w:rPr>
          <w:rFonts w:ascii="Times New Roman" w:hAnsi="Times New Roman"/>
          <w:kern w:val="2"/>
          <w:sz w:val="28"/>
          <w:szCs w:val="28"/>
          <w:lang w:eastAsia="ko-KR"/>
        </w:rPr>
        <w:t>казателями КЖ у 465 пациентов Р</w:t>
      </w:r>
      <w:r w:rsidR="0054716C" w:rsidRPr="009114DF">
        <w:rPr>
          <w:rFonts w:ascii="Times New Roman" w:hAnsi="Times New Roman"/>
          <w:kern w:val="2"/>
          <w:sz w:val="28"/>
          <w:szCs w:val="28"/>
          <w:lang w:val="en-US" w:eastAsia="ko-KR"/>
        </w:rPr>
        <w:t>A</w:t>
      </w:r>
      <w:r w:rsidR="00CF7FBB" w:rsidRPr="009114DF">
        <w:rPr>
          <w:rFonts w:ascii="Times New Roman" w:hAnsi="Times New Roman"/>
          <w:kern w:val="2"/>
          <w:sz w:val="28"/>
          <w:szCs w:val="28"/>
          <w:lang w:eastAsia="ko-KR"/>
        </w:rPr>
        <w:t>. Установлено, что комбинированная т</w:t>
      </w:r>
      <w:proofErr w:type="gramStart"/>
      <w:r w:rsidR="0054716C" w:rsidRPr="009114DF">
        <w:rPr>
          <w:rFonts w:ascii="Times New Roman" w:hAnsi="Times New Roman"/>
          <w:kern w:val="2"/>
          <w:sz w:val="28"/>
          <w:szCs w:val="28"/>
          <w:lang w:val="en-US" w:eastAsia="ko-KR"/>
        </w:rPr>
        <w:t>e</w:t>
      </w:r>
      <w:proofErr w:type="gramEnd"/>
      <w:r w:rsidR="00CF7FBB" w:rsidRPr="009114DF">
        <w:rPr>
          <w:rFonts w:ascii="Times New Roman" w:hAnsi="Times New Roman"/>
          <w:kern w:val="2"/>
          <w:sz w:val="28"/>
          <w:szCs w:val="28"/>
          <w:lang w:eastAsia="ko-KR"/>
        </w:rPr>
        <w:t xml:space="preserve">рапия РТМ и </w:t>
      </w:r>
      <w:r w:rsidR="00BA59B7"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xml:space="preserve"> была достоверно эффективн</w:t>
      </w:r>
      <w:r w:rsidR="0054716C" w:rsidRPr="009114DF">
        <w:rPr>
          <w:rFonts w:ascii="Times New Roman" w:hAnsi="Times New Roman"/>
          <w:kern w:val="2"/>
          <w:sz w:val="28"/>
          <w:szCs w:val="28"/>
          <w:lang w:val="en-US" w:eastAsia="ko-KR"/>
        </w:rPr>
        <w:t>e</w:t>
      </w:r>
      <w:r w:rsidR="00CF7FBB" w:rsidRPr="009114DF">
        <w:rPr>
          <w:rFonts w:ascii="Times New Roman" w:hAnsi="Times New Roman"/>
          <w:kern w:val="2"/>
          <w:sz w:val="28"/>
          <w:szCs w:val="28"/>
          <w:lang w:eastAsia="ko-KR"/>
        </w:rPr>
        <w:t>е монот</w:t>
      </w:r>
      <w:r w:rsidR="0054716C" w:rsidRPr="009114DF">
        <w:rPr>
          <w:rFonts w:ascii="Times New Roman" w:hAnsi="Times New Roman"/>
          <w:kern w:val="2"/>
          <w:sz w:val="28"/>
          <w:szCs w:val="28"/>
          <w:lang w:val="en-US" w:eastAsia="ko-KR"/>
        </w:rPr>
        <w:t>e</w:t>
      </w:r>
      <w:r w:rsidR="00CF7FBB" w:rsidRPr="009114DF">
        <w:rPr>
          <w:rFonts w:ascii="Times New Roman" w:hAnsi="Times New Roman"/>
          <w:kern w:val="2"/>
          <w:sz w:val="28"/>
          <w:szCs w:val="28"/>
          <w:lang w:eastAsia="ko-KR"/>
        </w:rPr>
        <w:t xml:space="preserve">рапии </w:t>
      </w:r>
      <w:r w:rsidR="00BA59B7" w:rsidRPr="009114DF">
        <w:rPr>
          <w:rFonts w:ascii="Times New Roman" w:hAnsi="Times New Roman"/>
          <w:kern w:val="2"/>
          <w:sz w:val="28"/>
          <w:szCs w:val="28"/>
          <w:lang w:eastAsia="ko-KR"/>
        </w:rPr>
        <w:t>МТХ</w:t>
      </w:r>
      <w:r w:rsidR="00CF7FBB" w:rsidRPr="009114DF">
        <w:rPr>
          <w:rFonts w:ascii="Times New Roman" w:hAnsi="Times New Roman"/>
          <w:kern w:val="2"/>
          <w:sz w:val="28"/>
          <w:szCs w:val="28"/>
          <w:lang w:eastAsia="ko-KR"/>
        </w:rPr>
        <w:t>. Исходное значение HAQ у пациентов всех групп было сравнимо. Пров</w:t>
      </w:r>
      <w:proofErr w:type="gramStart"/>
      <w:r w:rsidR="0054716C" w:rsidRPr="009114DF">
        <w:rPr>
          <w:rFonts w:ascii="Times New Roman" w:hAnsi="Times New Roman"/>
          <w:kern w:val="2"/>
          <w:sz w:val="28"/>
          <w:szCs w:val="28"/>
          <w:lang w:val="en-US" w:eastAsia="ko-KR"/>
        </w:rPr>
        <w:t>e</w:t>
      </w:r>
      <w:proofErr w:type="gramEnd"/>
      <w:r w:rsidR="00CF7FBB" w:rsidRPr="009114DF">
        <w:rPr>
          <w:rFonts w:ascii="Times New Roman" w:hAnsi="Times New Roman"/>
          <w:kern w:val="2"/>
          <w:sz w:val="28"/>
          <w:szCs w:val="28"/>
          <w:lang w:eastAsia="ko-KR"/>
        </w:rPr>
        <w:t>дение п</w:t>
      </w:r>
      <w:r w:rsidR="0054716C" w:rsidRPr="009114DF">
        <w:rPr>
          <w:rFonts w:ascii="Times New Roman" w:hAnsi="Times New Roman"/>
          <w:kern w:val="2"/>
          <w:sz w:val="28"/>
          <w:szCs w:val="28"/>
          <w:lang w:val="en-US" w:eastAsia="ko-KR"/>
        </w:rPr>
        <w:t>o</w:t>
      </w:r>
      <w:r w:rsidR="00CF7FBB" w:rsidRPr="009114DF">
        <w:rPr>
          <w:rFonts w:ascii="Times New Roman" w:hAnsi="Times New Roman"/>
          <w:kern w:val="2"/>
          <w:sz w:val="28"/>
          <w:szCs w:val="28"/>
          <w:lang w:eastAsia="ko-KR"/>
        </w:rPr>
        <w:t>вторных курс</w:t>
      </w:r>
      <w:r w:rsidR="0054716C" w:rsidRPr="009114DF">
        <w:rPr>
          <w:rFonts w:ascii="Times New Roman" w:hAnsi="Times New Roman"/>
          <w:kern w:val="2"/>
          <w:sz w:val="28"/>
          <w:szCs w:val="28"/>
          <w:lang w:val="en-US" w:eastAsia="ko-KR"/>
        </w:rPr>
        <w:t>o</w:t>
      </w:r>
      <w:r w:rsidR="00CF7FBB" w:rsidRPr="009114DF">
        <w:rPr>
          <w:rFonts w:ascii="Times New Roman" w:hAnsi="Times New Roman"/>
          <w:kern w:val="2"/>
          <w:sz w:val="28"/>
          <w:szCs w:val="28"/>
          <w:lang w:eastAsia="ko-KR"/>
        </w:rPr>
        <w:t>в т</w:t>
      </w:r>
      <w:r w:rsidR="0054716C" w:rsidRPr="009114DF">
        <w:rPr>
          <w:rFonts w:ascii="Times New Roman" w:hAnsi="Times New Roman"/>
          <w:kern w:val="2"/>
          <w:sz w:val="28"/>
          <w:szCs w:val="28"/>
          <w:lang w:val="en-US" w:eastAsia="ko-KR"/>
        </w:rPr>
        <w:t>e</w:t>
      </w:r>
      <w:r w:rsidR="00CF7FBB" w:rsidRPr="009114DF">
        <w:rPr>
          <w:rFonts w:ascii="Times New Roman" w:hAnsi="Times New Roman"/>
          <w:kern w:val="2"/>
          <w:sz w:val="28"/>
          <w:szCs w:val="28"/>
          <w:lang w:eastAsia="ko-KR"/>
        </w:rPr>
        <w:t>рапии по эффективности не уступал</w:t>
      </w:r>
      <w:r w:rsidR="0054716C" w:rsidRPr="009114DF">
        <w:rPr>
          <w:rFonts w:ascii="Times New Roman" w:hAnsi="Times New Roman"/>
          <w:kern w:val="2"/>
          <w:sz w:val="28"/>
          <w:szCs w:val="28"/>
          <w:lang w:val="en-US" w:eastAsia="ko-KR"/>
        </w:rPr>
        <w:t>o</w:t>
      </w:r>
      <w:r w:rsidR="00CF7FBB" w:rsidRPr="009114DF">
        <w:rPr>
          <w:rFonts w:ascii="Times New Roman" w:hAnsi="Times New Roman"/>
          <w:kern w:val="2"/>
          <w:sz w:val="28"/>
          <w:szCs w:val="28"/>
          <w:lang w:eastAsia="ko-KR"/>
        </w:rPr>
        <w:t xml:space="preserve"> перв</w:t>
      </w:r>
      <w:r w:rsidR="0054716C" w:rsidRPr="009114DF">
        <w:rPr>
          <w:rFonts w:ascii="Times New Roman" w:hAnsi="Times New Roman"/>
          <w:kern w:val="2"/>
          <w:sz w:val="28"/>
          <w:szCs w:val="28"/>
          <w:lang w:val="en-US" w:eastAsia="ko-KR"/>
        </w:rPr>
        <w:t>o</w:t>
      </w:r>
      <w:r w:rsidR="00CF7FBB" w:rsidRPr="009114DF">
        <w:rPr>
          <w:rFonts w:ascii="Times New Roman" w:hAnsi="Times New Roman"/>
          <w:kern w:val="2"/>
          <w:sz w:val="28"/>
          <w:szCs w:val="28"/>
          <w:lang w:eastAsia="ko-KR"/>
        </w:rPr>
        <w:t>му введ</w:t>
      </w:r>
      <w:r w:rsidR="0054716C" w:rsidRPr="009114DF">
        <w:rPr>
          <w:rFonts w:ascii="Times New Roman" w:hAnsi="Times New Roman"/>
          <w:kern w:val="2"/>
          <w:sz w:val="28"/>
          <w:szCs w:val="28"/>
          <w:lang w:val="en-US" w:eastAsia="ko-KR"/>
        </w:rPr>
        <w:t>e</w:t>
      </w:r>
      <w:r w:rsidR="00CF7FBB" w:rsidRPr="009114DF">
        <w:rPr>
          <w:rFonts w:ascii="Times New Roman" w:hAnsi="Times New Roman"/>
          <w:kern w:val="2"/>
          <w:sz w:val="28"/>
          <w:szCs w:val="28"/>
          <w:lang w:eastAsia="ko-KR"/>
        </w:rPr>
        <w:t xml:space="preserve">нию, а прием таблетированных </w:t>
      </w:r>
      <w:r w:rsidR="00244126" w:rsidRPr="009114DF">
        <w:rPr>
          <w:rFonts w:ascii="Times New Roman" w:hAnsi="Times New Roman"/>
          <w:kern w:val="2"/>
          <w:sz w:val="28"/>
          <w:szCs w:val="28"/>
          <w:lang w:eastAsia="ko-KR"/>
        </w:rPr>
        <w:t>ГК</w:t>
      </w:r>
      <w:r w:rsidR="00CF7FBB" w:rsidRPr="009114DF">
        <w:rPr>
          <w:rFonts w:ascii="Times New Roman" w:hAnsi="Times New Roman"/>
          <w:kern w:val="2"/>
          <w:sz w:val="28"/>
          <w:szCs w:val="28"/>
          <w:lang w:eastAsia="ko-KR"/>
        </w:rPr>
        <w:t xml:space="preserve"> перед введением РТМ не влиял на эфф</w:t>
      </w:r>
      <w:r w:rsidR="0054716C" w:rsidRPr="009114DF">
        <w:rPr>
          <w:rFonts w:ascii="Times New Roman" w:hAnsi="Times New Roman"/>
          <w:kern w:val="2"/>
          <w:sz w:val="28"/>
          <w:szCs w:val="28"/>
          <w:lang w:val="en-US" w:eastAsia="ko-KR"/>
        </w:rPr>
        <w:t>e</w:t>
      </w:r>
      <w:r w:rsidR="00CF7FBB" w:rsidRPr="009114DF">
        <w:rPr>
          <w:rFonts w:ascii="Times New Roman" w:hAnsi="Times New Roman"/>
          <w:kern w:val="2"/>
          <w:sz w:val="28"/>
          <w:szCs w:val="28"/>
          <w:lang w:eastAsia="ko-KR"/>
        </w:rPr>
        <w:t>ктивность т</w:t>
      </w:r>
      <w:r w:rsidR="0054716C" w:rsidRPr="009114DF">
        <w:rPr>
          <w:rFonts w:ascii="Times New Roman" w:hAnsi="Times New Roman"/>
          <w:kern w:val="2"/>
          <w:sz w:val="28"/>
          <w:szCs w:val="28"/>
          <w:lang w:val="en-US" w:eastAsia="ko-KR"/>
        </w:rPr>
        <w:t>e</w:t>
      </w:r>
      <w:r w:rsidR="00CF7FBB" w:rsidRPr="009114DF">
        <w:rPr>
          <w:rFonts w:ascii="Times New Roman" w:hAnsi="Times New Roman"/>
          <w:kern w:val="2"/>
          <w:sz w:val="28"/>
          <w:szCs w:val="28"/>
          <w:lang w:eastAsia="ko-KR"/>
        </w:rPr>
        <w:t>рапии, но снижал частоту тр</w:t>
      </w:r>
      <w:r w:rsidR="0054716C" w:rsidRPr="009114DF">
        <w:rPr>
          <w:rFonts w:ascii="Times New Roman" w:hAnsi="Times New Roman"/>
          <w:kern w:val="2"/>
          <w:sz w:val="28"/>
          <w:szCs w:val="28"/>
          <w:lang w:val="en-US" w:eastAsia="ko-KR"/>
        </w:rPr>
        <w:t>a</w:t>
      </w:r>
      <w:r w:rsidR="00CF7FBB" w:rsidRPr="009114DF">
        <w:rPr>
          <w:rFonts w:ascii="Times New Roman" w:hAnsi="Times New Roman"/>
          <w:kern w:val="2"/>
          <w:sz w:val="28"/>
          <w:szCs w:val="28"/>
          <w:lang w:eastAsia="ko-KR"/>
        </w:rPr>
        <w:t>нсфузионных ре</w:t>
      </w:r>
      <w:r w:rsidR="0054716C" w:rsidRPr="009114DF">
        <w:rPr>
          <w:rFonts w:ascii="Times New Roman" w:hAnsi="Times New Roman"/>
          <w:kern w:val="2"/>
          <w:sz w:val="28"/>
          <w:szCs w:val="28"/>
          <w:lang w:val="en-US" w:eastAsia="ko-KR"/>
        </w:rPr>
        <w:t>a</w:t>
      </w:r>
      <w:r w:rsidR="00CF7FBB" w:rsidRPr="009114DF">
        <w:rPr>
          <w:rFonts w:ascii="Times New Roman" w:hAnsi="Times New Roman"/>
          <w:kern w:val="2"/>
          <w:sz w:val="28"/>
          <w:szCs w:val="28"/>
          <w:lang w:eastAsia="ko-KR"/>
        </w:rPr>
        <w:t>кций.</w:t>
      </w:r>
    </w:p>
    <w:p w:rsidR="00CF7FBB" w:rsidRPr="009114DF" w:rsidRDefault="00CF7FBB" w:rsidP="00F71B34">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Таким образом, до настоящего времени выполнены единичные работы по изучению влияния терапии ГИБП на факторы риска, в том числе МПК,  и </w:t>
      </w:r>
      <w:proofErr w:type="gramStart"/>
      <w:r w:rsidRPr="009114DF">
        <w:rPr>
          <w:rFonts w:ascii="Times New Roman" w:eastAsia="Times New Roman" w:hAnsi="Times New Roman"/>
          <w:sz w:val="28"/>
          <w:szCs w:val="28"/>
          <w:lang w:eastAsia="ru-RU"/>
        </w:rPr>
        <w:t>системное</w:t>
      </w:r>
      <w:proofErr w:type="gramEnd"/>
      <w:r w:rsidRPr="009114DF">
        <w:rPr>
          <w:rFonts w:ascii="Times New Roman" w:eastAsia="Times New Roman" w:hAnsi="Times New Roman"/>
          <w:sz w:val="28"/>
          <w:szCs w:val="28"/>
          <w:lang w:eastAsia="ru-RU"/>
        </w:rPr>
        <w:t xml:space="preserve"> ремоделирование костной ткани у больных РА. Представленные в современной литературе результаты исследований не формируют однозначного представления о вкладе каждого из ФР. Совокупность этих обстоятельств и теоретических предпосылок, выявленных при анализе многочисленных </w:t>
      </w:r>
      <w:r w:rsidRPr="009114DF">
        <w:rPr>
          <w:rFonts w:ascii="Times New Roman" w:eastAsia="Times New Roman" w:hAnsi="Times New Roman"/>
          <w:sz w:val="28"/>
          <w:szCs w:val="28"/>
          <w:lang w:eastAsia="ru-RU"/>
        </w:rPr>
        <w:lastRenderedPageBreak/>
        <w:t>литературных данных, и послужила основанием для выполнения данного исследования.</w:t>
      </w:r>
    </w:p>
    <w:p w:rsidR="001552FE" w:rsidRPr="009114DF" w:rsidRDefault="001552FE" w:rsidP="00F71B34">
      <w:pPr>
        <w:tabs>
          <w:tab w:val="left" w:pos="0"/>
        </w:tabs>
        <w:spacing w:after="0" w:line="360" w:lineRule="auto"/>
        <w:jc w:val="both"/>
        <w:rPr>
          <w:rFonts w:ascii="Times New Roman" w:eastAsia="Times New Roman" w:hAnsi="Times New Roman"/>
          <w:b/>
          <w:sz w:val="28"/>
          <w:szCs w:val="28"/>
          <w:lang w:eastAsia="ru-RU"/>
        </w:rPr>
      </w:pPr>
    </w:p>
    <w:p w:rsidR="00097064" w:rsidRPr="009114DF" w:rsidRDefault="00097064" w:rsidP="00F71B34">
      <w:pPr>
        <w:tabs>
          <w:tab w:val="left" w:pos="0"/>
        </w:tabs>
        <w:spacing w:after="0" w:line="360" w:lineRule="auto"/>
        <w:jc w:val="both"/>
        <w:rPr>
          <w:rFonts w:ascii="Times New Roman" w:eastAsia="Times New Roman" w:hAnsi="Times New Roman"/>
          <w:b/>
          <w:sz w:val="28"/>
          <w:szCs w:val="28"/>
          <w:lang w:eastAsia="ru-RU"/>
        </w:rPr>
      </w:pPr>
    </w:p>
    <w:p w:rsidR="00E15AC7" w:rsidRPr="009114DF" w:rsidRDefault="00E15AC7"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Pr="009114DF" w:rsidRDefault="0011783C" w:rsidP="00F71B34">
      <w:pPr>
        <w:tabs>
          <w:tab w:val="left" w:pos="0"/>
        </w:tabs>
        <w:spacing w:after="0" w:line="360" w:lineRule="auto"/>
        <w:jc w:val="both"/>
        <w:rPr>
          <w:rFonts w:ascii="Times New Roman" w:eastAsia="Times New Roman" w:hAnsi="Times New Roman"/>
          <w:b/>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11783C" w:rsidRPr="00F71B34" w:rsidRDefault="0011783C" w:rsidP="00F71B34">
      <w:pPr>
        <w:tabs>
          <w:tab w:val="left" w:pos="0"/>
        </w:tabs>
        <w:spacing w:after="0" w:line="360" w:lineRule="auto"/>
        <w:jc w:val="both"/>
        <w:rPr>
          <w:rFonts w:ascii="Times New Roman" w:eastAsia="Times New Roman" w:hAnsi="Times New Roman"/>
          <w:b/>
          <w:color w:val="000000"/>
          <w:sz w:val="28"/>
          <w:szCs w:val="28"/>
          <w:lang w:eastAsia="ru-RU"/>
        </w:rPr>
      </w:pPr>
    </w:p>
    <w:p w:rsidR="007C2C06" w:rsidRDefault="007C2C06" w:rsidP="0011783C">
      <w:pPr>
        <w:tabs>
          <w:tab w:val="left" w:pos="0"/>
        </w:tabs>
        <w:spacing w:after="0" w:line="360" w:lineRule="auto"/>
        <w:jc w:val="center"/>
        <w:rPr>
          <w:rFonts w:ascii="Times New Roman" w:eastAsia="Times New Roman" w:hAnsi="Times New Roman"/>
          <w:b/>
          <w:color w:val="000000"/>
          <w:sz w:val="28"/>
          <w:szCs w:val="28"/>
          <w:lang w:eastAsia="ru-RU"/>
        </w:rPr>
      </w:pPr>
      <w:r w:rsidRPr="00F71B34">
        <w:rPr>
          <w:rFonts w:ascii="Times New Roman" w:eastAsia="Times New Roman" w:hAnsi="Times New Roman"/>
          <w:b/>
          <w:color w:val="000000"/>
          <w:sz w:val="28"/>
          <w:szCs w:val="28"/>
          <w:lang w:eastAsia="ru-RU"/>
        </w:rPr>
        <w:lastRenderedPageBreak/>
        <w:t>Г</w:t>
      </w:r>
      <w:r w:rsidR="008939A3" w:rsidRPr="00F71B34">
        <w:rPr>
          <w:rFonts w:ascii="Times New Roman" w:eastAsia="Times New Roman" w:hAnsi="Times New Roman"/>
          <w:b/>
          <w:color w:val="000000"/>
          <w:sz w:val="28"/>
          <w:szCs w:val="28"/>
          <w:lang w:eastAsia="ru-RU"/>
        </w:rPr>
        <w:t xml:space="preserve">ЛАВА </w:t>
      </w:r>
      <w:r w:rsidR="008939A3" w:rsidRPr="00F71B34">
        <w:rPr>
          <w:rFonts w:ascii="Times New Roman" w:eastAsia="Times New Roman" w:hAnsi="Times New Roman"/>
          <w:b/>
          <w:color w:val="000000"/>
          <w:sz w:val="28"/>
          <w:szCs w:val="28"/>
          <w:lang w:val="en-US" w:eastAsia="ru-RU"/>
        </w:rPr>
        <w:t>II</w:t>
      </w:r>
      <w:r w:rsidRPr="00F71B34">
        <w:rPr>
          <w:rFonts w:ascii="Times New Roman" w:eastAsia="Times New Roman" w:hAnsi="Times New Roman"/>
          <w:b/>
          <w:color w:val="000000"/>
          <w:sz w:val="28"/>
          <w:szCs w:val="28"/>
          <w:lang w:eastAsia="ru-RU"/>
        </w:rPr>
        <w:t>. М</w:t>
      </w:r>
      <w:r w:rsidR="008939A3" w:rsidRPr="00F71B34">
        <w:rPr>
          <w:rFonts w:ascii="Times New Roman" w:eastAsia="Times New Roman" w:hAnsi="Times New Roman"/>
          <w:b/>
          <w:color w:val="000000"/>
          <w:sz w:val="28"/>
          <w:szCs w:val="28"/>
          <w:lang w:eastAsia="ru-RU"/>
        </w:rPr>
        <w:t>АТЕРИАЛЫ И МЕТОДЫ ИССЛЕДОВАНИЯ</w:t>
      </w:r>
    </w:p>
    <w:p w:rsidR="0011783C" w:rsidRDefault="0011783C" w:rsidP="0011783C">
      <w:pPr>
        <w:tabs>
          <w:tab w:val="left" w:pos="0"/>
        </w:tabs>
        <w:spacing w:after="0" w:line="360" w:lineRule="auto"/>
        <w:jc w:val="center"/>
        <w:rPr>
          <w:rFonts w:ascii="Times New Roman" w:eastAsia="Times New Roman" w:hAnsi="Times New Roman"/>
          <w:b/>
          <w:color w:val="000000"/>
          <w:sz w:val="28"/>
          <w:szCs w:val="28"/>
          <w:lang w:eastAsia="ru-RU"/>
        </w:rPr>
      </w:pPr>
    </w:p>
    <w:p w:rsidR="0011783C" w:rsidRPr="00F71B34" w:rsidRDefault="0011783C" w:rsidP="0011783C">
      <w:pPr>
        <w:tabs>
          <w:tab w:val="left" w:pos="0"/>
        </w:tabs>
        <w:spacing w:after="0" w:line="360" w:lineRule="auto"/>
        <w:jc w:val="center"/>
        <w:rPr>
          <w:rFonts w:ascii="Times New Roman" w:eastAsia="Times New Roman" w:hAnsi="Times New Roman"/>
          <w:b/>
          <w:color w:val="000000"/>
          <w:sz w:val="28"/>
          <w:szCs w:val="28"/>
          <w:lang w:eastAsia="ru-RU"/>
        </w:rPr>
      </w:pPr>
    </w:p>
    <w:p w:rsidR="00760D51" w:rsidRPr="00F71B34" w:rsidRDefault="00760D51" w:rsidP="0011783C">
      <w:pPr>
        <w:pStyle w:val="ad"/>
        <w:numPr>
          <w:ilvl w:val="0"/>
          <w:numId w:val="4"/>
        </w:numPr>
        <w:spacing w:after="0" w:line="360" w:lineRule="auto"/>
        <w:jc w:val="both"/>
        <w:rPr>
          <w:rFonts w:ascii="Times New Roman" w:eastAsia="Times New Roman" w:hAnsi="Times New Roman"/>
          <w:b/>
          <w:vanish/>
          <w:sz w:val="28"/>
          <w:szCs w:val="28"/>
          <w:lang w:eastAsia="ru-RU"/>
        </w:rPr>
      </w:pPr>
    </w:p>
    <w:p w:rsidR="00760D51" w:rsidRPr="00F71B34" w:rsidRDefault="00760D51" w:rsidP="0011783C">
      <w:pPr>
        <w:pStyle w:val="ad"/>
        <w:numPr>
          <w:ilvl w:val="0"/>
          <w:numId w:val="4"/>
        </w:numPr>
        <w:spacing w:after="0" w:line="360" w:lineRule="auto"/>
        <w:jc w:val="both"/>
        <w:rPr>
          <w:rFonts w:ascii="Times New Roman" w:eastAsia="Times New Roman" w:hAnsi="Times New Roman"/>
          <w:b/>
          <w:vanish/>
          <w:sz w:val="28"/>
          <w:szCs w:val="28"/>
          <w:lang w:eastAsia="ru-RU"/>
        </w:rPr>
      </w:pPr>
    </w:p>
    <w:p w:rsidR="00147ECA" w:rsidRPr="009114DF" w:rsidRDefault="007C2C06" w:rsidP="0011783C">
      <w:pPr>
        <w:numPr>
          <w:ilvl w:val="1"/>
          <w:numId w:val="4"/>
        </w:numPr>
        <w:spacing w:after="0" w:line="360" w:lineRule="auto"/>
        <w:ind w:left="1134" w:hanging="567"/>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Клиническая харак</w:t>
      </w:r>
      <w:r w:rsidR="004B00B9" w:rsidRPr="009114DF">
        <w:rPr>
          <w:rFonts w:ascii="Times New Roman" w:eastAsia="Times New Roman" w:hAnsi="Times New Roman"/>
          <w:b/>
          <w:sz w:val="28"/>
          <w:szCs w:val="28"/>
          <w:lang w:eastAsia="ru-RU"/>
        </w:rPr>
        <w:t>теристика обследованных больных</w:t>
      </w:r>
    </w:p>
    <w:p w:rsidR="00F73CE0" w:rsidRPr="009114DF" w:rsidRDefault="008B1577"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Под наблюдением находилось 79 женщин в постменопаузе</w:t>
      </w:r>
      <w:r w:rsidR="009B5721" w:rsidRPr="009114DF">
        <w:rPr>
          <w:rFonts w:ascii="Times New Roman" w:eastAsia="Times New Roman" w:hAnsi="Times New Roman"/>
          <w:sz w:val="28"/>
          <w:szCs w:val="28"/>
          <w:lang w:eastAsia="ru-RU"/>
        </w:rPr>
        <w:t xml:space="preserve"> с достоверным диагнозом РА по критериям Американск</w:t>
      </w:r>
      <w:r w:rsidR="008939A3" w:rsidRPr="009114DF">
        <w:rPr>
          <w:rFonts w:ascii="Times New Roman" w:eastAsia="Times New Roman" w:hAnsi="Times New Roman"/>
          <w:sz w:val="28"/>
          <w:szCs w:val="28"/>
          <w:lang w:eastAsia="ru-RU"/>
        </w:rPr>
        <w:t>ой коллегии ревматологов (1987</w:t>
      </w:r>
      <w:r w:rsidR="009B5721" w:rsidRPr="009114DF">
        <w:rPr>
          <w:rFonts w:ascii="Times New Roman" w:eastAsia="Times New Roman" w:hAnsi="Times New Roman"/>
          <w:sz w:val="28"/>
          <w:szCs w:val="28"/>
          <w:lang w:eastAsia="ru-RU"/>
        </w:rPr>
        <w:t>)</w:t>
      </w:r>
      <w:r w:rsidR="007C2C06" w:rsidRPr="009114DF">
        <w:rPr>
          <w:rFonts w:ascii="Times New Roman" w:eastAsia="Times New Roman" w:hAnsi="Times New Roman"/>
          <w:sz w:val="28"/>
          <w:szCs w:val="28"/>
          <w:lang w:eastAsia="ru-RU"/>
        </w:rPr>
        <w:t xml:space="preserve">. </w:t>
      </w:r>
    </w:p>
    <w:p w:rsidR="007C2C06"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В исследование включались последовательно все </w:t>
      </w:r>
      <w:r w:rsidR="008B1577" w:rsidRPr="009114DF">
        <w:rPr>
          <w:rFonts w:ascii="Times New Roman" w:eastAsia="Times New Roman" w:hAnsi="Times New Roman"/>
          <w:sz w:val="28"/>
          <w:szCs w:val="28"/>
          <w:lang w:eastAsia="ru-RU"/>
        </w:rPr>
        <w:t>женщины в постменопаузе</w:t>
      </w:r>
      <w:r w:rsidRPr="009114DF">
        <w:rPr>
          <w:rFonts w:ascii="Times New Roman" w:eastAsia="Times New Roman" w:hAnsi="Times New Roman"/>
          <w:sz w:val="28"/>
          <w:szCs w:val="28"/>
          <w:lang w:eastAsia="ru-RU"/>
        </w:rPr>
        <w:t xml:space="preserve"> с данным диагнозом, госпитализировавшиеся или наблюдающиеся амбулаторно в ревматологическом центре (на базе Областного клинического госпиталя для ветеранов войн г.</w:t>
      </w:r>
      <w:r w:rsidR="009B5721"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Кемерово).</w:t>
      </w:r>
      <w:r w:rsidR="00F73CE0" w:rsidRPr="009114DF">
        <w:rPr>
          <w:rFonts w:ascii="Times New Roman" w:eastAsia="Times New Roman" w:hAnsi="Times New Roman"/>
          <w:sz w:val="28"/>
          <w:szCs w:val="28"/>
          <w:lang w:eastAsia="ru-RU"/>
        </w:rPr>
        <w:t xml:space="preserve"> Средняя длительность проспективного наблюдения составила </w:t>
      </w:r>
      <w:r w:rsidR="00F16B1B" w:rsidRPr="009114DF">
        <w:rPr>
          <w:rFonts w:ascii="Times New Roman" w:eastAsia="Times New Roman" w:hAnsi="Times New Roman"/>
          <w:sz w:val="28"/>
          <w:szCs w:val="28"/>
          <w:lang w:eastAsia="ru-RU"/>
        </w:rPr>
        <w:t>40,56±1,19</w:t>
      </w:r>
      <w:r w:rsidR="008939A3" w:rsidRPr="009114DF">
        <w:rPr>
          <w:rFonts w:ascii="Times New Roman" w:eastAsia="Times New Roman" w:hAnsi="Times New Roman"/>
          <w:sz w:val="28"/>
          <w:szCs w:val="28"/>
          <w:lang w:eastAsia="ru-RU"/>
        </w:rPr>
        <w:t xml:space="preserve"> </w:t>
      </w:r>
      <w:r w:rsidR="000E62AE" w:rsidRPr="009114DF">
        <w:rPr>
          <w:rFonts w:ascii="Times New Roman" w:eastAsia="Times New Roman" w:hAnsi="Times New Roman"/>
          <w:sz w:val="28"/>
          <w:szCs w:val="28"/>
          <w:lang w:eastAsia="ru-RU"/>
        </w:rPr>
        <w:t>месяц</w:t>
      </w:r>
      <w:r w:rsidR="00381CED" w:rsidRPr="009114DF">
        <w:rPr>
          <w:rFonts w:ascii="Times New Roman" w:eastAsia="Times New Roman" w:hAnsi="Times New Roman"/>
          <w:sz w:val="28"/>
          <w:szCs w:val="28"/>
          <w:lang w:eastAsia="ru-RU"/>
        </w:rPr>
        <w:t>а</w:t>
      </w:r>
      <w:r w:rsidR="00886153" w:rsidRPr="009114DF">
        <w:rPr>
          <w:rFonts w:ascii="Times New Roman" w:eastAsia="Times New Roman" w:hAnsi="Times New Roman"/>
          <w:sz w:val="28"/>
          <w:szCs w:val="28"/>
          <w:lang w:eastAsia="ru-RU"/>
        </w:rPr>
        <w:t>.</w:t>
      </w:r>
      <w:r w:rsidR="00A2664D" w:rsidRPr="009114DF">
        <w:rPr>
          <w:rFonts w:ascii="Times New Roman" w:hAnsi="Times New Roman"/>
          <w:sz w:val="28"/>
          <w:szCs w:val="28"/>
        </w:rPr>
        <w:t xml:space="preserve"> </w:t>
      </w:r>
      <w:r w:rsidR="00A2664D" w:rsidRPr="009114DF">
        <w:rPr>
          <w:rFonts w:ascii="Times New Roman" w:eastAsia="Times New Roman" w:hAnsi="Times New Roman"/>
          <w:sz w:val="28"/>
          <w:szCs w:val="28"/>
          <w:lang w:eastAsia="ru-RU"/>
        </w:rPr>
        <w:t>Последующее обследование проводилось в амбула</w:t>
      </w:r>
      <w:r w:rsidR="00A2664D" w:rsidRPr="009114DF">
        <w:rPr>
          <w:rFonts w:ascii="Times New Roman" w:eastAsia="Times New Roman" w:hAnsi="Times New Roman"/>
          <w:sz w:val="28"/>
          <w:szCs w:val="28"/>
          <w:lang w:eastAsia="ru-RU"/>
        </w:rPr>
        <w:softHyphen/>
        <w:t xml:space="preserve">торном варианте, а при необходимости в стационаре, </w:t>
      </w:r>
      <w:r w:rsidR="007F2511" w:rsidRPr="009114DF">
        <w:rPr>
          <w:rFonts w:ascii="Times New Roman" w:eastAsia="Times New Roman" w:hAnsi="Times New Roman"/>
          <w:sz w:val="28"/>
          <w:szCs w:val="28"/>
          <w:lang w:eastAsia="ru-RU"/>
        </w:rPr>
        <w:t>на первом году через 16 и</w:t>
      </w:r>
      <w:r w:rsidR="00381CED" w:rsidRPr="009114DF">
        <w:rPr>
          <w:rFonts w:ascii="Times New Roman" w:eastAsia="Times New Roman" w:hAnsi="Times New Roman"/>
          <w:sz w:val="28"/>
          <w:szCs w:val="28"/>
          <w:lang w:eastAsia="ru-RU"/>
        </w:rPr>
        <w:br/>
      </w:r>
      <w:r w:rsidR="007F2511" w:rsidRPr="009114DF">
        <w:rPr>
          <w:rFonts w:ascii="Times New Roman" w:eastAsia="Times New Roman" w:hAnsi="Times New Roman"/>
          <w:sz w:val="28"/>
          <w:szCs w:val="28"/>
          <w:lang w:eastAsia="ru-RU"/>
        </w:rPr>
        <w:t xml:space="preserve">24 недели, затем </w:t>
      </w:r>
      <w:r w:rsidR="00A2664D" w:rsidRPr="009114DF">
        <w:rPr>
          <w:rFonts w:ascii="Times New Roman" w:eastAsia="Times New Roman" w:hAnsi="Times New Roman"/>
          <w:sz w:val="28"/>
          <w:szCs w:val="28"/>
          <w:lang w:eastAsia="ru-RU"/>
        </w:rPr>
        <w:t>каждые 12 месяцев, с включением клинического, лабораторного и инструмен</w:t>
      </w:r>
      <w:r w:rsidR="00A2664D" w:rsidRPr="009114DF">
        <w:rPr>
          <w:rFonts w:ascii="Times New Roman" w:eastAsia="Times New Roman" w:hAnsi="Times New Roman"/>
          <w:sz w:val="28"/>
          <w:szCs w:val="28"/>
          <w:lang w:eastAsia="ru-RU"/>
        </w:rPr>
        <w:softHyphen/>
        <w:t>тального обследования, аналогичного таковому при включении больного в ис</w:t>
      </w:r>
      <w:r w:rsidR="00A2664D" w:rsidRPr="009114DF">
        <w:rPr>
          <w:rFonts w:ascii="Times New Roman" w:eastAsia="Times New Roman" w:hAnsi="Times New Roman"/>
          <w:sz w:val="28"/>
          <w:szCs w:val="28"/>
          <w:lang w:eastAsia="ru-RU"/>
        </w:rPr>
        <w:softHyphen/>
        <w:t>следование.</w:t>
      </w:r>
    </w:p>
    <w:p w:rsidR="009B5721" w:rsidRPr="009114DF" w:rsidRDefault="009B5721" w:rsidP="00BD7A51">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Исследование соответствовало требованиям Хельсинкской декларации Всемирной медицинской ассоциации об этических принципах проведения медицинских исследований с участием людей в качестве субъектов (2000)  и  «Правилам клинической практики в Российской Федерации», утвержденным Приказом Минздрава РФ № 266 от 19.06.2003</w:t>
      </w:r>
      <w:r w:rsidR="00381CED"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г. Все пациенты дали письменное информированное согласие на участие в исследовании.  </w:t>
      </w:r>
      <w:r w:rsidR="00BD7A51" w:rsidRPr="009114DF">
        <w:rPr>
          <w:rFonts w:ascii="Times New Roman" w:eastAsia="Times New Roman" w:hAnsi="Times New Roman"/>
          <w:sz w:val="28"/>
          <w:szCs w:val="28"/>
          <w:lang w:eastAsia="ru-RU"/>
        </w:rPr>
        <w:t>Работа выполнена по плану научно-исследовательских работ ГБОУ ВПО КемГМА Минздрава России (№ 0120.0 506554 от 2005.07.12, фрагмент №56).</w:t>
      </w:r>
    </w:p>
    <w:p w:rsidR="007C2C06"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Критерии включения:</w:t>
      </w:r>
    </w:p>
    <w:p w:rsidR="00147ECA" w:rsidRPr="009114DF" w:rsidRDefault="00147ECA"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 xml:space="preserve">наличие ревматоидного артрита; </w:t>
      </w:r>
    </w:p>
    <w:p w:rsidR="008B1577" w:rsidRPr="009114DF" w:rsidRDefault="008B1577"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женский пол;</w:t>
      </w:r>
    </w:p>
    <w:p w:rsidR="00147ECA" w:rsidRPr="009114DF" w:rsidRDefault="008B1577"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постменопаузальный период</w:t>
      </w:r>
      <w:r w:rsidR="00147ECA" w:rsidRPr="009114DF">
        <w:rPr>
          <w:rFonts w:ascii="Times New Roman" w:eastAsia="MS Mincho" w:hAnsi="Times New Roman"/>
          <w:sz w:val="28"/>
          <w:szCs w:val="28"/>
        </w:rPr>
        <w:t>;</w:t>
      </w:r>
    </w:p>
    <w:p w:rsidR="00147ECA" w:rsidRPr="009114DF" w:rsidRDefault="00147ECA"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согласие больных на участие в исследовании;</w:t>
      </w:r>
    </w:p>
    <w:p w:rsidR="00147ECA" w:rsidRPr="009114DF" w:rsidRDefault="008B4893" w:rsidP="00F71B34">
      <w:pPr>
        <w:numPr>
          <w:ilvl w:val="0"/>
          <w:numId w:val="1"/>
        </w:numPr>
        <w:tabs>
          <w:tab w:val="clear" w:pos="702"/>
          <w:tab w:val="num" w:pos="567"/>
        </w:tabs>
        <w:spacing w:after="0" w:line="360" w:lineRule="auto"/>
        <w:ind w:left="567" w:hanging="567"/>
        <w:jc w:val="both"/>
        <w:rPr>
          <w:rFonts w:ascii="Times New Roman" w:eastAsia="Times New Roman" w:hAnsi="Times New Roman"/>
          <w:sz w:val="28"/>
          <w:szCs w:val="28"/>
          <w:lang w:eastAsia="ru-RU"/>
        </w:rPr>
      </w:pPr>
      <w:r w:rsidRPr="009114DF">
        <w:rPr>
          <w:rFonts w:ascii="Times New Roman" w:eastAsia="MS Mincho" w:hAnsi="Times New Roman"/>
          <w:sz w:val="28"/>
          <w:szCs w:val="28"/>
        </w:rPr>
        <w:lastRenderedPageBreak/>
        <w:t>прием МТХ</w:t>
      </w:r>
      <w:r w:rsidR="00147ECA" w:rsidRPr="009114DF">
        <w:rPr>
          <w:rFonts w:ascii="Times New Roman" w:eastAsia="MS Mincho" w:hAnsi="Times New Roman"/>
          <w:sz w:val="28"/>
          <w:szCs w:val="28"/>
        </w:rPr>
        <w:t xml:space="preserve"> в стабильной дозе 10</w:t>
      </w:r>
      <w:r w:rsidR="00381CED" w:rsidRPr="009114DF">
        <w:rPr>
          <w:rFonts w:ascii="Times New Roman" w:eastAsia="MS Mincho" w:hAnsi="Times New Roman"/>
          <w:sz w:val="28"/>
          <w:szCs w:val="28"/>
        </w:rPr>
        <w:t>–</w:t>
      </w:r>
      <w:r w:rsidR="00147ECA" w:rsidRPr="009114DF">
        <w:rPr>
          <w:rFonts w:ascii="Times New Roman" w:eastAsia="MS Mincho" w:hAnsi="Times New Roman"/>
          <w:sz w:val="28"/>
          <w:szCs w:val="28"/>
        </w:rPr>
        <w:t>15 мг в неделю на протяжении всего периода наблюдения</w:t>
      </w:r>
      <w:r w:rsidR="00147ECA" w:rsidRPr="009114DF">
        <w:rPr>
          <w:rFonts w:ascii="Times New Roman" w:eastAsia="Times New Roman" w:hAnsi="Times New Roman"/>
          <w:sz w:val="28"/>
          <w:szCs w:val="28"/>
          <w:lang w:eastAsia="ru-RU"/>
        </w:rPr>
        <w:t xml:space="preserve">;  </w:t>
      </w:r>
    </w:p>
    <w:p w:rsidR="008375DA" w:rsidRPr="009114DF" w:rsidRDefault="00147ECA" w:rsidP="004B61AE">
      <w:pPr>
        <w:numPr>
          <w:ilvl w:val="0"/>
          <w:numId w:val="1"/>
        </w:numPr>
        <w:tabs>
          <w:tab w:val="clear" w:pos="702"/>
          <w:tab w:val="num" w:pos="567"/>
        </w:tabs>
        <w:spacing w:after="0" w:line="360" w:lineRule="auto"/>
        <w:ind w:left="0" w:firstLine="0"/>
        <w:jc w:val="both"/>
        <w:rPr>
          <w:rFonts w:ascii="Times New Roman" w:eastAsia="MS Mincho" w:hAnsi="Times New Roman"/>
          <w:sz w:val="28"/>
          <w:szCs w:val="28"/>
        </w:rPr>
      </w:pPr>
      <w:r w:rsidRPr="009114DF">
        <w:rPr>
          <w:rFonts w:ascii="Times New Roman" w:eastAsia="MS Mincho" w:hAnsi="Times New Roman"/>
          <w:sz w:val="28"/>
          <w:szCs w:val="28"/>
        </w:rPr>
        <w:t>постоянный прием кальция и витамина D в рекомендованных дозах.</w:t>
      </w:r>
    </w:p>
    <w:p w:rsidR="0011783C" w:rsidRPr="009114DF" w:rsidRDefault="0011783C" w:rsidP="00F71B34">
      <w:pPr>
        <w:spacing w:after="0" w:line="360" w:lineRule="auto"/>
        <w:ind w:firstLine="567"/>
        <w:jc w:val="both"/>
        <w:rPr>
          <w:rFonts w:ascii="Times New Roman" w:eastAsia="Times New Roman" w:hAnsi="Times New Roman"/>
          <w:sz w:val="28"/>
          <w:szCs w:val="28"/>
          <w:lang w:eastAsia="ru-RU"/>
        </w:rPr>
      </w:pPr>
    </w:p>
    <w:p w:rsidR="00795AC1"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Критерии исключения:</w:t>
      </w:r>
    </w:p>
    <w:p w:rsidR="00795AC1" w:rsidRPr="009114DF" w:rsidRDefault="00795AC1"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мужской пол;</w:t>
      </w:r>
    </w:p>
    <w:p w:rsidR="00795AC1" w:rsidRPr="009114DF" w:rsidRDefault="00795AC1"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 xml:space="preserve">возраст менее 18 лет и женщины с сохраненным менструальным циклом; </w:t>
      </w:r>
    </w:p>
    <w:p w:rsidR="007C2C06" w:rsidRPr="009114DF" w:rsidRDefault="007C2C06"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наличие каких-либо других заболеваний, влияющих на метаболизм кости (гиперкортицизм, системные заболевания соединительной ткани, злокачественные новообразования, заболевания паращитовидных и щитовидной желез, гипогонадизм, синдром мальабсорбции, частичная или полная гастрэктомия, хроническая обс</w:t>
      </w:r>
      <w:r w:rsidR="006474EF" w:rsidRPr="009114DF">
        <w:rPr>
          <w:rFonts w:ascii="Times New Roman" w:eastAsia="MS Mincho" w:hAnsi="Times New Roman"/>
          <w:sz w:val="28"/>
          <w:szCs w:val="28"/>
        </w:rPr>
        <w:t>труктивная болезнь легких</w:t>
      </w:r>
      <w:r w:rsidRPr="009114DF">
        <w:rPr>
          <w:rFonts w:ascii="Times New Roman" w:eastAsia="MS Mincho" w:hAnsi="Times New Roman"/>
          <w:sz w:val="28"/>
          <w:szCs w:val="28"/>
        </w:rPr>
        <w:t xml:space="preserve">, алкоголизм, синдром длительной неподвижности, </w:t>
      </w:r>
      <w:r w:rsidR="006474EF" w:rsidRPr="009114DF">
        <w:rPr>
          <w:rFonts w:ascii="Times New Roman" w:eastAsia="MS Mincho" w:hAnsi="Times New Roman"/>
          <w:sz w:val="28"/>
          <w:szCs w:val="28"/>
        </w:rPr>
        <w:t>СД</w:t>
      </w:r>
      <w:r w:rsidRPr="009114DF">
        <w:rPr>
          <w:rFonts w:ascii="Times New Roman" w:eastAsia="MS Mincho" w:hAnsi="Times New Roman"/>
          <w:sz w:val="28"/>
          <w:szCs w:val="28"/>
        </w:rPr>
        <w:t xml:space="preserve">, </w:t>
      </w:r>
      <w:r w:rsidR="006474EF" w:rsidRPr="009114DF">
        <w:rPr>
          <w:rFonts w:ascii="Times New Roman" w:eastAsia="MS Mincho" w:hAnsi="Times New Roman"/>
          <w:sz w:val="28"/>
          <w:szCs w:val="28"/>
        </w:rPr>
        <w:t>ХПН</w:t>
      </w:r>
      <w:r w:rsidRPr="009114DF">
        <w:rPr>
          <w:rFonts w:ascii="Times New Roman" w:eastAsia="MS Mincho" w:hAnsi="Times New Roman"/>
          <w:sz w:val="28"/>
          <w:szCs w:val="28"/>
        </w:rPr>
        <w:t xml:space="preserve">; </w:t>
      </w:r>
    </w:p>
    <w:p w:rsidR="00147ECA" w:rsidRPr="009114DF" w:rsidRDefault="00CA1ABF"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 xml:space="preserve">постоянный </w:t>
      </w:r>
      <w:r w:rsidR="00147ECA" w:rsidRPr="009114DF">
        <w:rPr>
          <w:rFonts w:ascii="Times New Roman" w:eastAsia="MS Mincho" w:hAnsi="Times New Roman"/>
          <w:sz w:val="28"/>
          <w:szCs w:val="28"/>
        </w:rPr>
        <w:t>прием диуретиков;</w:t>
      </w:r>
    </w:p>
    <w:p w:rsidR="00795AC1" w:rsidRPr="009114DF" w:rsidRDefault="00795AC1"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 xml:space="preserve">прием </w:t>
      </w:r>
      <w:r w:rsidR="0062726F" w:rsidRPr="009114DF">
        <w:rPr>
          <w:rFonts w:ascii="Times New Roman" w:eastAsia="MS Mincho" w:hAnsi="Times New Roman"/>
          <w:sz w:val="28"/>
          <w:szCs w:val="28"/>
        </w:rPr>
        <w:t>ГК</w:t>
      </w:r>
      <w:r w:rsidRPr="009114DF">
        <w:rPr>
          <w:rFonts w:ascii="Times New Roman" w:eastAsia="MS Mincho" w:hAnsi="Times New Roman"/>
          <w:sz w:val="28"/>
          <w:szCs w:val="28"/>
        </w:rPr>
        <w:t xml:space="preserve"> на момент включения в исследование</w:t>
      </w:r>
      <w:r w:rsidR="007C2C06" w:rsidRPr="009114DF">
        <w:rPr>
          <w:rFonts w:ascii="Times New Roman" w:eastAsia="MS Mincho" w:hAnsi="Times New Roman"/>
          <w:sz w:val="28"/>
          <w:szCs w:val="28"/>
        </w:rPr>
        <w:t>;</w:t>
      </w:r>
    </w:p>
    <w:p w:rsidR="007C2C06" w:rsidRPr="009114DF" w:rsidRDefault="007C2C06" w:rsidP="00F71B34">
      <w:pPr>
        <w:numPr>
          <w:ilvl w:val="0"/>
          <w:numId w:val="1"/>
        </w:numPr>
        <w:tabs>
          <w:tab w:val="clear" w:pos="702"/>
          <w:tab w:val="num" w:pos="567"/>
        </w:tabs>
        <w:spacing w:after="0" w:line="360" w:lineRule="auto"/>
        <w:ind w:left="567" w:hanging="567"/>
        <w:jc w:val="both"/>
        <w:rPr>
          <w:rFonts w:ascii="Times New Roman" w:eastAsia="MS Mincho" w:hAnsi="Times New Roman"/>
          <w:sz w:val="28"/>
          <w:szCs w:val="28"/>
        </w:rPr>
      </w:pPr>
      <w:r w:rsidRPr="009114DF">
        <w:rPr>
          <w:rFonts w:ascii="Times New Roman" w:eastAsia="MS Mincho" w:hAnsi="Times New Roman"/>
          <w:sz w:val="28"/>
          <w:szCs w:val="28"/>
        </w:rPr>
        <w:t>отказ больных от участия в исследовании.</w:t>
      </w:r>
    </w:p>
    <w:p w:rsidR="00147ECA" w:rsidRPr="009114DF" w:rsidRDefault="00795AC1" w:rsidP="00F71B34">
      <w:pPr>
        <w:spacing w:after="0" w:line="360" w:lineRule="auto"/>
        <w:ind w:firstLine="567"/>
        <w:jc w:val="both"/>
        <w:rPr>
          <w:rFonts w:ascii="Times New Roman" w:eastAsia="Times New Roman" w:hAnsi="Times New Roman"/>
          <w:sz w:val="28"/>
          <w:szCs w:val="28"/>
          <w:lang w:eastAsia="ru-RU"/>
        </w:rPr>
      </w:pPr>
      <w:proofErr w:type="gramStart"/>
      <w:r w:rsidRPr="009114DF">
        <w:rPr>
          <w:rFonts w:ascii="Times New Roman" w:eastAsia="Times New Roman" w:hAnsi="Times New Roman"/>
          <w:sz w:val="28"/>
          <w:szCs w:val="28"/>
          <w:lang w:eastAsia="ru-RU"/>
        </w:rPr>
        <w:t>Все больные были распределены</w:t>
      </w:r>
      <w:r w:rsidR="00147ECA" w:rsidRPr="009114DF">
        <w:rPr>
          <w:rFonts w:ascii="Times New Roman" w:eastAsia="Times New Roman" w:hAnsi="Times New Roman"/>
          <w:sz w:val="28"/>
          <w:szCs w:val="28"/>
          <w:lang w:eastAsia="ru-RU"/>
        </w:rPr>
        <w:t xml:space="preserve"> </w:t>
      </w:r>
      <w:r w:rsidR="00381CED" w:rsidRPr="009114DF">
        <w:rPr>
          <w:rFonts w:ascii="Times New Roman" w:eastAsia="Times New Roman" w:hAnsi="Times New Roman"/>
          <w:sz w:val="28"/>
          <w:szCs w:val="28"/>
          <w:lang w:eastAsia="ru-RU"/>
        </w:rPr>
        <w:t>на</w:t>
      </w:r>
      <w:r w:rsidR="00147ECA" w:rsidRPr="009114DF">
        <w:rPr>
          <w:rFonts w:ascii="Times New Roman" w:eastAsia="Times New Roman" w:hAnsi="Times New Roman"/>
          <w:sz w:val="28"/>
          <w:szCs w:val="28"/>
          <w:lang w:eastAsia="ru-RU"/>
        </w:rPr>
        <w:t xml:space="preserve"> две группы в зависимости от вариант</w:t>
      </w:r>
      <w:r w:rsidRPr="009114DF">
        <w:rPr>
          <w:rFonts w:ascii="Times New Roman" w:eastAsia="Times New Roman" w:hAnsi="Times New Roman"/>
          <w:sz w:val="28"/>
          <w:szCs w:val="28"/>
          <w:lang w:eastAsia="ru-RU"/>
        </w:rPr>
        <w:t>а базисной терапии: группа 1 (44</w:t>
      </w:r>
      <w:r w:rsidR="00D2353C" w:rsidRPr="009114DF">
        <w:rPr>
          <w:rFonts w:ascii="Times New Roman" w:eastAsia="Times New Roman" w:hAnsi="Times New Roman"/>
          <w:sz w:val="28"/>
          <w:szCs w:val="28"/>
          <w:lang w:eastAsia="ru-RU"/>
        </w:rPr>
        <w:t xml:space="preserve"> человек</w:t>
      </w:r>
      <w:r w:rsidRPr="009114DF">
        <w:rPr>
          <w:rFonts w:ascii="Times New Roman" w:eastAsia="Times New Roman" w:hAnsi="Times New Roman"/>
          <w:sz w:val="28"/>
          <w:szCs w:val="28"/>
          <w:lang w:eastAsia="ru-RU"/>
        </w:rPr>
        <w:t>а</w:t>
      </w:r>
      <w:r w:rsidR="00147ECA" w:rsidRPr="009114DF">
        <w:rPr>
          <w:rFonts w:ascii="Times New Roman" w:eastAsia="Times New Roman" w:hAnsi="Times New Roman"/>
          <w:sz w:val="28"/>
          <w:szCs w:val="28"/>
          <w:lang w:eastAsia="ru-RU"/>
        </w:rPr>
        <w:t xml:space="preserve">) – больные, получавшие комбинированную терапию </w:t>
      </w:r>
      <w:r w:rsidR="00210F00" w:rsidRPr="009114DF">
        <w:rPr>
          <w:rFonts w:ascii="Times New Roman" w:eastAsia="Times New Roman" w:hAnsi="Times New Roman"/>
          <w:sz w:val="28"/>
          <w:szCs w:val="28"/>
          <w:lang w:eastAsia="ru-RU"/>
        </w:rPr>
        <w:t>МТХ</w:t>
      </w:r>
      <w:r w:rsidR="00147ECA" w:rsidRPr="009114DF">
        <w:rPr>
          <w:rFonts w:ascii="Times New Roman" w:eastAsia="Times New Roman" w:hAnsi="Times New Roman"/>
          <w:sz w:val="28"/>
          <w:szCs w:val="28"/>
          <w:lang w:eastAsia="ru-RU"/>
        </w:rPr>
        <w:t xml:space="preserve">  (средняя доза </w:t>
      </w:r>
      <w:r w:rsidR="0066756C" w:rsidRPr="009114DF">
        <w:rPr>
          <w:rFonts w:ascii="Times New Roman" w:eastAsia="Times New Roman" w:hAnsi="Times New Roman"/>
          <w:sz w:val="28"/>
          <w:szCs w:val="28"/>
          <w:lang w:eastAsia="ru-RU"/>
        </w:rPr>
        <w:t xml:space="preserve"> 13,18 [12,5</w:t>
      </w:r>
      <w:r w:rsidR="00381CED" w:rsidRPr="009114DF">
        <w:rPr>
          <w:rFonts w:ascii="Times New Roman" w:eastAsia="Times New Roman" w:hAnsi="Times New Roman"/>
          <w:sz w:val="28"/>
          <w:szCs w:val="28"/>
          <w:lang w:eastAsia="ru-RU"/>
        </w:rPr>
        <w:t>–</w:t>
      </w:r>
      <w:r w:rsidR="0066756C" w:rsidRPr="009114DF">
        <w:rPr>
          <w:rFonts w:ascii="Times New Roman" w:eastAsia="Times New Roman" w:hAnsi="Times New Roman"/>
          <w:sz w:val="28"/>
          <w:szCs w:val="28"/>
          <w:lang w:eastAsia="ru-RU"/>
        </w:rPr>
        <w:t xml:space="preserve">15,0] </w:t>
      </w:r>
      <w:r w:rsidR="00147ECA" w:rsidRPr="009114DF">
        <w:rPr>
          <w:rFonts w:ascii="Times New Roman" w:eastAsia="Times New Roman" w:hAnsi="Times New Roman"/>
          <w:sz w:val="28"/>
          <w:szCs w:val="28"/>
          <w:lang w:eastAsia="ru-RU"/>
        </w:rPr>
        <w:t xml:space="preserve">мг/нед) и </w:t>
      </w:r>
      <w:r w:rsidR="00210F00" w:rsidRPr="009114DF">
        <w:rPr>
          <w:rFonts w:ascii="Times New Roman" w:eastAsia="Times New Roman" w:hAnsi="Times New Roman"/>
          <w:sz w:val="28"/>
          <w:szCs w:val="28"/>
          <w:lang w:eastAsia="ru-RU"/>
        </w:rPr>
        <w:t>РТМ</w:t>
      </w:r>
      <w:r w:rsidR="00147ECA" w:rsidRPr="009114DF">
        <w:rPr>
          <w:rFonts w:ascii="Times New Roman" w:eastAsia="Times New Roman" w:hAnsi="Times New Roman"/>
          <w:sz w:val="28"/>
          <w:szCs w:val="28"/>
          <w:lang w:eastAsia="ru-RU"/>
        </w:rPr>
        <w:t xml:space="preserve"> (1000 мг внутривенно капельно дважды с интервалом 14 дней, среднее количество курсов – 3,</w:t>
      </w:r>
      <w:r w:rsidR="0066756C" w:rsidRPr="009114DF">
        <w:rPr>
          <w:rFonts w:ascii="Times New Roman" w:eastAsia="Times New Roman" w:hAnsi="Times New Roman"/>
          <w:sz w:val="28"/>
          <w:szCs w:val="28"/>
          <w:lang w:eastAsia="ru-RU"/>
        </w:rPr>
        <w:t>43 [3,0–4,0]</w:t>
      </w:r>
      <w:r w:rsidR="00BD7A51" w:rsidRPr="009114DF">
        <w:rPr>
          <w:rFonts w:ascii="Times New Roman" w:eastAsia="Times New Roman" w:hAnsi="Times New Roman"/>
          <w:sz w:val="28"/>
          <w:szCs w:val="28"/>
          <w:lang w:eastAsia="ru-RU"/>
        </w:rPr>
        <w:t>,</w:t>
      </w:r>
      <w:r w:rsidR="00BD7A51" w:rsidRPr="009114DF">
        <w:rPr>
          <w:rFonts w:ascii="Times New Roman" w:hAnsi="Times New Roman"/>
          <w:spacing w:val="-12"/>
          <w:sz w:val="28"/>
          <w:szCs w:val="28"/>
          <w:lang w:eastAsia="ru-RU"/>
        </w:rPr>
        <w:t xml:space="preserve"> </w:t>
      </w:r>
      <w:r w:rsidR="00BD7A51" w:rsidRPr="009114DF">
        <w:rPr>
          <w:rFonts w:ascii="Times New Roman" w:eastAsia="Times New Roman" w:hAnsi="Times New Roman"/>
          <w:sz w:val="28"/>
          <w:szCs w:val="28"/>
          <w:lang w:eastAsia="ru-RU"/>
        </w:rPr>
        <w:t>повторные курсы – 1 раз в 12 месяцев</w:t>
      </w:r>
      <w:r w:rsidR="00147ECA" w:rsidRPr="009114DF">
        <w:rPr>
          <w:rFonts w:ascii="Times New Roman" w:eastAsia="Times New Roman" w:hAnsi="Times New Roman"/>
          <w:sz w:val="28"/>
          <w:szCs w:val="28"/>
          <w:lang w:eastAsia="ru-RU"/>
        </w:rPr>
        <w:t>);</w:t>
      </w:r>
      <w:proofErr w:type="gramEnd"/>
      <w:r w:rsidR="00147ECA" w:rsidRPr="009114DF">
        <w:rPr>
          <w:rFonts w:ascii="Times New Roman" w:eastAsia="Times New Roman" w:hAnsi="Times New Roman"/>
          <w:sz w:val="28"/>
          <w:szCs w:val="28"/>
          <w:lang w:eastAsia="ru-RU"/>
        </w:rPr>
        <w:t xml:space="preserve">  группа 2 (</w:t>
      </w:r>
      <w:r w:rsidR="00147ECA" w:rsidRPr="009114DF">
        <w:rPr>
          <w:rFonts w:ascii="Times New Roman" w:eastAsia="Times New Roman" w:hAnsi="Times New Roman"/>
          <w:sz w:val="28"/>
          <w:szCs w:val="28"/>
          <w:lang w:val="en-US" w:eastAsia="ru-RU"/>
        </w:rPr>
        <w:t>n</w:t>
      </w:r>
      <w:r w:rsidR="0066756C" w:rsidRPr="009114DF">
        <w:rPr>
          <w:rFonts w:ascii="Times New Roman" w:eastAsia="Times New Roman" w:hAnsi="Times New Roman"/>
          <w:sz w:val="28"/>
          <w:szCs w:val="28"/>
          <w:lang w:eastAsia="ru-RU"/>
        </w:rPr>
        <w:t>=35</w:t>
      </w:r>
      <w:r w:rsidR="00147ECA" w:rsidRPr="009114DF">
        <w:rPr>
          <w:rFonts w:ascii="Times New Roman" w:eastAsia="Times New Roman" w:hAnsi="Times New Roman"/>
          <w:sz w:val="28"/>
          <w:szCs w:val="28"/>
          <w:lang w:eastAsia="ru-RU"/>
        </w:rPr>
        <w:t xml:space="preserve">) – пациенты с монотерапией </w:t>
      </w:r>
      <w:r w:rsidR="00210F00" w:rsidRPr="009114DF">
        <w:rPr>
          <w:rFonts w:ascii="Times New Roman" w:eastAsia="Times New Roman" w:hAnsi="Times New Roman"/>
          <w:sz w:val="28"/>
          <w:szCs w:val="28"/>
          <w:lang w:eastAsia="ru-RU"/>
        </w:rPr>
        <w:t>МТХ</w:t>
      </w:r>
      <w:r w:rsidR="00147ECA" w:rsidRPr="009114DF">
        <w:rPr>
          <w:rFonts w:ascii="Times New Roman" w:eastAsia="Times New Roman" w:hAnsi="Times New Roman"/>
          <w:sz w:val="28"/>
          <w:szCs w:val="28"/>
          <w:lang w:eastAsia="ru-RU"/>
        </w:rPr>
        <w:t xml:space="preserve"> в сопост</w:t>
      </w:r>
      <w:r w:rsidR="0066756C" w:rsidRPr="009114DF">
        <w:rPr>
          <w:rFonts w:ascii="Times New Roman" w:eastAsia="Times New Roman" w:hAnsi="Times New Roman"/>
          <w:sz w:val="28"/>
          <w:szCs w:val="28"/>
          <w:lang w:eastAsia="ru-RU"/>
        </w:rPr>
        <w:t>авимых дозах (средняя доза 13,57 [12,5–15,0]</w:t>
      </w:r>
      <w:r w:rsidR="00147ECA" w:rsidRPr="009114DF">
        <w:rPr>
          <w:rFonts w:ascii="Times New Roman" w:eastAsia="Times New Roman" w:hAnsi="Times New Roman"/>
          <w:sz w:val="28"/>
          <w:szCs w:val="28"/>
          <w:lang w:eastAsia="ru-RU"/>
        </w:rPr>
        <w:t xml:space="preserve"> мг/нед).</w:t>
      </w:r>
      <w:r w:rsidR="00B268CC" w:rsidRPr="009114DF">
        <w:rPr>
          <w:rFonts w:ascii="Times New Roman" w:eastAsia="Times New Roman" w:hAnsi="Times New Roman"/>
          <w:sz w:val="28"/>
          <w:szCs w:val="28"/>
          <w:lang w:eastAsia="ru-RU"/>
        </w:rPr>
        <w:t xml:space="preserve"> Больные группы 1 ранее не получали РТМ и другие ГИБП, терапия МТХ до начала исследования составляла не менее 6 месяцев. </w:t>
      </w:r>
      <w:r w:rsidR="00314691" w:rsidRPr="009114DF">
        <w:rPr>
          <w:rFonts w:ascii="Times New Roman" w:eastAsia="Times New Roman" w:hAnsi="Times New Roman"/>
          <w:sz w:val="28"/>
          <w:szCs w:val="28"/>
          <w:lang w:eastAsia="ru-RU"/>
        </w:rPr>
        <w:t>Все больные не получали антиостеопоротическую терапию на протяжении всего периода наблюдения.</w:t>
      </w:r>
      <w:r w:rsidR="00147ECA" w:rsidRPr="009114DF">
        <w:rPr>
          <w:rFonts w:ascii="Times New Roman" w:eastAsia="Times New Roman" w:hAnsi="Times New Roman"/>
          <w:sz w:val="28"/>
          <w:szCs w:val="28"/>
          <w:lang w:eastAsia="ru-RU"/>
        </w:rPr>
        <w:t xml:space="preserve"> </w:t>
      </w:r>
      <w:r w:rsidR="00C1184F" w:rsidRPr="009114DF">
        <w:rPr>
          <w:rFonts w:ascii="Times New Roman" w:eastAsia="Times New Roman" w:hAnsi="Times New Roman"/>
          <w:sz w:val="28"/>
          <w:szCs w:val="28"/>
          <w:lang w:eastAsia="ru-RU"/>
        </w:rPr>
        <w:t>Клиническая характеристика больных РА в соответствии с классификацией, принятой Пленумом Ассоциации ревматологов России (2007), представлен</w:t>
      </w:r>
      <w:proofErr w:type="gramStart"/>
      <w:r w:rsidR="00C1184F" w:rsidRPr="009114DF">
        <w:rPr>
          <w:rFonts w:ascii="Times New Roman" w:eastAsia="Times New Roman" w:hAnsi="Times New Roman"/>
          <w:sz w:val="28"/>
          <w:szCs w:val="28"/>
          <w:lang w:val="en-US" w:eastAsia="ru-RU"/>
        </w:rPr>
        <w:t>a</w:t>
      </w:r>
      <w:proofErr w:type="gramEnd"/>
      <w:r w:rsidR="00742BD1" w:rsidRPr="009114DF">
        <w:rPr>
          <w:rFonts w:ascii="Times New Roman" w:eastAsia="Times New Roman" w:hAnsi="Times New Roman"/>
          <w:sz w:val="28"/>
          <w:szCs w:val="28"/>
          <w:lang w:eastAsia="ru-RU"/>
        </w:rPr>
        <w:t xml:space="preserve"> в табл</w:t>
      </w:r>
      <w:r w:rsidR="00381CED" w:rsidRPr="009114DF">
        <w:rPr>
          <w:rFonts w:ascii="Times New Roman" w:eastAsia="Times New Roman" w:hAnsi="Times New Roman"/>
          <w:sz w:val="28"/>
          <w:szCs w:val="28"/>
          <w:lang w:eastAsia="ru-RU"/>
        </w:rPr>
        <w:t>ице</w:t>
      </w:r>
      <w:r w:rsidR="00742BD1" w:rsidRPr="009114DF">
        <w:rPr>
          <w:rFonts w:ascii="Times New Roman" w:eastAsia="Times New Roman" w:hAnsi="Times New Roman"/>
          <w:sz w:val="28"/>
          <w:szCs w:val="28"/>
          <w:lang w:eastAsia="ru-RU"/>
        </w:rPr>
        <w:t xml:space="preserve"> </w:t>
      </w:r>
      <w:r w:rsidR="00C1184F" w:rsidRPr="009114DF">
        <w:rPr>
          <w:rFonts w:ascii="Times New Roman" w:eastAsia="Times New Roman" w:hAnsi="Times New Roman"/>
          <w:sz w:val="28"/>
          <w:szCs w:val="28"/>
          <w:lang w:eastAsia="ru-RU"/>
        </w:rPr>
        <w:t>1.</w:t>
      </w:r>
    </w:p>
    <w:p w:rsidR="00097064" w:rsidRPr="009114DF" w:rsidRDefault="00097064" w:rsidP="00F71B34">
      <w:pPr>
        <w:suppressAutoHyphens/>
        <w:spacing w:after="0" w:line="360" w:lineRule="auto"/>
        <w:ind w:firstLine="567"/>
        <w:jc w:val="both"/>
        <w:rPr>
          <w:rFonts w:ascii="Times New Roman" w:eastAsia="Times New Roman" w:hAnsi="Times New Roman"/>
          <w:spacing w:val="40"/>
          <w:sz w:val="28"/>
          <w:szCs w:val="28"/>
          <w:lang w:eastAsia="ru-RU"/>
        </w:rPr>
      </w:pPr>
    </w:p>
    <w:p w:rsidR="004B00B9" w:rsidRPr="009114DF" w:rsidRDefault="00742BD1" w:rsidP="00F71B34">
      <w:pPr>
        <w:suppressAutoHyphens/>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pacing w:val="40"/>
          <w:sz w:val="28"/>
          <w:szCs w:val="28"/>
          <w:lang w:eastAsia="ru-RU"/>
        </w:rPr>
        <w:lastRenderedPageBreak/>
        <w:t>Таблица</w:t>
      </w:r>
      <w:r w:rsidRPr="009114DF">
        <w:rPr>
          <w:rFonts w:ascii="Times New Roman" w:eastAsia="Times New Roman" w:hAnsi="Times New Roman"/>
          <w:sz w:val="28"/>
          <w:szCs w:val="28"/>
          <w:lang w:eastAsia="ru-RU"/>
        </w:rPr>
        <w:t xml:space="preserve"> 1</w:t>
      </w:r>
      <w:r w:rsidR="00CD2EDC" w:rsidRPr="009114DF">
        <w:rPr>
          <w:rFonts w:ascii="Times New Roman" w:eastAsia="Times New Roman" w:hAnsi="Times New Roman"/>
          <w:sz w:val="28"/>
          <w:szCs w:val="28"/>
          <w:lang w:eastAsia="ru-RU"/>
        </w:rPr>
        <w:t xml:space="preserve"> – </w:t>
      </w:r>
      <w:r w:rsidR="004B00B9" w:rsidRPr="009114DF">
        <w:rPr>
          <w:rFonts w:ascii="Times New Roman" w:eastAsia="Times New Roman" w:hAnsi="Times New Roman"/>
          <w:bCs/>
          <w:sz w:val="28"/>
          <w:szCs w:val="28"/>
          <w:lang w:eastAsia="ru-RU"/>
        </w:rPr>
        <w:t>Клиническая характеристика больных РА  в зависимости от варианта базисной терапии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776"/>
        <w:gridCol w:w="2512"/>
        <w:gridCol w:w="1283"/>
        <w:gridCol w:w="1050"/>
        <w:gridCol w:w="1184"/>
        <w:gridCol w:w="1332"/>
      </w:tblGrid>
      <w:tr w:rsidR="00610F36" w:rsidRPr="009114DF" w:rsidTr="00E019EA">
        <w:trPr>
          <w:trHeight w:val="397"/>
          <w:jc w:val="center"/>
        </w:trPr>
        <w:tc>
          <w:tcPr>
            <w:tcW w:w="2608" w:type="pct"/>
            <w:gridSpan w:val="2"/>
            <w:vMerge w:val="restart"/>
            <w:vAlign w:val="center"/>
          </w:tcPr>
          <w:p w:rsidR="004B00B9" w:rsidRPr="009114DF" w:rsidRDefault="004B00B9" w:rsidP="00F71B34">
            <w:pPr>
              <w:spacing w:after="0" w:line="360" w:lineRule="auto"/>
              <w:ind w:firstLine="567"/>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Показатель</w:t>
            </w:r>
          </w:p>
        </w:tc>
        <w:tc>
          <w:tcPr>
            <w:tcW w:w="1151" w:type="pct"/>
            <w:gridSpan w:val="2"/>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Группа 1</w:t>
            </w:r>
          </w:p>
        </w:tc>
        <w:tc>
          <w:tcPr>
            <w:tcW w:w="1241" w:type="pct"/>
            <w:gridSpan w:val="2"/>
            <w:vAlign w:val="center"/>
          </w:tcPr>
          <w:p w:rsidR="004B00B9" w:rsidRPr="009114DF" w:rsidRDefault="004B00B9" w:rsidP="00F71B34">
            <w:pPr>
              <w:spacing w:after="0" w:line="360" w:lineRule="auto"/>
              <w:ind w:firstLine="567"/>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Группа 2</w:t>
            </w:r>
          </w:p>
        </w:tc>
      </w:tr>
      <w:tr w:rsidR="00610F36" w:rsidRPr="009114DF" w:rsidTr="00E019EA">
        <w:trPr>
          <w:trHeight w:val="397"/>
          <w:jc w:val="center"/>
        </w:trPr>
        <w:tc>
          <w:tcPr>
            <w:tcW w:w="2608" w:type="pct"/>
            <w:gridSpan w:val="2"/>
            <w:vMerge/>
            <w:vAlign w:val="center"/>
          </w:tcPr>
          <w:p w:rsidR="004B00B9" w:rsidRPr="009114DF" w:rsidRDefault="004B00B9" w:rsidP="00F71B34">
            <w:pPr>
              <w:spacing w:after="0" w:line="360" w:lineRule="auto"/>
              <w:ind w:firstLine="567"/>
              <w:jc w:val="center"/>
              <w:rPr>
                <w:rFonts w:ascii="Times New Roman" w:eastAsia="Times New Roman" w:hAnsi="Times New Roman"/>
                <w:b/>
                <w:sz w:val="24"/>
                <w:szCs w:val="24"/>
                <w:lang w:eastAsia="ru-RU"/>
              </w:rPr>
            </w:pPr>
          </w:p>
        </w:tc>
        <w:tc>
          <w:tcPr>
            <w:tcW w:w="633" w:type="pct"/>
            <w:vAlign w:val="center"/>
          </w:tcPr>
          <w:p w:rsidR="004B00B9" w:rsidRPr="009114DF" w:rsidRDefault="00381CED"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а</w:t>
            </w:r>
            <w:r w:rsidR="004B00B9" w:rsidRPr="009114DF">
              <w:rPr>
                <w:rFonts w:ascii="Times New Roman" w:eastAsia="Times New Roman" w:hAnsi="Times New Roman"/>
                <w:sz w:val="24"/>
                <w:szCs w:val="24"/>
                <w:lang w:eastAsia="ru-RU"/>
              </w:rPr>
              <w:t>бс.</w:t>
            </w:r>
          </w:p>
        </w:tc>
        <w:tc>
          <w:tcPr>
            <w:tcW w:w="518"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w:t>
            </w:r>
          </w:p>
        </w:tc>
        <w:tc>
          <w:tcPr>
            <w:tcW w:w="584" w:type="pct"/>
            <w:vAlign w:val="center"/>
          </w:tcPr>
          <w:p w:rsidR="004B00B9" w:rsidRPr="009114DF" w:rsidRDefault="00381CED"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а</w:t>
            </w:r>
            <w:r w:rsidR="004B00B9" w:rsidRPr="009114DF">
              <w:rPr>
                <w:rFonts w:ascii="Times New Roman" w:eastAsia="Times New Roman" w:hAnsi="Times New Roman"/>
                <w:sz w:val="24"/>
                <w:szCs w:val="24"/>
                <w:lang w:eastAsia="ru-RU"/>
              </w:rPr>
              <w:t>бс.</w:t>
            </w:r>
          </w:p>
        </w:tc>
        <w:tc>
          <w:tcPr>
            <w:tcW w:w="657"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w:t>
            </w:r>
          </w:p>
        </w:tc>
      </w:tr>
      <w:tr w:rsidR="00610F36" w:rsidRPr="009114DF" w:rsidTr="00E019EA">
        <w:trPr>
          <w:trHeight w:val="397"/>
          <w:jc w:val="center"/>
        </w:trPr>
        <w:tc>
          <w:tcPr>
            <w:tcW w:w="1369" w:type="pct"/>
            <w:vMerge w:val="restart"/>
            <w:tcBorders>
              <w:right w:val="single" w:sz="4" w:space="0" w:color="auto"/>
            </w:tcBorders>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Давность заболевания, годы</w:t>
            </w:r>
          </w:p>
        </w:tc>
        <w:tc>
          <w:tcPr>
            <w:tcW w:w="1239" w:type="pct"/>
            <w:tcBorders>
              <w:left w:val="single" w:sz="4" w:space="0" w:color="auto"/>
            </w:tcBorders>
            <w:vAlign w:val="center"/>
          </w:tcPr>
          <w:p w:rsidR="004B00B9" w:rsidRPr="009114DF" w:rsidRDefault="004B00B9" w:rsidP="00F71B34">
            <w:pPr>
              <w:spacing w:after="0" w:line="360" w:lineRule="auto"/>
              <w:ind w:firstLine="73"/>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&lt;1</w:t>
            </w:r>
          </w:p>
        </w:tc>
        <w:tc>
          <w:tcPr>
            <w:tcW w:w="633"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518"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584"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657"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r>
      <w:tr w:rsidR="00610F36" w:rsidRPr="009114DF" w:rsidTr="00E019EA">
        <w:trPr>
          <w:trHeight w:val="397"/>
          <w:jc w:val="center"/>
        </w:trPr>
        <w:tc>
          <w:tcPr>
            <w:tcW w:w="1369" w:type="pct"/>
            <w:vMerge/>
            <w:tcBorders>
              <w:right w:val="single" w:sz="4" w:space="0" w:color="auto"/>
            </w:tcBorders>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p>
        </w:tc>
        <w:tc>
          <w:tcPr>
            <w:tcW w:w="1239" w:type="pct"/>
            <w:tcBorders>
              <w:left w:val="single" w:sz="4" w:space="0" w:color="auto"/>
            </w:tcBorders>
            <w:vAlign w:val="center"/>
          </w:tcPr>
          <w:p w:rsidR="004B00B9" w:rsidRPr="009114DF" w:rsidRDefault="004B00B9" w:rsidP="00381CED">
            <w:pPr>
              <w:spacing w:after="0" w:line="360" w:lineRule="auto"/>
              <w:ind w:firstLine="73"/>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r w:rsidR="00381CED" w:rsidRPr="009114DF">
              <w:rPr>
                <w:rFonts w:ascii="Times New Roman" w:eastAsia="Times New Roman" w:hAnsi="Times New Roman"/>
                <w:sz w:val="24"/>
                <w:szCs w:val="24"/>
                <w:lang w:eastAsia="ru-RU"/>
              </w:rPr>
              <w:t>–</w:t>
            </w:r>
            <w:r w:rsidRPr="009114DF">
              <w:rPr>
                <w:rFonts w:ascii="Times New Roman" w:eastAsia="Times New Roman" w:hAnsi="Times New Roman"/>
                <w:sz w:val="24"/>
                <w:szCs w:val="24"/>
                <w:lang w:eastAsia="ru-RU"/>
              </w:rPr>
              <w:t>4</w:t>
            </w:r>
          </w:p>
        </w:tc>
        <w:tc>
          <w:tcPr>
            <w:tcW w:w="633" w:type="pct"/>
            <w:vAlign w:val="center"/>
          </w:tcPr>
          <w:p w:rsidR="004B00B9" w:rsidRPr="009114DF" w:rsidRDefault="00EF20A8"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w:t>
            </w:r>
          </w:p>
        </w:tc>
        <w:tc>
          <w:tcPr>
            <w:tcW w:w="518" w:type="pct"/>
            <w:vAlign w:val="center"/>
          </w:tcPr>
          <w:p w:rsidR="004B00B9" w:rsidRPr="009114DF" w:rsidRDefault="00EF20A8"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4,5</w:t>
            </w:r>
          </w:p>
        </w:tc>
        <w:tc>
          <w:tcPr>
            <w:tcW w:w="584" w:type="pct"/>
            <w:vAlign w:val="center"/>
          </w:tcPr>
          <w:p w:rsidR="004B00B9" w:rsidRPr="009114DF" w:rsidRDefault="00BB52F5"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5</w:t>
            </w:r>
          </w:p>
        </w:tc>
        <w:tc>
          <w:tcPr>
            <w:tcW w:w="657"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r w:rsidR="009B496B" w:rsidRPr="009114DF">
              <w:rPr>
                <w:rFonts w:ascii="Times New Roman" w:eastAsia="Times New Roman" w:hAnsi="Times New Roman"/>
                <w:sz w:val="24"/>
                <w:szCs w:val="24"/>
                <w:lang w:eastAsia="ru-RU"/>
              </w:rPr>
              <w:t>4,3</w:t>
            </w:r>
          </w:p>
        </w:tc>
      </w:tr>
      <w:tr w:rsidR="00610F36" w:rsidRPr="009114DF" w:rsidTr="00E019EA">
        <w:trPr>
          <w:trHeight w:val="397"/>
          <w:jc w:val="center"/>
        </w:trPr>
        <w:tc>
          <w:tcPr>
            <w:tcW w:w="1369" w:type="pct"/>
            <w:vMerge/>
            <w:tcBorders>
              <w:right w:val="single" w:sz="4" w:space="0" w:color="auto"/>
            </w:tcBorders>
            <w:vAlign w:val="center"/>
          </w:tcPr>
          <w:p w:rsidR="004B00B9" w:rsidRPr="009114DF" w:rsidRDefault="004B00B9" w:rsidP="00F71B34">
            <w:pPr>
              <w:spacing w:after="0" w:line="360" w:lineRule="auto"/>
              <w:jc w:val="center"/>
              <w:rPr>
                <w:rFonts w:ascii="Times New Roman" w:eastAsia="Times New Roman" w:hAnsi="Times New Roman"/>
                <w:b/>
                <w:sz w:val="24"/>
                <w:szCs w:val="24"/>
                <w:lang w:eastAsia="ru-RU"/>
              </w:rPr>
            </w:pPr>
          </w:p>
        </w:tc>
        <w:tc>
          <w:tcPr>
            <w:tcW w:w="1239" w:type="pct"/>
            <w:tcBorders>
              <w:left w:val="single" w:sz="4" w:space="0" w:color="auto"/>
            </w:tcBorders>
            <w:vAlign w:val="center"/>
          </w:tcPr>
          <w:p w:rsidR="004B00B9" w:rsidRPr="009114DF" w:rsidRDefault="004B00B9" w:rsidP="00381CED">
            <w:pPr>
              <w:spacing w:after="0" w:line="360" w:lineRule="auto"/>
              <w:ind w:firstLine="73"/>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5</w:t>
            </w:r>
            <w:r w:rsidR="00381CED" w:rsidRPr="009114DF">
              <w:rPr>
                <w:rFonts w:ascii="Times New Roman" w:eastAsia="Times New Roman" w:hAnsi="Times New Roman"/>
                <w:sz w:val="24"/>
                <w:szCs w:val="24"/>
                <w:lang w:eastAsia="ru-RU"/>
              </w:rPr>
              <w:t>–</w:t>
            </w:r>
            <w:r w:rsidRPr="009114DF">
              <w:rPr>
                <w:rFonts w:ascii="Times New Roman" w:eastAsia="Times New Roman" w:hAnsi="Times New Roman"/>
                <w:sz w:val="24"/>
                <w:szCs w:val="24"/>
                <w:lang w:eastAsia="ru-RU"/>
              </w:rPr>
              <w:t>9</w:t>
            </w:r>
          </w:p>
        </w:tc>
        <w:tc>
          <w:tcPr>
            <w:tcW w:w="633" w:type="pct"/>
            <w:vAlign w:val="center"/>
          </w:tcPr>
          <w:p w:rsidR="004B00B9" w:rsidRPr="009114DF" w:rsidRDefault="00EF20A8"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10</w:t>
            </w:r>
          </w:p>
        </w:tc>
        <w:tc>
          <w:tcPr>
            <w:tcW w:w="518" w:type="pct"/>
            <w:vAlign w:val="center"/>
          </w:tcPr>
          <w:p w:rsidR="004B00B9" w:rsidRPr="009114DF" w:rsidRDefault="00EF20A8"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22,7</w:t>
            </w:r>
          </w:p>
        </w:tc>
        <w:tc>
          <w:tcPr>
            <w:tcW w:w="584" w:type="pct"/>
            <w:vAlign w:val="center"/>
          </w:tcPr>
          <w:p w:rsidR="004B00B9" w:rsidRPr="009114DF" w:rsidRDefault="00BB52F5"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11</w:t>
            </w:r>
          </w:p>
        </w:tc>
        <w:tc>
          <w:tcPr>
            <w:tcW w:w="657" w:type="pct"/>
            <w:vAlign w:val="center"/>
          </w:tcPr>
          <w:p w:rsidR="004B00B9" w:rsidRPr="009114DF" w:rsidRDefault="009B496B"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31,4</w:t>
            </w:r>
          </w:p>
        </w:tc>
      </w:tr>
      <w:tr w:rsidR="00610F36" w:rsidRPr="009114DF" w:rsidTr="00E019EA">
        <w:trPr>
          <w:trHeight w:val="397"/>
          <w:jc w:val="center"/>
        </w:trPr>
        <w:tc>
          <w:tcPr>
            <w:tcW w:w="1369" w:type="pct"/>
            <w:vMerge/>
            <w:tcBorders>
              <w:right w:val="single" w:sz="4" w:space="0" w:color="auto"/>
            </w:tcBorders>
            <w:vAlign w:val="center"/>
          </w:tcPr>
          <w:p w:rsidR="004B00B9" w:rsidRPr="009114DF" w:rsidRDefault="004B00B9" w:rsidP="00F71B34">
            <w:pPr>
              <w:spacing w:after="0" w:line="360" w:lineRule="auto"/>
              <w:jc w:val="center"/>
              <w:rPr>
                <w:rFonts w:ascii="Times New Roman" w:eastAsia="Times New Roman" w:hAnsi="Times New Roman"/>
                <w:b/>
                <w:sz w:val="24"/>
                <w:szCs w:val="24"/>
                <w:lang w:eastAsia="ru-RU"/>
              </w:rPr>
            </w:pPr>
          </w:p>
        </w:tc>
        <w:tc>
          <w:tcPr>
            <w:tcW w:w="1239" w:type="pct"/>
            <w:tcBorders>
              <w:left w:val="single" w:sz="4" w:space="0" w:color="auto"/>
            </w:tcBorders>
            <w:vAlign w:val="center"/>
          </w:tcPr>
          <w:p w:rsidR="004B00B9" w:rsidRPr="009114DF" w:rsidRDefault="004B00B9" w:rsidP="00F71B34">
            <w:pPr>
              <w:spacing w:after="0" w:line="360" w:lineRule="auto"/>
              <w:ind w:firstLine="73"/>
              <w:jc w:val="center"/>
              <w:rPr>
                <w:rFonts w:ascii="Times New Roman" w:hAnsi="Times New Roman"/>
                <w:sz w:val="24"/>
                <w:szCs w:val="24"/>
              </w:rPr>
            </w:pPr>
            <w:r w:rsidRPr="009114DF">
              <w:rPr>
                <w:rFonts w:ascii="Times New Roman" w:hAnsi="Times New Roman"/>
                <w:sz w:val="24"/>
                <w:szCs w:val="24"/>
              </w:rPr>
              <w:t>≥10</w:t>
            </w:r>
          </w:p>
        </w:tc>
        <w:tc>
          <w:tcPr>
            <w:tcW w:w="633" w:type="pct"/>
            <w:vAlign w:val="center"/>
          </w:tcPr>
          <w:p w:rsidR="004B00B9" w:rsidRPr="009114DF" w:rsidRDefault="00BB52F5" w:rsidP="00F71B34">
            <w:pPr>
              <w:spacing w:after="0" w:line="360" w:lineRule="auto"/>
              <w:jc w:val="center"/>
              <w:rPr>
                <w:rFonts w:ascii="Times New Roman" w:hAnsi="Times New Roman"/>
                <w:sz w:val="24"/>
                <w:szCs w:val="24"/>
              </w:rPr>
            </w:pPr>
            <w:r w:rsidRPr="009114DF">
              <w:rPr>
                <w:rFonts w:ascii="Times New Roman" w:hAnsi="Times New Roman"/>
                <w:sz w:val="24"/>
                <w:szCs w:val="24"/>
              </w:rPr>
              <w:t>32</w:t>
            </w:r>
          </w:p>
        </w:tc>
        <w:tc>
          <w:tcPr>
            <w:tcW w:w="518" w:type="pct"/>
            <w:vAlign w:val="center"/>
          </w:tcPr>
          <w:p w:rsidR="004B00B9" w:rsidRPr="009114DF" w:rsidRDefault="00EF20A8" w:rsidP="00F71B34">
            <w:pPr>
              <w:spacing w:after="0" w:line="360" w:lineRule="auto"/>
              <w:jc w:val="center"/>
              <w:rPr>
                <w:rFonts w:ascii="Times New Roman" w:hAnsi="Times New Roman"/>
                <w:sz w:val="24"/>
                <w:szCs w:val="24"/>
              </w:rPr>
            </w:pPr>
            <w:r w:rsidRPr="009114DF">
              <w:rPr>
                <w:rFonts w:ascii="Times New Roman" w:hAnsi="Times New Roman"/>
                <w:sz w:val="24"/>
                <w:szCs w:val="24"/>
              </w:rPr>
              <w:t>72,8</w:t>
            </w:r>
          </w:p>
        </w:tc>
        <w:tc>
          <w:tcPr>
            <w:tcW w:w="584" w:type="pct"/>
            <w:vAlign w:val="center"/>
          </w:tcPr>
          <w:p w:rsidR="004B00B9" w:rsidRPr="009114DF" w:rsidRDefault="00BB52F5" w:rsidP="00F71B34">
            <w:pPr>
              <w:spacing w:after="0" w:line="360" w:lineRule="auto"/>
              <w:jc w:val="center"/>
              <w:rPr>
                <w:rFonts w:ascii="Times New Roman" w:hAnsi="Times New Roman"/>
                <w:sz w:val="24"/>
                <w:szCs w:val="24"/>
              </w:rPr>
            </w:pPr>
            <w:r w:rsidRPr="009114DF">
              <w:rPr>
                <w:rFonts w:ascii="Times New Roman" w:hAnsi="Times New Roman"/>
                <w:sz w:val="24"/>
                <w:szCs w:val="24"/>
              </w:rPr>
              <w:t>19</w:t>
            </w:r>
          </w:p>
        </w:tc>
        <w:tc>
          <w:tcPr>
            <w:tcW w:w="657" w:type="pct"/>
            <w:vAlign w:val="center"/>
          </w:tcPr>
          <w:p w:rsidR="004B00B9" w:rsidRPr="009114DF" w:rsidRDefault="009B496B" w:rsidP="00F71B34">
            <w:pPr>
              <w:spacing w:after="0" w:line="360" w:lineRule="auto"/>
              <w:jc w:val="center"/>
              <w:rPr>
                <w:rFonts w:ascii="Times New Roman" w:hAnsi="Times New Roman"/>
                <w:sz w:val="24"/>
                <w:szCs w:val="24"/>
              </w:rPr>
            </w:pPr>
            <w:r w:rsidRPr="009114DF">
              <w:rPr>
                <w:rFonts w:ascii="Times New Roman" w:hAnsi="Times New Roman"/>
                <w:sz w:val="24"/>
                <w:szCs w:val="24"/>
              </w:rPr>
              <w:t>54,3</w:t>
            </w:r>
          </w:p>
        </w:tc>
      </w:tr>
      <w:tr w:rsidR="00610F36" w:rsidRPr="009114DF" w:rsidTr="00E019EA">
        <w:trPr>
          <w:trHeight w:val="397"/>
          <w:jc w:val="center"/>
        </w:trPr>
        <w:tc>
          <w:tcPr>
            <w:tcW w:w="1369" w:type="pct"/>
            <w:vMerge w:val="restar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Иммунологическая характеристика</w:t>
            </w:r>
          </w:p>
        </w:tc>
        <w:tc>
          <w:tcPr>
            <w:tcW w:w="1239" w:type="pct"/>
            <w:vAlign w:val="center"/>
          </w:tcPr>
          <w:p w:rsidR="004B00B9" w:rsidRPr="009114DF" w:rsidRDefault="00D71286"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с</w:t>
            </w:r>
            <w:r w:rsidR="00381CED" w:rsidRPr="009114DF">
              <w:rPr>
                <w:rFonts w:ascii="Times New Roman" w:eastAsia="Times New Roman" w:hAnsi="Times New Roman"/>
                <w:sz w:val="24"/>
                <w:szCs w:val="24"/>
                <w:lang w:eastAsia="ru-RU"/>
              </w:rPr>
              <w:t>еропозитив</w:t>
            </w:r>
            <w:r w:rsidR="00A2664D" w:rsidRPr="009114DF">
              <w:rPr>
                <w:rFonts w:ascii="Times New Roman" w:eastAsia="Times New Roman" w:hAnsi="Times New Roman"/>
                <w:sz w:val="24"/>
                <w:szCs w:val="24"/>
                <w:lang w:eastAsia="ru-RU"/>
              </w:rPr>
              <w:t>ные</w:t>
            </w:r>
          </w:p>
        </w:tc>
        <w:tc>
          <w:tcPr>
            <w:tcW w:w="633" w:type="pct"/>
            <w:vAlign w:val="center"/>
          </w:tcPr>
          <w:p w:rsidR="004B00B9" w:rsidRPr="009114DF" w:rsidRDefault="00BB52F5"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40</w:t>
            </w:r>
          </w:p>
        </w:tc>
        <w:tc>
          <w:tcPr>
            <w:tcW w:w="518" w:type="pct"/>
            <w:vAlign w:val="center"/>
          </w:tcPr>
          <w:p w:rsidR="004B00B9" w:rsidRPr="009114DF" w:rsidRDefault="009B496B"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90,9</w:t>
            </w:r>
          </w:p>
        </w:tc>
        <w:tc>
          <w:tcPr>
            <w:tcW w:w="584" w:type="pct"/>
            <w:vAlign w:val="center"/>
          </w:tcPr>
          <w:p w:rsidR="004B00B9" w:rsidRPr="009114DF" w:rsidRDefault="00BB52F5"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31</w:t>
            </w:r>
          </w:p>
        </w:tc>
        <w:tc>
          <w:tcPr>
            <w:tcW w:w="657"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8</w:t>
            </w:r>
            <w:r w:rsidR="009B496B" w:rsidRPr="009114DF">
              <w:rPr>
                <w:rFonts w:ascii="Times New Roman" w:eastAsia="Times New Roman" w:hAnsi="Times New Roman"/>
                <w:sz w:val="24"/>
                <w:szCs w:val="24"/>
                <w:lang w:eastAsia="ru-RU"/>
              </w:rPr>
              <w:t>8,6</w:t>
            </w:r>
          </w:p>
        </w:tc>
      </w:tr>
      <w:tr w:rsidR="00610F36" w:rsidRPr="009114DF" w:rsidTr="00E019EA">
        <w:trPr>
          <w:trHeight w:val="397"/>
          <w:jc w:val="center"/>
        </w:trPr>
        <w:tc>
          <w:tcPr>
            <w:tcW w:w="1369" w:type="pct"/>
            <w:vMerge/>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p>
        </w:tc>
        <w:tc>
          <w:tcPr>
            <w:tcW w:w="1239" w:type="pct"/>
            <w:vAlign w:val="center"/>
          </w:tcPr>
          <w:p w:rsidR="004B00B9" w:rsidRPr="009114DF" w:rsidRDefault="00D71286"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с</w:t>
            </w:r>
            <w:r w:rsidR="00381CED" w:rsidRPr="009114DF">
              <w:rPr>
                <w:rFonts w:ascii="Times New Roman" w:eastAsia="Times New Roman" w:hAnsi="Times New Roman"/>
                <w:sz w:val="24"/>
                <w:szCs w:val="24"/>
                <w:lang w:eastAsia="ru-RU"/>
              </w:rPr>
              <w:t>еронегативные</w:t>
            </w:r>
          </w:p>
        </w:tc>
        <w:tc>
          <w:tcPr>
            <w:tcW w:w="633" w:type="pct"/>
            <w:vAlign w:val="center"/>
          </w:tcPr>
          <w:p w:rsidR="004B00B9" w:rsidRPr="009114DF" w:rsidRDefault="00BB52F5"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c>
          <w:tcPr>
            <w:tcW w:w="518" w:type="pct"/>
            <w:vAlign w:val="center"/>
          </w:tcPr>
          <w:p w:rsidR="004B00B9" w:rsidRPr="009114DF" w:rsidRDefault="009B496B"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9,1</w:t>
            </w:r>
          </w:p>
        </w:tc>
        <w:tc>
          <w:tcPr>
            <w:tcW w:w="584" w:type="pct"/>
            <w:vAlign w:val="center"/>
          </w:tcPr>
          <w:p w:rsidR="004B00B9" w:rsidRPr="009114DF" w:rsidRDefault="00BB52F5"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c>
          <w:tcPr>
            <w:tcW w:w="657" w:type="pct"/>
            <w:vAlign w:val="center"/>
          </w:tcPr>
          <w:p w:rsidR="004B00B9" w:rsidRPr="009114DF" w:rsidRDefault="009B496B"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11,4</w:t>
            </w:r>
          </w:p>
        </w:tc>
      </w:tr>
      <w:tr w:rsidR="00610F36" w:rsidRPr="009114DF" w:rsidTr="00E019EA">
        <w:trPr>
          <w:trHeight w:val="397"/>
          <w:jc w:val="center"/>
        </w:trPr>
        <w:tc>
          <w:tcPr>
            <w:tcW w:w="1369" w:type="pct"/>
            <w:vMerge w:val="restar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Степень активности</w:t>
            </w: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p>
        </w:tc>
        <w:tc>
          <w:tcPr>
            <w:tcW w:w="633" w:type="pct"/>
            <w:vAlign w:val="center"/>
          </w:tcPr>
          <w:p w:rsidR="004B00B9" w:rsidRPr="009114DF" w:rsidRDefault="00BB52F5"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5</w:t>
            </w:r>
          </w:p>
        </w:tc>
        <w:tc>
          <w:tcPr>
            <w:tcW w:w="518" w:type="pct"/>
            <w:vAlign w:val="center"/>
          </w:tcPr>
          <w:p w:rsidR="004B00B9" w:rsidRPr="009114DF" w:rsidRDefault="009B496B"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r w:rsidR="0053052A" w:rsidRPr="009114DF">
              <w:rPr>
                <w:rFonts w:ascii="Times New Roman" w:eastAsia="Times New Roman" w:hAnsi="Times New Roman"/>
                <w:sz w:val="24"/>
                <w:szCs w:val="24"/>
                <w:lang w:eastAsia="ru-RU"/>
              </w:rPr>
              <w:t>1</w:t>
            </w:r>
            <w:r w:rsidRPr="009114DF">
              <w:rPr>
                <w:rFonts w:ascii="Times New Roman" w:eastAsia="Times New Roman" w:hAnsi="Times New Roman"/>
                <w:sz w:val="24"/>
                <w:szCs w:val="24"/>
                <w:lang w:eastAsia="ru-RU"/>
              </w:rPr>
              <w:t>,4</w:t>
            </w:r>
          </w:p>
        </w:tc>
        <w:tc>
          <w:tcPr>
            <w:tcW w:w="584" w:type="pct"/>
            <w:vAlign w:val="center"/>
          </w:tcPr>
          <w:p w:rsidR="004B00B9" w:rsidRPr="009114DF" w:rsidRDefault="00BB52F5"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5</w:t>
            </w:r>
          </w:p>
        </w:tc>
        <w:tc>
          <w:tcPr>
            <w:tcW w:w="657"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r w:rsidR="00610F36" w:rsidRPr="009114DF">
              <w:rPr>
                <w:rFonts w:ascii="Times New Roman" w:eastAsia="Times New Roman" w:hAnsi="Times New Roman"/>
                <w:sz w:val="24"/>
                <w:szCs w:val="24"/>
                <w:lang w:eastAsia="ru-RU"/>
              </w:rPr>
              <w:t>4,3</w:t>
            </w:r>
          </w:p>
        </w:tc>
      </w:tr>
      <w:tr w:rsidR="00610F36" w:rsidRPr="009114DF" w:rsidTr="00E019EA">
        <w:trPr>
          <w:trHeight w:val="397"/>
          <w:jc w:val="center"/>
        </w:trPr>
        <w:tc>
          <w:tcPr>
            <w:tcW w:w="1369" w:type="pct"/>
            <w:vMerge/>
            <w:vAlign w:val="center"/>
          </w:tcPr>
          <w:p w:rsidR="004B00B9" w:rsidRPr="009114DF" w:rsidRDefault="004B00B9" w:rsidP="00F71B34">
            <w:pPr>
              <w:spacing w:after="0" w:line="360" w:lineRule="auto"/>
              <w:jc w:val="center"/>
              <w:rPr>
                <w:rFonts w:ascii="Times New Roman" w:eastAsia="Times New Roman" w:hAnsi="Times New Roman"/>
                <w:b/>
                <w:sz w:val="24"/>
                <w:szCs w:val="24"/>
                <w:lang w:eastAsia="ru-RU"/>
              </w:rPr>
            </w:pP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w:t>
            </w:r>
          </w:p>
        </w:tc>
        <w:tc>
          <w:tcPr>
            <w:tcW w:w="633" w:type="pct"/>
            <w:vAlign w:val="center"/>
          </w:tcPr>
          <w:p w:rsidR="004B00B9" w:rsidRPr="009114DF" w:rsidRDefault="00BB52F5" w:rsidP="00F71B34">
            <w:pPr>
              <w:spacing w:after="0" w:line="360" w:lineRule="auto"/>
              <w:jc w:val="center"/>
              <w:rPr>
                <w:rFonts w:ascii="Times New Roman" w:hAnsi="Times New Roman"/>
                <w:sz w:val="24"/>
                <w:szCs w:val="24"/>
              </w:rPr>
            </w:pPr>
            <w:r w:rsidRPr="009114DF">
              <w:rPr>
                <w:rFonts w:ascii="Times New Roman" w:hAnsi="Times New Roman"/>
                <w:sz w:val="24"/>
                <w:szCs w:val="24"/>
              </w:rPr>
              <w:t>13</w:t>
            </w:r>
          </w:p>
        </w:tc>
        <w:tc>
          <w:tcPr>
            <w:tcW w:w="518" w:type="pct"/>
            <w:vAlign w:val="center"/>
          </w:tcPr>
          <w:p w:rsidR="004B00B9" w:rsidRPr="009114DF" w:rsidRDefault="009B496B" w:rsidP="00F71B34">
            <w:pPr>
              <w:spacing w:after="0" w:line="360" w:lineRule="auto"/>
              <w:jc w:val="center"/>
              <w:rPr>
                <w:rFonts w:ascii="Times New Roman" w:hAnsi="Times New Roman"/>
                <w:sz w:val="24"/>
                <w:szCs w:val="24"/>
              </w:rPr>
            </w:pPr>
            <w:r w:rsidRPr="009114DF">
              <w:rPr>
                <w:rFonts w:ascii="Times New Roman" w:hAnsi="Times New Roman"/>
                <w:sz w:val="24"/>
                <w:szCs w:val="24"/>
              </w:rPr>
              <w:t>29,5</w:t>
            </w:r>
          </w:p>
        </w:tc>
        <w:tc>
          <w:tcPr>
            <w:tcW w:w="584" w:type="pct"/>
            <w:vAlign w:val="center"/>
          </w:tcPr>
          <w:p w:rsidR="004B00B9" w:rsidRPr="009114DF" w:rsidRDefault="00DE6691" w:rsidP="00F71B34">
            <w:pPr>
              <w:spacing w:after="0" w:line="360" w:lineRule="auto"/>
              <w:jc w:val="center"/>
              <w:rPr>
                <w:rFonts w:ascii="Times New Roman" w:hAnsi="Times New Roman"/>
                <w:sz w:val="24"/>
                <w:szCs w:val="24"/>
              </w:rPr>
            </w:pPr>
            <w:r w:rsidRPr="009114DF">
              <w:rPr>
                <w:rFonts w:ascii="Times New Roman" w:hAnsi="Times New Roman"/>
                <w:sz w:val="24"/>
                <w:szCs w:val="24"/>
              </w:rPr>
              <w:t>13</w:t>
            </w:r>
          </w:p>
        </w:tc>
        <w:tc>
          <w:tcPr>
            <w:tcW w:w="657" w:type="pct"/>
            <w:vAlign w:val="center"/>
          </w:tcPr>
          <w:p w:rsidR="004B00B9" w:rsidRPr="009114DF" w:rsidRDefault="00610F36" w:rsidP="00F71B34">
            <w:pPr>
              <w:spacing w:after="0" w:line="360" w:lineRule="auto"/>
              <w:jc w:val="center"/>
              <w:rPr>
                <w:rFonts w:ascii="Times New Roman" w:hAnsi="Times New Roman"/>
                <w:sz w:val="24"/>
                <w:szCs w:val="24"/>
              </w:rPr>
            </w:pPr>
            <w:r w:rsidRPr="009114DF">
              <w:rPr>
                <w:rFonts w:ascii="Times New Roman" w:hAnsi="Times New Roman"/>
                <w:sz w:val="24"/>
                <w:szCs w:val="24"/>
              </w:rPr>
              <w:t>37,1</w:t>
            </w:r>
          </w:p>
        </w:tc>
      </w:tr>
      <w:tr w:rsidR="00610F36" w:rsidRPr="009114DF" w:rsidTr="00E019EA">
        <w:trPr>
          <w:trHeight w:val="397"/>
          <w:jc w:val="center"/>
        </w:trPr>
        <w:tc>
          <w:tcPr>
            <w:tcW w:w="1369" w:type="pct"/>
            <w:vMerge/>
            <w:vAlign w:val="center"/>
          </w:tcPr>
          <w:p w:rsidR="004B00B9" w:rsidRPr="009114DF" w:rsidRDefault="004B00B9" w:rsidP="00F71B34">
            <w:pPr>
              <w:spacing w:after="0" w:line="360" w:lineRule="auto"/>
              <w:jc w:val="center"/>
              <w:rPr>
                <w:rFonts w:ascii="Times New Roman" w:eastAsia="Times New Roman" w:hAnsi="Times New Roman"/>
                <w:b/>
                <w:sz w:val="24"/>
                <w:szCs w:val="24"/>
                <w:lang w:eastAsia="ru-RU"/>
              </w:rPr>
            </w:pP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w:t>
            </w:r>
          </w:p>
        </w:tc>
        <w:tc>
          <w:tcPr>
            <w:tcW w:w="633" w:type="pct"/>
            <w:vAlign w:val="center"/>
          </w:tcPr>
          <w:p w:rsidR="004B00B9" w:rsidRPr="009114DF" w:rsidRDefault="00BB52F5" w:rsidP="00F71B34">
            <w:pPr>
              <w:spacing w:after="0" w:line="360" w:lineRule="auto"/>
              <w:jc w:val="center"/>
              <w:rPr>
                <w:rFonts w:ascii="Times New Roman" w:hAnsi="Times New Roman"/>
                <w:sz w:val="24"/>
                <w:szCs w:val="24"/>
              </w:rPr>
            </w:pPr>
            <w:r w:rsidRPr="009114DF">
              <w:rPr>
                <w:rFonts w:ascii="Times New Roman" w:hAnsi="Times New Roman"/>
                <w:sz w:val="24"/>
                <w:szCs w:val="24"/>
              </w:rPr>
              <w:t>26</w:t>
            </w:r>
          </w:p>
        </w:tc>
        <w:tc>
          <w:tcPr>
            <w:tcW w:w="518" w:type="pct"/>
            <w:vAlign w:val="center"/>
          </w:tcPr>
          <w:p w:rsidR="004B00B9" w:rsidRPr="009114DF" w:rsidRDefault="0053052A" w:rsidP="00F71B34">
            <w:pPr>
              <w:spacing w:after="0" w:line="360" w:lineRule="auto"/>
              <w:jc w:val="center"/>
              <w:rPr>
                <w:rFonts w:ascii="Times New Roman" w:hAnsi="Times New Roman"/>
                <w:sz w:val="24"/>
                <w:szCs w:val="24"/>
              </w:rPr>
            </w:pPr>
            <w:r w:rsidRPr="009114DF">
              <w:rPr>
                <w:rFonts w:ascii="Times New Roman" w:hAnsi="Times New Roman"/>
                <w:sz w:val="24"/>
                <w:szCs w:val="24"/>
              </w:rPr>
              <w:t>5</w:t>
            </w:r>
            <w:r w:rsidR="009B496B" w:rsidRPr="009114DF">
              <w:rPr>
                <w:rFonts w:ascii="Times New Roman" w:hAnsi="Times New Roman"/>
                <w:sz w:val="24"/>
                <w:szCs w:val="24"/>
              </w:rPr>
              <w:t>9,1</w:t>
            </w:r>
          </w:p>
        </w:tc>
        <w:tc>
          <w:tcPr>
            <w:tcW w:w="584" w:type="pct"/>
            <w:vAlign w:val="center"/>
          </w:tcPr>
          <w:p w:rsidR="004B00B9" w:rsidRPr="009114DF" w:rsidRDefault="0053052A" w:rsidP="00F71B34">
            <w:pPr>
              <w:spacing w:after="0" w:line="360" w:lineRule="auto"/>
              <w:jc w:val="center"/>
              <w:rPr>
                <w:rFonts w:ascii="Times New Roman" w:hAnsi="Times New Roman"/>
                <w:sz w:val="24"/>
                <w:szCs w:val="24"/>
              </w:rPr>
            </w:pPr>
            <w:r w:rsidRPr="009114DF">
              <w:rPr>
                <w:rFonts w:ascii="Times New Roman" w:hAnsi="Times New Roman"/>
                <w:sz w:val="24"/>
                <w:szCs w:val="24"/>
              </w:rPr>
              <w:t>17</w:t>
            </w:r>
          </w:p>
        </w:tc>
        <w:tc>
          <w:tcPr>
            <w:tcW w:w="657" w:type="pct"/>
            <w:vAlign w:val="center"/>
          </w:tcPr>
          <w:p w:rsidR="004B00B9" w:rsidRPr="009114DF" w:rsidRDefault="0053052A" w:rsidP="00F71B34">
            <w:pPr>
              <w:spacing w:after="0" w:line="360" w:lineRule="auto"/>
              <w:jc w:val="center"/>
              <w:rPr>
                <w:rFonts w:ascii="Times New Roman" w:hAnsi="Times New Roman"/>
                <w:sz w:val="24"/>
                <w:szCs w:val="24"/>
              </w:rPr>
            </w:pPr>
            <w:r w:rsidRPr="009114DF">
              <w:rPr>
                <w:rFonts w:ascii="Times New Roman" w:hAnsi="Times New Roman"/>
                <w:sz w:val="24"/>
                <w:szCs w:val="24"/>
              </w:rPr>
              <w:t>4</w:t>
            </w:r>
            <w:r w:rsidR="00610F36" w:rsidRPr="009114DF">
              <w:rPr>
                <w:rFonts w:ascii="Times New Roman" w:hAnsi="Times New Roman"/>
                <w:sz w:val="24"/>
                <w:szCs w:val="24"/>
              </w:rPr>
              <w:t>8,6</w:t>
            </w:r>
          </w:p>
        </w:tc>
      </w:tr>
      <w:tr w:rsidR="00610F36" w:rsidRPr="009114DF" w:rsidTr="00E019EA">
        <w:trPr>
          <w:trHeight w:val="397"/>
          <w:jc w:val="center"/>
        </w:trPr>
        <w:tc>
          <w:tcPr>
            <w:tcW w:w="1369" w:type="pct"/>
            <w:vMerge w:val="restart"/>
            <w:vAlign w:val="center"/>
          </w:tcPr>
          <w:p w:rsidR="004B00B9" w:rsidRPr="009114DF" w:rsidRDefault="004B00B9"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eastAsia="ru-RU"/>
              </w:rPr>
              <w:t>Рентгенологическая стадия</w:t>
            </w: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w:t>
            </w:r>
          </w:p>
        </w:tc>
        <w:tc>
          <w:tcPr>
            <w:tcW w:w="633" w:type="pct"/>
            <w:vAlign w:val="center"/>
          </w:tcPr>
          <w:p w:rsidR="004B00B9" w:rsidRPr="009114DF" w:rsidRDefault="00BB52F5" w:rsidP="00F71B34">
            <w:pPr>
              <w:spacing w:after="0" w:line="360" w:lineRule="auto"/>
              <w:jc w:val="center"/>
              <w:rPr>
                <w:rFonts w:ascii="Times New Roman" w:hAnsi="Times New Roman"/>
                <w:sz w:val="24"/>
                <w:szCs w:val="24"/>
              </w:rPr>
            </w:pPr>
            <w:r w:rsidRPr="009114DF">
              <w:rPr>
                <w:rFonts w:ascii="Times New Roman" w:hAnsi="Times New Roman"/>
                <w:sz w:val="24"/>
                <w:szCs w:val="24"/>
              </w:rPr>
              <w:t>1</w:t>
            </w:r>
          </w:p>
        </w:tc>
        <w:tc>
          <w:tcPr>
            <w:tcW w:w="518" w:type="pct"/>
            <w:vAlign w:val="center"/>
          </w:tcPr>
          <w:p w:rsidR="004B00B9" w:rsidRPr="009114DF" w:rsidRDefault="00610F36" w:rsidP="00F71B34">
            <w:pPr>
              <w:spacing w:after="0" w:line="360" w:lineRule="auto"/>
              <w:jc w:val="center"/>
              <w:rPr>
                <w:rFonts w:ascii="Times New Roman" w:hAnsi="Times New Roman"/>
                <w:sz w:val="24"/>
                <w:szCs w:val="24"/>
              </w:rPr>
            </w:pPr>
            <w:r w:rsidRPr="009114DF">
              <w:rPr>
                <w:rFonts w:ascii="Times New Roman" w:hAnsi="Times New Roman"/>
                <w:sz w:val="24"/>
                <w:szCs w:val="24"/>
              </w:rPr>
              <w:t>2,3</w:t>
            </w:r>
          </w:p>
        </w:tc>
        <w:tc>
          <w:tcPr>
            <w:tcW w:w="584" w:type="pct"/>
            <w:vAlign w:val="center"/>
          </w:tcPr>
          <w:p w:rsidR="004B00B9" w:rsidRPr="009114DF" w:rsidRDefault="00DE6691" w:rsidP="00F71B34">
            <w:pPr>
              <w:spacing w:after="0" w:line="360" w:lineRule="auto"/>
              <w:jc w:val="center"/>
              <w:rPr>
                <w:rFonts w:ascii="Times New Roman" w:hAnsi="Times New Roman"/>
                <w:sz w:val="24"/>
                <w:szCs w:val="24"/>
              </w:rPr>
            </w:pPr>
            <w:r w:rsidRPr="009114DF">
              <w:rPr>
                <w:rFonts w:ascii="Times New Roman" w:hAnsi="Times New Roman"/>
                <w:sz w:val="24"/>
                <w:szCs w:val="24"/>
              </w:rPr>
              <w:t>4</w:t>
            </w:r>
          </w:p>
        </w:tc>
        <w:tc>
          <w:tcPr>
            <w:tcW w:w="657"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1</w:t>
            </w:r>
            <w:r w:rsidR="00610F36" w:rsidRPr="009114DF">
              <w:rPr>
                <w:rFonts w:ascii="Times New Roman" w:hAnsi="Times New Roman"/>
                <w:sz w:val="24"/>
                <w:szCs w:val="24"/>
              </w:rPr>
              <w:t>1,4</w:t>
            </w:r>
          </w:p>
        </w:tc>
      </w:tr>
      <w:tr w:rsidR="00610F36" w:rsidRPr="009114DF" w:rsidTr="00E019EA">
        <w:trPr>
          <w:trHeight w:val="397"/>
          <w:jc w:val="center"/>
        </w:trPr>
        <w:tc>
          <w:tcPr>
            <w:tcW w:w="1369" w:type="pct"/>
            <w:vMerge/>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w:t>
            </w:r>
          </w:p>
        </w:tc>
        <w:tc>
          <w:tcPr>
            <w:tcW w:w="633" w:type="pct"/>
            <w:vAlign w:val="center"/>
          </w:tcPr>
          <w:p w:rsidR="004B00B9" w:rsidRPr="009114DF" w:rsidRDefault="00BB52F5" w:rsidP="00F71B34">
            <w:pPr>
              <w:spacing w:after="0" w:line="360" w:lineRule="auto"/>
              <w:jc w:val="center"/>
              <w:rPr>
                <w:rFonts w:ascii="Times New Roman" w:hAnsi="Times New Roman"/>
                <w:sz w:val="24"/>
                <w:szCs w:val="24"/>
              </w:rPr>
            </w:pPr>
            <w:r w:rsidRPr="009114DF">
              <w:rPr>
                <w:rFonts w:ascii="Times New Roman" w:hAnsi="Times New Roman"/>
                <w:sz w:val="24"/>
                <w:szCs w:val="24"/>
              </w:rPr>
              <w:t>16</w:t>
            </w:r>
          </w:p>
        </w:tc>
        <w:tc>
          <w:tcPr>
            <w:tcW w:w="518"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36,</w:t>
            </w:r>
            <w:r w:rsidR="00610F36" w:rsidRPr="009114DF">
              <w:rPr>
                <w:rFonts w:ascii="Times New Roman" w:hAnsi="Times New Roman"/>
                <w:sz w:val="24"/>
                <w:szCs w:val="24"/>
              </w:rPr>
              <w:t>4</w:t>
            </w:r>
          </w:p>
        </w:tc>
        <w:tc>
          <w:tcPr>
            <w:tcW w:w="584" w:type="pct"/>
            <w:vAlign w:val="center"/>
          </w:tcPr>
          <w:p w:rsidR="004B00B9" w:rsidRPr="009114DF" w:rsidRDefault="00DE6691" w:rsidP="00F71B34">
            <w:pPr>
              <w:spacing w:after="0" w:line="360" w:lineRule="auto"/>
              <w:jc w:val="center"/>
              <w:rPr>
                <w:rFonts w:ascii="Times New Roman" w:hAnsi="Times New Roman"/>
                <w:sz w:val="24"/>
                <w:szCs w:val="24"/>
              </w:rPr>
            </w:pPr>
            <w:r w:rsidRPr="009114DF">
              <w:rPr>
                <w:rFonts w:ascii="Times New Roman" w:hAnsi="Times New Roman"/>
                <w:sz w:val="24"/>
                <w:szCs w:val="24"/>
              </w:rPr>
              <w:t>12</w:t>
            </w:r>
          </w:p>
        </w:tc>
        <w:tc>
          <w:tcPr>
            <w:tcW w:w="657"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3</w:t>
            </w:r>
            <w:r w:rsidR="00610F36" w:rsidRPr="009114DF">
              <w:rPr>
                <w:rFonts w:ascii="Times New Roman" w:hAnsi="Times New Roman"/>
                <w:sz w:val="24"/>
                <w:szCs w:val="24"/>
              </w:rPr>
              <w:t>4,3</w:t>
            </w:r>
          </w:p>
        </w:tc>
      </w:tr>
      <w:tr w:rsidR="00610F36" w:rsidRPr="009114DF" w:rsidTr="00E019EA">
        <w:trPr>
          <w:trHeight w:val="397"/>
          <w:jc w:val="center"/>
        </w:trPr>
        <w:tc>
          <w:tcPr>
            <w:tcW w:w="1369" w:type="pct"/>
            <w:vMerge/>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III</w:t>
            </w:r>
          </w:p>
        </w:tc>
        <w:tc>
          <w:tcPr>
            <w:tcW w:w="633" w:type="pct"/>
            <w:vAlign w:val="center"/>
          </w:tcPr>
          <w:p w:rsidR="004B00B9" w:rsidRPr="009114DF" w:rsidRDefault="00BB52F5" w:rsidP="00F71B34">
            <w:pPr>
              <w:spacing w:after="0" w:line="360" w:lineRule="auto"/>
              <w:jc w:val="center"/>
              <w:rPr>
                <w:rFonts w:ascii="Times New Roman" w:hAnsi="Times New Roman"/>
                <w:sz w:val="24"/>
                <w:szCs w:val="24"/>
              </w:rPr>
            </w:pPr>
            <w:r w:rsidRPr="009114DF">
              <w:rPr>
                <w:rFonts w:ascii="Times New Roman" w:hAnsi="Times New Roman"/>
                <w:sz w:val="24"/>
                <w:szCs w:val="24"/>
              </w:rPr>
              <w:t>18</w:t>
            </w:r>
          </w:p>
        </w:tc>
        <w:tc>
          <w:tcPr>
            <w:tcW w:w="518" w:type="pct"/>
            <w:vAlign w:val="center"/>
          </w:tcPr>
          <w:p w:rsidR="004B00B9" w:rsidRPr="009114DF" w:rsidRDefault="00610F36" w:rsidP="00F71B34">
            <w:pPr>
              <w:spacing w:after="0" w:line="360" w:lineRule="auto"/>
              <w:jc w:val="center"/>
              <w:rPr>
                <w:rFonts w:ascii="Times New Roman" w:hAnsi="Times New Roman"/>
                <w:sz w:val="24"/>
                <w:szCs w:val="24"/>
              </w:rPr>
            </w:pPr>
            <w:r w:rsidRPr="009114DF">
              <w:rPr>
                <w:rFonts w:ascii="Times New Roman" w:hAnsi="Times New Roman"/>
                <w:sz w:val="24"/>
                <w:szCs w:val="24"/>
              </w:rPr>
              <w:t>40,9</w:t>
            </w:r>
          </w:p>
        </w:tc>
        <w:tc>
          <w:tcPr>
            <w:tcW w:w="584" w:type="pct"/>
            <w:vAlign w:val="center"/>
          </w:tcPr>
          <w:p w:rsidR="004B00B9" w:rsidRPr="009114DF" w:rsidRDefault="00DE6691" w:rsidP="00F71B34">
            <w:pPr>
              <w:spacing w:after="0" w:line="360" w:lineRule="auto"/>
              <w:jc w:val="center"/>
              <w:rPr>
                <w:rFonts w:ascii="Times New Roman" w:hAnsi="Times New Roman"/>
                <w:sz w:val="24"/>
                <w:szCs w:val="24"/>
              </w:rPr>
            </w:pPr>
            <w:r w:rsidRPr="009114DF">
              <w:rPr>
                <w:rFonts w:ascii="Times New Roman" w:hAnsi="Times New Roman"/>
                <w:sz w:val="24"/>
                <w:szCs w:val="24"/>
              </w:rPr>
              <w:t>16</w:t>
            </w:r>
          </w:p>
        </w:tc>
        <w:tc>
          <w:tcPr>
            <w:tcW w:w="657" w:type="pct"/>
            <w:vAlign w:val="center"/>
          </w:tcPr>
          <w:p w:rsidR="004B00B9" w:rsidRPr="009114DF" w:rsidRDefault="0053052A" w:rsidP="00F71B34">
            <w:pPr>
              <w:spacing w:after="0" w:line="360" w:lineRule="auto"/>
              <w:jc w:val="center"/>
              <w:rPr>
                <w:rFonts w:ascii="Times New Roman" w:hAnsi="Times New Roman"/>
                <w:sz w:val="24"/>
                <w:szCs w:val="24"/>
              </w:rPr>
            </w:pPr>
            <w:r w:rsidRPr="009114DF">
              <w:rPr>
                <w:rFonts w:ascii="Times New Roman" w:hAnsi="Times New Roman"/>
                <w:sz w:val="24"/>
                <w:szCs w:val="24"/>
              </w:rPr>
              <w:t>4</w:t>
            </w:r>
            <w:r w:rsidR="00610F36" w:rsidRPr="009114DF">
              <w:rPr>
                <w:rFonts w:ascii="Times New Roman" w:hAnsi="Times New Roman"/>
                <w:sz w:val="24"/>
                <w:szCs w:val="24"/>
              </w:rPr>
              <w:t>5,7</w:t>
            </w:r>
          </w:p>
        </w:tc>
      </w:tr>
      <w:tr w:rsidR="00610F36" w:rsidRPr="009114DF" w:rsidTr="00E019EA">
        <w:trPr>
          <w:trHeight w:val="397"/>
          <w:jc w:val="center"/>
        </w:trPr>
        <w:tc>
          <w:tcPr>
            <w:tcW w:w="1369" w:type="pct"/>
            <w:vMerge/>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IV</w:t>
            </w:r>
          </w:p>
        </w:tc>
        <w:tc>
          <w:tcPr>
            <w:tcW w:w="633"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9</w:t>
            </w:r>
          </w:p>
        </w:tc>
        <w:tc>
          <w:tcPr>
            <w:tcW w:w="518" w:type="pct"/>
            <w:vAlign w:val="center"/>
          </w:tcPr>
          <w:p w:rsidR="004B00B9" w:rsidRPr="009114DF" w:rsidRDefault="00610F36" w:rsidP="00F71B34">
            <w:pPr>
              <w:spacing w:after="0" w:line="360" w:lineRule="auto"/>
              <w:jc w:val="center"/>
              <w:rPr>
                <w:rFonts w:ascii="Times New Roman" w:hAnsi="Times New Roman"/>
                <w:sz w:val="24"/>
                <w:szCs w:val="24"/>
              </w:rPr>
            </w:pPr>
            <w:r w:rsidRPr="009114DF">
              <w:rPr>
                <w:rFonts w:ascii="Times New Roman" w:hAnsi="Times New Roman"/>
                <w:sz w:val="24"/>
                <w:szCs w:val="24"/>
              </w:rPr>
              <w:t>20,4</w:t>
            </w:r>
          </w:p>
        </w:tc>
        <w:tc>
          <w:tcPr>
            <w:tcW w:w="584"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3</w:t>
            </w:r>
          </w:p>
        </w:tc>
        <w:tc>
          <w:tcPr>
            <w:tcW w:w="657" w:type="pct"/>
            <w:vAlign w:val="center"/>
          </w:tcPr>
          <w:p w:rsidR="004B00B9" w:rsidRPr="009114DF" w:rsidRDefault="00610F36" w:rsidP="00F71B34">
            <w:pPr>
              <w:spacing w:after="0" w:line="360" w:lineRule="auto"/>
              <w:jc w:val="center"/>
              <w:rPr>
                <w:rFonts w:ascii="Times New Roman" w:hAnsi="Times New Roman"/>
                <w:sz w:val="24"/>
                <w:szCs w:val="24"/>
              </w:rPr>
            </w:pPr>
            <w:r w:rsidRPr="009114DF">
              <w:rPr>
                <w:rFonts w:ascii="Times New Roman" w:hAnsi="Times New Roman"/>
                <w:sz w:val="24"/>
                <w:szCs w:val="24"/>
              </w:rPr>
              <w:t>8,6</w:t>
            </w:r>
          </w:p>
        </w:tc>
      </w:tr>
      <w:tr w:rsidR="00610F36" w:rsidRPr="009114DF" w:rsidTr="00E019EA">
        <w:trPr>
          <w:trHeight w:val="397"/>
          <w:jc w:val="center"/>
        </w:trPr>
        <w:tc>
          <w:tcPr>
            <w:tcW w:w="1369" w:type="pct"/>
            <w:vMerge w:val="restart"/>
            <w:vAlign w:val="center"/>
          </w:tcPr>
          <w:p w:rsidR="004B00B9" w:rsidRPr="009114DF" w:rsidRDefault="004B00B9"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Функциональный класс</w:t>
            </w: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w:t>
            </w:r>
          </w:p>
        </w:tc>
        <w:tc>
          <w:tcPr>
            <w:tcW w:w="633" w:type="pct"/>
            <w:vAlign w:val="center"/>
          </w:tcPr>
          <w:p w:rsidR="004B00B9" w:rsidRPr="009114DF" w:rsidRDefault="00BB52F5" w:rsidP="00F71B34">
            <w:pPr>
              <w:spacing w:after="0" w:line="360" w:lineRule="auto"/>
              <w:jc w:val="center"/>
              <w:rPr>
                <w:rFonts w:ascii="Times New Roman" w:hAnsi="Times New Roman"/>
                <w:sz w:val="24"/>
                <w:szCs w:val="24"/>
              </w:rPr>
            </w:pPr>
            <w:r w:rsidRPr="009114DF">
              <w:rPr>
                <w:rFonts w:ascii="Times New Roman" w:hAnsi="Times New Roman"/>
                <w:sz w:val="24"/>
                <w:szCs w:val="24"/>
              </w:rPr>
              <w:t>3</w:t>
            </w:r>
          </w:p>
        </w:tc>
        <w:tc>
          <w:tcPr>
            <w:tcW w:w="518" w:type="pct"/>
            <w:vAlign w:val="center"/>
          </w:tcPr>
          <w:p w:rsidR="004B00B9" w:rsidRPr="009114DF" w:rsidRDefault="00610F36" w:rsidP="00F71B34">
            <w:pPr>
              <w:spacing w:after="0" w:line="360" w:lineRule="auto"/>
              <w:jc w:val="center"/>
              <w:rPr>
                <w:rFonts w:ascii="Times New Roman" w:hAnsi="Times New Roman"/>
                <w:sz w:val="24"/>
                <w:szCs w:val="24"/>
              </w:rPr>
            </w:pPr>
            <w:r w:rsidRPr="009114DF">
              <w:rPr>
                <w:rFonts w:ascii="Times New Roman" w:hAnsi="Times New Roman"/>
                <w:sz w:val="24"/>
                <w:szCs w:val="24"/>
              </w:rPr>
              <w:t>6,8</w:t>
            </w:r>
          </w:p>
        </w:tc>
        <w:tc>
          <w:tcPr>
            <w:tcW w:w="584"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0</w:t>
            </w:r>
          </w:p>
        </w:tc>
        <w:tc>
          <w:tcPr>
            <w:tcW w:w="657"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0</w:t>
            </w:r>
          </w:p>
        </w:tc>
      </w:tr>
      <w:tr w:rsidR="00610F36" w:rsidRPr="009114DF" w:rsidTr="00E019EA">
        <w:trPr>
          <w:trHeight w:val="397"/>
          <w:jc w:val="center"/>
        </w:trPr>
        <w:tc>
          <w:tcPr>
            <w:tcW w:w="1369" w:type="pct"/>
            <w:vMerge/>
            <w:vAlign w:val="center"/>
          </w:tcPr>
          <w:p w:rsidR="004B00B9" w:rsidRPr="009114DF" w:rsidRDefault="004B00B9" w:rsidP="00F71B34">
            <w:pPr>
              <w:spacing w:after="0" w:line="360" w:lineRule="auto"/>
              <w:ind w:firstLine="567"/>
              <w:jc w:val="center"/>
              <w:rPr>
                <w:rFonts w:ascii="Times New Roman" w:eastAsia="Times New Roman" w:hAnsi="Times New Roman"/>
                <w:b/>
                <w:sz w:val="24"/>
                <w:szCs w:val="24"/>
                <w:lang w:eastAsia="ru-RU"/>
              </w:rPr>
            </w:pP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w:t>
            </w:r>
          </w:p>
        </w:tc>
        <w:tc>
          <w:tcPr>
            <w:tcW w:w="633" w:type="pct"/>
            <w:vAlign w:val="center"/>
          </w:tcPr>
          <w:p w:rsidR="004B00B9" w:rsidRPr="009114DF" w:rsidRDefault="000472A9" w:rsidP="00F71B34">
            <w:pPr>
              <w:spacing w:after="0" w:line="360" w:lineRule="auto"/>
              <w:jc w:val="center"/>
              <w:rPr>
                <w:rFonts w:ascii="Times New Roman" w:hAnsi="Times New Roman"/>
                <w:sz w:val="24"/>
                <w:szCs w:val="24"/>
              </w:rPr>
            </w:pPr>
            <w:r w:rsidRPr="009114DF">
              <w:rPr>
                <w:rFonts w:ascii="Times New Roman" w:hAnsi="Times New Roman"/>
                <w:sz w:val="24"/>
                <w:szCs w:val="24"/>
              </w:rPr>
              <w:t>33</w:t>
            </w:r>
          </w:p>
        </w:tc>
        <w:tc>
          <w:tcPr>
            <w:tcW w:w="518" w:type="pct"/>
            <w:vAlign w:val="center"/>
          </w:tcPr>
          <w:p w:rsidR="004B00B9" w:rsidRPr="009114DF" w:rsidRDefault="000472A9" w:rsidP="00F71B34">
            <w:pPr>
              <w:spacing w:after="0" w:line="360" w:lineRule="auto"/>
              <w:jc w:val="center"/>
              <w:rPr>
                <w:rFonts w:ascii="Times New Roman" w:hAnsi="Times New Roman"/>
                <w:sz w:val="24"/>
                <w:szCs w:val="24"/>
              </w:rPr>
            </w:pPr>
            <w:r w:rsidRPr="009114DF">
              <w:rPr>
                <w:rFonts w:ascii="Times New Roman" w:hAnsi="Times New Roman"/>
                <w:sz w:val="24"/>
                <w:szCs w:val="24"/>
              </w:rPr>
              <w:t>75,0</w:t>
            </w:r>
          </w:p>
        </w:tc>
        <w:tc>
          <w:tcPr>
            <w:tcW w:w="584" w:type="pct"/>
            <w:vAlign w:val="center"/>
          </w:tcPr>
          <w:p w:rsidR="004B00B9" w:rsidRPr="009114DF" w:rsidRDefault="000472A9" w:rsidP="00F71B34">
            <w:pPr>
              <w:spacing w:after="0" w:line="360" w:lineRule="auto"/>
              <w:jc w:val="center"/>
              <w:rPr>
                <w:rFonts w:ascii="Times New Roman" w:hAnsi="Times New Roman"/>
                <w:sz w:val="24"/>
                <w:szCs w:val="24"/>
              </w:rPr>
            </w:pPr>
            <w:r w:rsidRPr="009114DF">
              <w:rPr>
                <w:rFonts w:ascii="Times New Roman" w:hAnsi="Times New Roman"/>
                <w:sz w:val="24"/>
                <w:szCs w:val="24"/>
              </w:rPr>
              <w:t>23</w:t>
            </w:r>
          </w:p>
        </w:tc>
        <w:tc>
          <w:tcPr>
            <w:tcW w:w="657" w:type="pct"/>
            <w:vAlign w:val="center"/>
          </w:tcPr>
          <w:p w:rsidR="004B00B9" w:rsidRPr="009114DF" w:rsidRDefault="000472A9" w:rsidP="00F71B34">
            <w:pPr>
              <w:spacing w:after="0" w:line="360" w:lineRule="auto"/>
              <w:jc w:val="center"/>
              <w:rPr>
                <w:rFonts w:ascii="Times New Roman" w:hAnsi="Times New Roman"/>
                <w:sz w:val="24"/>
                <w:szCs w:val="24"/>
              </w:rPr>
            </w:pPr>
            <w:r w:rsidRPr="009114DF">
              <w:rPr>
                <w:rFonts w:ascii="Times New Roman" w:hAnsi="Times New Roman"/>
                <w:sz w:val="24"/>
                <w:szCs w:val="24"/>
              </w:rPr>
              <w:t>65,7</w:t>
            </w:r>
          </w:p>
        </w:tc>
      </w:tr>
      <w:tr w:rsidR="00610F36" w:rsidRPr="009114DF" w:rsidTr="00E019EA">
        <w:trPr>
          <w:trHeight w:val="397"/>
          <w:jc w:val="center"/>
        </w:trPr>
        <w:tc>
          <w:tcPr>
            <w:tcW w:w="1369" w:type="pct"/>
            <w:vMerge/>
            <w:vAlign w:val="center"/>
          </w:tcPr>
          <w:p w:rsidR="004B00B9" w:rsidRPr="009114DF" w:rsidRDefault="004B00B9" w:rsidP="00F71B34">
            <w:pPr>
              <w:spacing w:after="0" w:line="360" w:lineRule="auto"/>
              <w:ind w:firstLine="567"/>
              <w:jc w:val="center"/>
              <w:rPr>
                <w:rFonts w:ascii="Times New Roman" w:eastAsia="Times New Roman" w:hAnsi="Times New Roman"/>
                <w:b/>
                <w:sz w:val="24"/>
                <w:szCs w:val="24"/>
                <w:lang w:eastAsia="ru-RU"/>
              </w:rPr>
            </w:pPr>
          </w:p>
        </w:tc>
        <w:tc>
          <w:tcPr>
            <w:tcW w:w="1239" w:type="pct"/>
            <w:vAlign w:val="center"/>
          </w:tcPr>
          <w:p w:rsidR="004B00B9" w:rsidRPr="009114DF" w:rsidRDefault="004B00B9"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III</w:t>
            </w:r>
          </w:p>
        </w:tc>
        <w:tc>
          <w:tcPr>
            <w:tcW w:w="633" w:type="pct"/>
            <w:vAlign w:val="center"/>
          </w:tcPr>
          <w:p w:rsidR="004B00B9" w:rsidRPr="009114DF" w:rsidRDefault="00B80009" w:rsidP="00F71B34">
            <w:pPr>
              <w:spacing w:after="0" w:line="360" w:lineRule="auto"/>
              <w:jc w:val="center"/>
              <w:rPr>
                <w:rFonts w:ascii="Times New Roman" w:hAnsi="Times New Roman"/>
                <w:sz w:val="24"/>
                <w:szCs w:val="24"/>
              </w:rPr>
            </w:pPr>
            <w:r w:rsidRPr="009114DF">
              <w:rPr>
                <w:rFonts w:ascii="Times New Roman" w:hAnsi="Times New Roman"/>
                <w:sz w:val="24"/>
                <w:szCs w:val="24"/>
              </w:rPr>
              <w:t>8</w:t>
            </w:r>
          </w:p>
        </w:tc>
        <w:tc>
          <w:tcPr>
            <w:tcW w:w="518"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1</w:t>
            </w:r>
            <w:r w:rsidR="00B80009" w:rsidRPr="009114DF">
              <w:rPr>
                <w:rFonts w:ascii="Times New Roman" w:hAnsi="Times New Roman"/>
                <w:sz w:val="24"/>
                <w:szCs w:val="24"/>
              </w:rPr>
              <w:t>8,2</w:t>
            </w:r>
          </w:p>
        </w:tc>
        <w:tc>
          <w:tcPr>
            <w:tcW w:w="584" w:type="pct"/>
            <w:vAlign w:val="center"/>
          </w:tcPr>
          <w:p w:rsidR="004B00B9" w:rsidRPr="009114DF" w:rsidRDefault="00B80009" w:rsidP="00F71B34">
            <w:pPr>
              <w:spacing w:after="0" w:line="360" w:lineRule="auto"/>
              <w:jc w:val="center"/>
              <w:rPr>
                <w:rFonts w:ascii="Times New Roman" w:hAnsi="Times New Roman"/>
                <w:sz w:val="24"/>
                <w:szCs w:val="24"/>
              </w:rPr>
            </w:pPr>
            <w:r w:rsidRPr="009114DF">
              <w:rPr>
                <w:rFonts w:ascii="Times New Roman" w:hAnsi="Times New Roman"/>
                <w:sz w:val="24"/>
                <w:szCs w:val="24"/>
              </w:rPr>
              <w:t>11</w:t>
            </w:r>
          </w:p>
        </w:tc>
        <w:tc>
          <w:tcPr>
            <w:tcW w:w="657" w:type="pct"/>
            <w:vAlign w:val="center"/>
          </w:tcPr>
          <w:p w:rsidR="004B00B9" w:rsidRPr="009114DF" w:rsidRDefault="000472A9" w:rsidP="00F71B34">
            <w:pPr>
              <w:spacing w:after="0" w:line="360" w:lineRule="auto"/>
              <w:jc w:val="center"/>
              <w:rPr>
                <w:rFonts w:ascii="Times New Roman" w:hAnsi="Times New Roman"/>
                <w:sz w:val="24"/>
                <w:szCs w:val="24"/>
              </w:rPr>
            </w:pPr>
            <w:r w:rsidRPr="009114DF">
              <w:rPr>
                <w:rFonts w:ascii="Times New Roman" w:hAnsi="Times New Roman"/>
                <w:sz w:val="24"/>
                <w:szCs w:val="24"/>
              </w:rPr>
              <w:t>31,4</w:t>
            </w:r>
          </w:p>
        </w:tc>
      </w:tr>
      <w:tr w:rsidR="00610F36" w:rsidRPr="009114DF" w:rsidTr="00E019EA">
        <w:trPr>
          <w:trHeight w:val="397"/>
          <w:jc w:val="center"/>
        </w:trPr>
        <w:tc>
          <w:tcPr>
            <w:tcW w:w="1369" w:type="pct"/>
            <w:vMerge/>
            <w:vAlign w:val="center"/>
          </w:tcPr>
          <w:p w:rsidR="004B00B9" w:rsidRPr="009114DF" w:rsidRDefault="004B00B9" w:rsidP="00F71B34">
            <w:pPr>
              <w:spacing w:after="0" w:line="360" w:lineRule="auto"/>
              <w:ind w:firstLine="567"/>
              <w:jc w:val="center"/>
              <w:rPr>
                <w:rFonts w:ascii="Times New Roman" w:eastAsia="Times New Roman" w:hAnsi="Times New Roman"/>
                <w:b/>
                <w:sz w:val="24"/>
                <w:szCs w:val="24"/>
                <w:lang w:eastAsia="ru-RU"/>
              </w:rPr>
            </w:pPr>
          </w:p>
        </w:tc>
        <w:tc>
          <w:tcPr>
            <w:tcW w:w="1239" w:type="pct"/>
            <w:vAlign w:val="center"/>
          </w:tcPr>
          <w:p w:rsidR="004B00B9" w:rsidRPr="009114DF" w:rsidRDefault="004B00B9" w:rsidP="00F71B34">
            <w:pPr>
              <w:spacing w:after="0" w:line="360" w:lineRule="auto"/>
              <w:ind w:firstLine="7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IV</w:t>
            </w:r>
          </w:p>
        </w:tc>
        <w:tc>
          <w:tcPr>
            <w:tcW w:w="633"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0</w:t>
            </w:r>
          </w:p>
        </w:tc>
        <w:tc>
          <w:tcPr>
            <w:tcW w:w="518" w:type="pct"/>
            <w:vAlign w:val="center"/>
          </w:tcPr>
          <w:p w:rsidR="004B00B9" w:rsidRPr="009114DF" w:rsidRDefault="004B00B9" w:rsidP="00F71B34">
            <w:pPr>
              <w:spacing w:after="0" w:line="360" w:lineRule="auto"/>
              <w:jc w:val="center"/>
              <w:rPr>
                <w:rFonts w:ascii="Times New Roman" w:hAnsi="Times New Roman"/>
                <w:sz w:val="24"/>
                <w:szCs w:val="24"/>
              </w:rPr>
            </w:pPr>
            <w:r w:rsidRPr="009114DF">
              <w:rPr>
                <w:rFonts w:ascii="Times New Roman" w:hAnsi="Times New Roman"/>
                <w:sz w:val="24"/>
                <w:szCs w:val="24"/>
              </w:rPr>
              <w:t>0</w:t>
            </w:r>
          </w:p>
        </w:tc>
        <w:tc>
          <w:tcPr>
            <w:tcW w:w="584" w:type="pct"/>
            <w:vAlign w:val="center"/>
          </w:tcPr>
          <w:p w:rsidR="004B00B9" w:rsidRPr="009114DF" w:rsidRDefault="00DE6691" w:rsidP="00F71B34">
            <w:pPr>
              <w:spacing w:after="0" w:line="360" w:lineRule="auto"/>
              <w:jc w:val="center"/>
              <w:rPr>
                <w:rFonts w:ascii="Times New Roman" w:hAnsi="Times New Roman"/>
                <w:sz w:val="24"/>
                <w:szCs w:val="24"/>
              </w:rPr>
            </w:pPr>
            <w:r w:rsidRPr="009114DF">
              <w:rPr>
                <w:rFonts w:ascii="Times New Roman" w:hAnsi="Times New Roman"/>
                <w:sz w:val="24"/>
                <w:szCs w:val="24"/>
              </w:rPr>
              <w:t>1</w:t>
            </w:r>
          </w:p>
        </w:tc>
        <w:tc>
          <w:tcPr>
            <w:tcW w:w="657" w:type="pct"/>
            <w:vAlign w:val="center"/>
          </w:tcPr>
          <w:p w:rsidR="004B00B9" w:rsidRPr="009114DF" w:rsidRDefault="00610F36" w:rsidP="00F71B34">
            <w:pPr>
              <w:spacing w:after="0" w:line="360" w:lineRule="auto"/>
              <w:jc w:val="center"/>
              <w:rPr>
                <w:rFonts w:ascii="Times New Roman" w:hAnsi="Times New Roman"/>
                <w:sz w:val="24"/>
                <w:szCs w:val="24"/>
              </w:rPr>
            </w:pPr>
            <w:r w:rsidRPr="009114DF">
              <w:rPr>
                <w:rFonts w:ascii="Times New Roman" w:hAnsi="Times New Roman"/>
                <w:sz w:val="24"/>
                <w:szCs w:val="24"/>
              </w:rPr>
              <w:t>2,9</w:t>
            </w:r>
          </w:p>
        </w:tc>
      </w:tr>
    </w:tbl>
    <w:p w:rsidR="00FC7BD0" w:rsidRPr="009114DF" w:rsidRDefault="00FC7BD0" w:rsidP="00FC7BD0">
      <w:pPr>
        <w:suppressAutoHyphens/>
        <w:spacing w:after="0" w:line="360" w:lineRule="auto"/>
        <w:ind w:firstLine="567"/>
        <w:jc w:val="both"/>
        <w:rPr>
          <w:rFonts w:ascii="Times New Roman" w:eastAsia="Times New Roman" w:hAnsi="Times New Roman"/>
          <w:szCs w:val="28"/>
          <w:lang w:eastAsia="ru-RU"/>
        </w:rPr>
      </w:pPr>
    </w:p>
    <w:p w:rsidR="00610F36" w:rsidRPr="009114DF" w:rsidRDefault="00FC7BD0" w:rsidP="00FC7BD0">
      <w:pPr>
        <w:suppressAutoHyphens/>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Группы больных с различными вариантами базисной терапии были сопоставимы по возрасту, длительности заболевания и активности РА. Средний возраст больных в группе пациентов, получавших комбинированную терапию МТХ и РТМ, составил 54,45 [49,0–58,0] года, в группе пациентов с монотерапией МТХ  – 55,54 [50,0–62,0] года  (</w:t>
      </w:r>
      <w:proofErr w:type="gramStart"/>
      <w:r w:rsidRPr="009114DF">
        <w:rPr>
          <w:rFonts w:ascii="Times New Roman" w:eastAsia="Times New Roman" w:hAnsi="Times New Roman"/>
          <w:sz w:val="28"/>
          <w:szCs w:val="28"/>
          <w:lang w:eastAsia="ru-RU"/>
        </w:rPr>
        <w:t>р</w:t>
      </w:r>
      <w:proofErr w:type="gramEnd"/>
      <w:r w:rsidRPr="009114DF">
        <w:rPr>
          <w:rFonts w:ascii="Times New Roman" w:eastAsia="Times New Roman" w:hAnsi="Times New Roman"/>
          <w:sz w:val="28"/>
          <w:szCs w:val="28"/>
          <w:lang w:eastAsia="ru-RU"/>
        </w:rPr>
        <w:t xml:space="preserve">=0,45), длительность заболевания РА – 15,95 [9,0–20,5] и 12,29 [8,0–18,0] года (р=0,08), активность РА ‒ 5,21[4,23–6,36] и 4,88 [3,64–6,17] соответственно (р=0,30). </w:t>
      </w:r>
      <w:r w:rsidRPr="009114DF">
        <w:rPr>
          <w:rFonts w:ascii="Times New Roman" w:eastAsia="Times New Roman" w:hAnsi="Times New Roman"/>
          <w:sz w:val="28"/>
          <w:szCs w:val="28"/>
          <w:lang w:eastAsia="ru-RU"/>
        </w:rPr>
        <w:tab/>
      </w:r>
    </w:p>
    <w:p w:rsidR="00D2353C" w:rsidRPr="009114DF" w:rsidRDefault="00886153" w:rsidP="00F71B34">
      <w:pPr>
        <w:suppressAutoHyphens/>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lastRenderedPageBreak/>
        <w:t>У большинства пациентов отмечалась третья</w:t>
      </w:r>
      <w:r w:rsidR="00610F36" w:rsidRPr="009114DF">
        <w:rPr>
          <w:rFonts w:ascii="Times New Roman" w:eastAsia="Times New Roman" w:hAnsi="Times New Roman"/>
          <w:sz w:val="28"/>
          <w:szCs w:val="28"/>
          <w:lang w:eastAsia="ru-RU"/>
        </w:rPr>
        <w:t xml:space="preserve"> рентгенологическая стадия (40,9</w:t>
      </w:r>
      <w:r w:rsidRPr="009114DF">
        <w:rPr>
          <w:rFonts w:ascii="Times New Roman" w:eastAsia="Times New Roman" w:hAnsi="Times New Roman"/>
          <w:sz w:val="28"/>
          <w:szCs w:val="28"/>
          <w:lang w:eastAsia="ru-RU"/>
        </w:rPr>
        <w:t>% в первой и 4</w:t>
      </w:r>
      <w:r w:rsidR="00610F36" w:rsidRPr="009114DF">
        <w:rPr>
          <w:rFonts w:ascii="Times New Roman" w:eastAsia="Times New Roman" w:hAnsi="Times New Roman"/>
          <w:sz w:val="28"/>
          <w:szCs w:val="28"/>
          <w:lang w:eastAsia="ru-RU"/>
        </w:rPr>
        <w:t>5,7</w:t>
      </w:r>
      <w:r w:rsidRPr="009114DF">
        <w:rPr>
          <w:rFonts w:ascii="Times New Roman" w:eastAsia="Times New Roman" w:hAnsi="Times New Roman"/>
          <w:sz w:val="28"/>
          <w:szCs w:val="28"/>
          <w:lang w:eastAsia="ru-RU"/>
        </w:rPr>
        <w:t>% во второй группе) и второй функциональный класс (</w:t>
      </w:r>
      <w:r w:rsidR="000472A9" w:rsidRPr="009114DF">
        <w:rPr>
          <w:rFonts w:ascii="Times New Roman" w:eastAsia="Times New Roman" w:hAnsi="Times New Roman"/>
          <w:sz w:val="28"/>
          <w:szCs w:val="28"/>
          <w:lang w:eastAsia="ru-RU"/>
        </w:rPr>
        <w:t>75,0</w:t>
      </w:r>
      <w:r w:rsidRPr="009114DF">
        <w:rPr>
          <w:rFonts w:ascii="Times New Roman" w:eastAsia="Times New Roman" w:hAnsi="Times New Roman"/>
          <w:sz w:val="28"/>
          <w:szCs w:val="28"/>
          <w:lang w:eastAsia="ru-RU"/>
        </w:rPr>
        <w:t xml:space="preserve">% и </w:t>
      </w:r>
      <w:r w:rsidR="000472A9" w:rsidRPr="009114DF">
        <w:rPr>
          <w:rFonts w:ascii="Times New Roman" w:eastAsia="Times New Roman" w:hAnsi="Times New Roman"/>
          <w:sz w:val="28"/>
          <w:szCs w:val="28"/>
          <w:lang w:eastAsia="ru-RU"/>
        </w:rPr>
        <w:t>65,7</w:t>
      </w:r>
      <w:r w:rsidRPr="009114DF">
        <w:rPr>
          <w:rFonts w:ascii="Times New Roman" w:eastAsia="Times New Roman" w:hAnsi="Times New Roman"/>
          <w:sz w:val="28"/>
          <w:szCs w:val="28"/>
          <w:lang w:eastAsia="ru-RU"/>
        </w:rPr>
        <w:t>% соответственно).</w:t>
      </w:r>
    </w:p>
    <w:p w:rsidR="0047676F" w:rsidRPr="009114DF" w:rsidRDefault="00FC7BD0" w:rsidP="00F71B34">
      <w:pPr>
        <w:suppressAutoHyphens/>
        <w:spacing w:after="0" w:line="360" w:lineRule="auto"/>
        <w:ind w:firstLine="567"/>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t xml:space="preserve">Средний возраст начала менопаузы в группе 1 ‒ </w:t>
      </w:r>
      <w:r w:rsidR="0047676F" w:rsidRPr="009114DF">
        <w:rPr>
          <w:rFonts w:ascii="Times New Roman" w:eastAsia="Times New Roman" w:hAnsi="Times New Roman"/>
          <w:spacing w:val="-3"/>
          <w:sz w:val="28"/>
          <w:szCs w:val="28"/>
          <w:lang w:eastAsia="ru-RU"/>
        </w:rPr>
        <w:t xml:space="preserve">50,36 </w:t>
      </w:r>
      <w:r w:rsidR="0047676F" w:rsidRPr="009114DF">
        <w:rPr>
          <w:rFonts w:ascii="Times New Roman" w:eastAsia="Times New Roman" w:hAnsi="Times New Roman"/>
          <w:sz w:val="28"/>
          <w:szCs w:val="28"/>
          <w:lang w:eastAsia="ru-RU"/>
        </w:rPr>
        <w:t>[49,21–53,26],</w:t>
      </w:r>
      <w:r w:rsidRPr="009114DF">
        <w:rPr>
          <w:rFonts w:ascii="Times New Roman" w:eastAsia="Times New Roman" w:hAnsi="Times New Roman"/>
          <w:spacing w:val="-3"/>
          <w:sz w:val="28"/>
          <w:szCs w:val="28"/>
          <w:lang w:eastAsia="ru-RU"/>
        </w:rPr>
        <w:t xml:space="preserve"> в группе 2 ‒ </w:t>
      </w:r>
      <w:r w:rsidR="0047676F" w:rsidRPr="009114DF">
        <w:rPr>
          <w:rFonts w:ascii="Times New Roman" w:eastAsia="Times New Roman" w:hAnsi="Times New Roman"/>
          <w:spacing w:val="-3"/>
          <w:sz w:val="28"/>
          <w:szCs w:val="28"/>
          <w:lang w:eastAsia="ru-RU"/>
        </w:rPr>
        <w:t xml:space="preserve">51,72 </w:t>
      </w:r>
      <w:r w:rsidR="0047676F" w:rsidRPr="009114DF">
        <w:rPr>
          <w:rFonts w:ascii="Times New Roman" w:eastAsia="Times New Roman" w:hAnsi="Times New Roman"/>
          <w:sz w:val="28"/>
          <w:szCs w:val="28"/>
          <w:lang w:eastAsia="ru-RU"/>
        </w:rPr>
        <w:t xml:space="preserve">[50,54–53,16] </w:t>
      </w:r>
      <w:r w:rsidR="0047676F" w:rsidRPr="009114DF">
        <w:rPr>
          <w:rFonts w:ascii="Times New Roman" w:eastAsia="Times New Roman" w:hAnsi="Times New Roman"/>
          <w:spacing w:val="-3"/>
          <w:sz w:val="28"/>
          <w:szCs w:val="28"/>
          <w:lang w:eastAsia="ru-RU"/>
        </w:rPr>
        <w:t xml:space="preserve"> </w:t>
      </w:r>
      <w:r w:rsidRPr="009114DF">
        <w:rPr>
          <w:rFonts w:ascii="Times New Roman" w:eastAsia="Times New Roman" w:hAnsi="Times New Roman"/>
          <w:spacing w:val="-3"/>
          <w:sz w:val="28"/>
          <w:szCs w:val="28"/>
          <w:lang w:eastAsia="ru-RU"/>
        </w:rPr>
        <w:t>(</w:t>
      </w:r>
      <w:proofErr w:type="gramStart"/>
      <w:r w:rsidRPr="009114DF">
        <w:rPr>
          <w:rFonts w:ascii="Times New Roman" w:eastAsia="Times New Roman" w:hAnsi="Times New Roman"/>
          <w:spacing w:val="-3"/>
          <w:sz w:val="28"/>
          <w:szCs w:val="28"/>
          <w:lang w:eastAsia="ru-RU"/>
        </w:rPr>
        <w:t>р</w:t>
      </w:r>
      <w:proofErr w:type="gramEnd"/>
      <w:r w:rsidRPr="009114DF">
        <w:rPr>
          <w:rFonts w:ascii="Times New Roman" w:eastAsia="Times New Roman" w:hAnsi="Times New Roman"/>
          <w:spacing w:val="-3"/>
          <w:sz w:val="28"/>
          <w:szCs w:val="28"/>
          <w:lang w:eastAsia="ru-RU"/>
        </w:rPr>
        <w:t>=</w:t>
      </w:r>
      <w:r w:rsidR="0047676F" w:rsidRPr="009114DF">
        <w:rPr>
          <w:rFonts w:ascii="Times New Roman" w:eastAsia="Times New Roman" w:hAnsi="Times New Roman"/>
          <w:spacing w:val="-3"/>
          <w:sz w:val="28"/>
          <w:szCs w:val="28"/>
          <w:lang w:eastAsia="ru-RU"/>
        </w:rPr>
        <w:t>0,27</w:t>
      </w:r>
      <w:r w:rsidRPr="009114DF">
        <w:rPr>
          <w:rFonts w:ascii="Times New Roman" w:eastAsia="Times New Roman" w:hAnsi="Times New Roman"/>
          <w:spacing w:val="-3"/>
          <w:sz w:val="28"/>
          <w:szCs w:val="28"/>
          <w:lang w:eastAsia="ru-RU"/>
        </w:rPr>
        <w:t xml:space="preserve">), </w:t>
      </w:r>
      <w:r w:rsidR="0047676F" w:rsidRPr="009114DF">
        <w:rPr>
          <w:rFonts w:ascii="Times New Roman" w:eastAsia="Times New Roman" w:hAnsi="Times New Roman"/>
          <w:spacing w:val="-3"/>
          <w:sz w:val="28"/>
          <w:szCs w:val="28"/>
          <w:lang w:eastAsia="ru-RU"/>
        </w:rPr>
        <w:t xml:space="preserve">длительность менопаузы к началу исследования  </w:t>
      </w:r>
      <w:r w:rsidR="0047676F" w:rsidRPr="009114DF">
        <w:rPr>
          <w:rFonts w:ascii="Times New Roman" w:eastAsia="Times New Roman" w:hAnsi="Times New Roman"/>
          <w:sz w:val="28"/>
          <w:szCs w:val="28"/>
          <w:lang w:eastAsia="ru-RU"/>
        </w:rPr>
        <w:t>2,12[</w:t>
      </w:r>
      <w:r w:rsidR="00A23B5F" w:rsidRPr="009114DF">
        <w:rPr>
          <w:rFonts w:ascii="Times New Roman" w:eastAsia="Times New Roman" w:hAnsi="Times New Roman"/>
          <w:sz w:val="28"/>
          <w:szCs w:val="28"/>
          <w:lang w:eastAsia="ru-RU"/>
        </w:rPr>
        <w:t>1,13</w:t>
      </w:r>
      <w:r w:rsidR="0047676F" w:rsidRPr="009114DF">
        <w:rPr>
          <w:rFonts w:ascii="Times New Roman" w:eastAsia="Times New Roman" w:hAnsi="Times New Roman"/>
          <w:sz w:val="28"/>
          <w:szCs w:val="28"/>
          <w:lang w:eastAsia="ru-RU"/>
        </w:rPr>
        <w:t>–</w:t>
      </w:r>
      <w:r w:rsidR="00A23B5F" w:rsidRPr="009114DF">
        <w:rPr>
          <w:rFonts w:ascii="Times New Roman" w:eastAsia="Times New Roman" w:hAnsi="Times New Roman"/>
          <w:sz w:val="28"/>
          <w:szCs w:val="28"/>
          <w:lang w:eastAsia="ru-RU"/>
        </w:rPr>
        <w:t>3,2</w:t>
      </w:r>
      <w:r w:rsidR="0047676F" w:rsidRPr="009114DF">
        <w:rPr>
          <w:rFonts w:ascii="Times New Roman" w:eastAsia="Times New Roman" w:hAnsi="Times New Roman"/>
          <w:sz w:val="28"/>
          <w:szCs w:val="28"/>
          <w:lang w:eastAsia="ru-RU"/>
        </w:rPr>
        <w:t xml:space="preserve">6] и </w:t>
      </w:r>
      <w:r w:rsidR="00A23B5F" w:rsidRPr="009114DF">
        <w:rPr>
          <w:rFonts w:ascii="Times New Roman" w:eastAsia="Times New Roman" w:hAnsi="Times New Roman"/>
          <w:sz w:val="28"/>
          <w:szCs w:val="28"/>
          <w:lang w:eastAsia="ru-RU"/>
        </w:rPr>
        <w:t>2</w:t>
      </w:r>
      <w:r w:rsidR="0047676F" w:rsidRPr="009114DF">
        <w:rPr>
          <w:rFonts w:ascii="Times New Roman" w:eastAsia="Times New Roman" w:hAnsi="Times New Roman"/>
          <w:sz w:val="28"/>
          <w:szCs w:val="28"/>
          <w:lang w:eastAsia="ru-RU"/>
        </w:rPr>
        <w:t>,8</w:t>
      </w:r>
      <w:r w:rsidR="00A23B5F" w:rsidRPr="009114DF">
        <w:rPr>
          <w:rFonts w:ascii="Times New Roman" w:eastAsia="Times New Roman" w:hAnsi="Times New Roman"/>
          <w:sz w:val="28"/>
          <w:szCs w:val="28"/>
          <w:lang w:eastAsia="ru-RU"/>
        </w:rPr>
        <w:t>9</w:t>
      </w:r>
      <w:r w:rsidR="0047676F" w:rsidRPr="009114DF">
        <w:rPr>
          <w:rFonts w:ascii="Times New Roman" w:eastAsia="Times New Roman" w:hAnsi="Times New Roman"/>
          <w:sz w:val="28"/>
          <w:szCs w:val="28"/>
          <w:lang w:eastAsia="ru-RU"/>
        </w:rPr>
        <w:t xml:space="preserve"> [</w:t>
      </w:r>
      <w:r w:rsidR="00A23B5F" w:rsidRPr="009114DF">
        <w:rPr>
          <w:rFonts w:ascii="Times New Roman" w:eastAsia="Times New Roman" w:hAnsi="Times New Roman"/>
          <w:sz w:val="28"/>
          <w:szCs w:val="28"/>
          <w:lang w:eastAsia="ru-RU"/>
        </w:rPr>
        <w:t>1</w:t>
      </w:r>
      <w:r w:rsidR="0047676F" w:rsidRPr="009114DF">
        <w:rPr>
          <w:rFonts w:ascii="Times New Roman" w:eastAsia="Times New Roman" w:hAnsi="Times New Roman"/>
          <w:sz w:val="28"/>
          <w:szCs w:val="28"/>
          <w:lang w:eastAsia="ru-RU"/>
        </w:rPr>
        <w:t>,64–</w:t>
      </w:r>
      <w:r w:rsidR="00A23B5F" w:rsidRPr="009114DF">
        <w:rPr>
          <w:rFonts w:ascii="Times New Roman" w:eastAsia="Times New Roman" w:hAnsi="Times New Roman"/>
          <w:sz w:val="28"/>
          <w:szCs w:val="28"/>
          <w:lang w:eastAsia="ru-RU"/>
        </w:rPr>
        <w:t>4,05</w:t>
      </w:r>
      <w:r w:rsidR="0047676F" w:rsidRPr="009114DF">
        <w:rPr>
          <w:rFonts w:ascii="Times New Roman" w:eastAsia="Times New Roman" w:hAnsi="Times New Roman"/>
          <w:sz w:val="28"/>
          <w:szCs w:val="28"/>
          <w:lang w:eastAsia="ru-RU"/>
        </w:rPr>
        <w:t xml:space="preserve">] </w:t>
      </w:r>
      <w:r w:rsidR="00A23B5F" w:rsidRPr="009114DF">
        <w:rPr>
          <w:rFonts w:ascii="Times New Roman" w:eastAsia="Times New Roman" w:hAnsi="Times New Roman"/>
          <w:sz w:val="28"/>
          <w:szCs w:val="28"/>
          <w:lang w:eastAsia="ru-RU"/>
        </w:rPr>
        <w:t xml:space="preserve">года </w:t>
      </w:r>
      <w:r w:rsidR="0047676F" w:rsidRPr="009114DF">
        <w:rPr>
          <w:rFonts w:ascii="Times New Roman" w:eastAsia="Times New Roman" w:hAnsi="Times New Roman"/>
          <w:spacing w:val="-3"/>
          <w:sz w:val="28"/>
          <w:szCs w:val="28"/>
          <w:lang w:eastAsia="ru-RU"/>
        </w:rPr>
        <w:t>соответственно (р=</w:t>
      </w:r>
      <w:r w:rsidR="00A23B5F" w:rsidRPr="009114DF">
        <w:rPr>
          <w:rFonts w:ascii="Times New Roman" w:eastAsia="Times New Roman" w:hAnsi="Times New Roman"/>
          <w:spacing w:val="-3"/>
          <w:sz w:val="28"/>
          <w:szCs w:val="28"/>
          <w:lang w:eastAsia="ru-RU"/>
        </w:rPr>
        <w:t>0,6</w:t>
      </w:r>
      <w:r w:rsidR="0047676F" w:rsidRPr="009114DF">
        <w:rPr>
          <w:rFonts w:ascii="Times New Roman" w:eastAsia="Times New Roman" w:hAnsi="Times New Roman"/>
          <w:spacing w:val="-3"/>
          <w:sz w:val="28"/>
          <w:szCs w:val="28"/>
          <w:lang w:eastAsia="ru-RU"/>
        </w:rPr>
        <w:t>1).</w:t>
      </w:r>
    </w:p>
    <w:p w:rsidR="00E158AE" w:rsidRPr="009114DF" w:rsidRDefault="007C2C06" w:rsidP="00F71B34">
      <w:pPr>
        <w:suppressAutoHyphens/>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pacing w:val="-3"/>
          <w:sz w:val="28"/>
          <w:szCs w:val="28"/>
          <w:lang w:eastAsia="ru-RU"/>
        </w:rPr>
        <w:t xml:space="preserve">Больные </w:t>
      </w:r>
      <w:r w:rsidRPr="009114DF">
        <w:rPr>
          <w:rFonts w:ascii="Times New Roman" w:eastAsia="Times New Roman" w:hAnsi="Times New Roman"/>
          <w:sz w:val="28"/>
          <w:szCs w:val="28"/>
          <w:lang w:eastAsia="ru-RU"/>
        </w:rPr>
        <w:t>были включены в исследова</w:t>
      </w:r>
      <w:r w:rsidR="00E158AE" w:rsidRPr="009114DF">
        <w:rPr>
          <w:rFonts w:ascii="Times New Roman" w:eastAsia="Times New Roman" w:hAnsi="Times New Roman"/>
          <w:sz w:val="28"/>
          <w:szCs w:val="28"/>
          <w:lang w:eastAsia="ru-RU"/>
        </w:rPr>
        <w:t>ние в разные сроки от дебюта РА.</w:t>
      </w:r>
    </w:p>
    <w:p w:rsidR="007C2C06" w:rsidRPr="009114DF" w:rsidRDefault="00E158AE" w:rsidP="00F71B34">
      <w:pPr>
        <w:suppressAutoHyphens/>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 группе 1</w:t>
      </w:r>
      <w:r w:rsidR="007C2C06" w:rsidRPr="009114DF">
        <w:rPr>
          <w:rFonts w:ascii="Times New Roman" w:eastAsia="Times New Roman" w:hAnsi="Times New Roman"/>
          <w:sz w:val="28"/>
          <w:szCs w:val="28"/>
          <w:lang w:eastAsia="ru-RU"/>
        </w:rPr>
        <w:t xml:space="preserve"> </w:t>
      </w:r>
      <w:r w:rsidR="002B71E0" w:rsidRPr="009114DF">
        <w:rPr>
          <w:rFonts w:ascii="Times New Roman" w:eastAsia="Times New Roman" w:hAnsi="Times New Roman"/>
          <w:sz w:val="28"/>
          <w:szCs w:val="28"/>
          <w:lang w:eastAsia="ru-RU"/>
        </w:rPr>
        <w:t>у 4,5% больных длительность заболевания РА сост</w:t>
      </w:r>
      <w:r w:rsidR="00B257D2" w:rsidRPr="009114DF">
        <w:rPr>
          <w:rFonts w:ascii="Times New Roman" w:eastAsia="Times New Roman" w:hAnsi="Times New Roman"/>
          <w:sz w:val="28"/>
          <w:szCs w:val="28"/>
          <w:lang w:eastAsia="ru-RU"/>
        </w:rPr>
        <w:t>а</w:t>
      </w:r>
      <w:r w:rsidR="002B71E0" w:rsidRPr="009114DF">
        <w:rPr>
          <w:rFonts w:ascii="Times New Roman" w:eastAsia="Times New Roman" w:hAnsi="Times New Roman"/>
          <w:sz w:val="28"/>
          <w:szCs w:val="28"/>
          <w:lang w:eastAsia="ru-RU"/>
        </w:rPr>
        <w:t>вляла</w:t>
      </w:r>
      <w:r w:rsidR="007C2C06" w:rsidRPr="009114DF">
        <w:rPr>
          <w:rFonts w:ascii="Times New Roman" w:eastAsia="Times New Roman" w:hAnsi="Times New Roman"/>
          <w:sz w:val="28"/>
          <w:szCs w:val="28"/>
          <w:lang w:eastAsia="ru-RU"/>
        </w:rPr>
        <w:t xml:space="preserve"> </w:t>
      </w:r>
      <w:r w:rsidR="00B257D2" w:rsidRPr="009114DF">
        <w:rPr>
          <w:rFonts w:ascii="Times New Roman" w:eastAsia="Times New Roman" w:hAnsi="Times New Roman"/>
          <w:sz w:val="28"/>
          <w:szCs w:val="28"/>
          <w:lang w:eastAsia="ru-RU"/>
        </w:rPr>
        <w:t>от</w:t>
      </w:r>
      <w:r w:rsidR="00381CED" w:rsidRPr="009114DF">
        <w:rPr>
          <w:rFonts w:ascii="Times New Roman" w:eastAsia="Times New Roman" w:hAnsi="Times New Roman"/>
          <w:sz w:val="28"/>
          <w:szCs w:val="28"/>
          <w:lang w:eastAsia="ru-RU"/>
        </w:rPr>
        <w:br/>
      </w:r>
      <w:r w:rsidR="007C2C06" w:rsidRPr="009114DF">
        <w:rPr>
          <w:rFonts w:ascii="Times New Roman" w:eastAsia="Times New Roman" w:hAnsi="Times New Roman"/>
          <w:sz w:val="28"/>
          <w:szCs w:val="28"/>
          <w:lang w:eastAsia="ru-RU"/>
        </w:rPr>
        <w:t>1</w:t>
      </w:r>
      <w:r w:rsidR="00381CED" w:rsidRPr="009114DF">
        <w:rPr>
          <w:rFonts w:ascii="Times New Roman" w:eastAsia="Times New Roman" w:hAnsi="Times New Roman"/>
          <w:sz w:val="28"/>
          <w:szCs w:val="28"/>
          <w:lang w:eastAsia="ru-RU"/>
        </w:rPr>
        <w:t xml:space="preserve"> года</w:t>
      </w:r>
      <w:r w:rsidR="007C2C06" w:rsidRPr="009114DF">
        <w:rPr>
          <w:rFonts w:ascii="Times New Roman" w:eastAsia="Times New Roman" w:hAnsi="Times New Roman"/>
          <w:sz w:val="28"/>
          <w:szCs w:val="28"/>
          <w:lang w:eastAsia="ru-RU"/>
        </w:rPr>
        <w:t xml:space="preserve"> </w:t>
      </w:r>
      <w:r w:rsidR="00B257D2" w:rsidRPr="009114DF">
        <w:rPr>
          <w:rFonts w:ascii="Times New Roman" w:eastAsia="Times New Roman" w:hAnsi="Times New Roman"/>
          <w:sz w:val="28"/>
          <w:szCs w:val="28"/>
          <w:lang w:eastAsia="ru-RU"/>
        </w:rPr>
        <w:t>до</w:t>
      </w:r>
      <w:r w:rsidR="007C2C06" w:rsidRPr="009114DF">
        <w:rPr>
          <w:rFonts w:ascii="Times New Roman" w:eastAsia="Times New Roman" w:hAnsi="Times New Roman"/>
          <w:sz w:val="28"/>
          <w:szCs w:val="28"/>
          <w:lang w:eastAsia="ru-RU"/>
        </w:rPr>
        <w:t xml:space="preserve"> 4 </w:t>
      </w:r>
      <w:r w:rsidR="00B257D2" w:rsidRPr="009114DF">
        <w:rPr>
          <w:rFonts w:ascii="Times New Roman" w:eastAsia="Times New Roman" w:hAnsi="Times New Roman"/>
          <w:sz w:val="28"/>
          <w:szCs w:val="28"/>
          <w:lang w:eastAsia="ru-RU"/>
        </w:rPr>
        <w:t>лет,</w:t>
      </w:r>
      <w:r w:rsidR="007C2C06" w:rsidRPr="009114DF">
        <w:rPr>
          <w:rFonts w:ascii="Times New Roman" w:eastAsia="Times New Roman" w:hAnsi="Times New Roman"/>
          <w:sz w:val="28"/>
          <w:szCs w:val="28"/>
          <w:lang w:eastAsia="ru-RU"/>
        </w:rPr>
        <w:t xml:space="preserve">  </w:t>
      </w:r>
      <w:r w:rsidR="00B257D2" w:rsidRPr="009114DF">
        <w:rPr>
          <w:rFonts w:ascii="Times New Roman" w:eastAsia="Times New Roman" w:hAnsi="Times New Roman"/>
          <w:sz w:val="28"/>
          <w:szCs w:val="28"/>
          <w:lang w:eastAsia="ru-RU"/>
        </w:rPr>
        <w:t>у 22,7%</w:t>
      </w:r>
      <w:r w:rsidR="00CD2EDC" w:rsidRPr="009114DF">
        <w:rPr>
          <w:rFonts w:ascii="Times New Roman" w:eastAsia="Times New Roman" w:hAnsi="Times New Roman"/>
          <w:sz w:val="28"/>
          <w:szCs w:val="28"/>
          <w:lang w:eastAsia="ru-RU"/>
        </w:rPr>
        <w:t xml:space="preserve"> – </w:t>
      </w:r>
      <w:r w:rsidR="00B257D2" w:rsidRPr="009114DF">
        <w:rPr>
          <w:rFonts w:ascii="Times New Roman" w:eastAsia="Times New Roman" w:hAnsi="Times New Roman"/>
          <w:sz w:val="28"/>
          <w:szCs w:val="28"/>
          <w:lang w:eastAsia="ru-RU"/>
        </w:rPr>
        <w:t xml:space="preserve">от </w:t>
      </w:r>
      <w:r w:rsidR="007C2C06" w:rsidRPr="009114DF">
        <w:rPr>
          <w:rFonts w:ascii="Times New Roman" w:eastAsia="Times New Roman" w:hAnsi="Times New Roman"/>
          <w:sz w:val="28"/>
          <w:szCs w:val="28"/>
          <w:lang w:eastAsia="ru-RU"/>
        </w:rPr>
        <w:t xml:space="preserve">5 </w:t>
      </w:r>
      <w:r w:rsidR="00B257D2" w:rsidRPr="009114DF">
        <w:rPr>
          <w:rFonts w:ascii="Times New Roman" w:eastAsia="Times New Roman" w:hAnsi="Times New Roman"/>
          <w:sz w:val="28"/>
          <w:szCs w:val="28"/>
          <w:lang w:eastAsia="ru-RU"/>
        </w:rPr>
        <w:t xml:space="preserve">до 9 лет </w:t>
      </w:r>
      <w:r w:rsidR="007C2C06" w:rsidRPr="009114DF">
        <w:rPr>
          <w:rFonts w:ascii="Times New Roman" w:eastAsia="Times New Roman" w:hAnsi="Times New Roman"/>
          <w:sz w:val="28"/>
          <w:szCs w:val="28"/>
          <w:lang w:eastAsia="ru-RU"/>
        </w:rPr>
        <w:t>и</w:t>
      </w:r>
      <w:r w:rsidR="00B257D2" w:rsidRPr="009114DF">
        <w:rPr>
          <w:rFonts w:ascii="Times New Roman" w:eastAsia="Times New Roman" w:hAnsi="Times New Roman"/>
          <w:sz w:val="28"/>
          <w:szCs w:val="28"/>
          <w:lang w:eastAsia="ru-RU"/>
        </w:rPr>
        <w:t xml:space="preserve"> у</w:t>
      </w:r>
      <w:r w:rsidR="007C2C06" w:rsidRPr="009114DF">
        <w:rPr>
          <w:rFonts w:ascii="Times New Roman" w:eastAsia="Times New Roman" w:hAnsi="Times New Roman"/>
          <w:sz w:val="28"/>
          <w:szCs w:val="28"/>
          <w:lang w:eastAsia="ru-RU"/>
        </w:rPr>
        <w:t xml:space="preserve"> </w:t>
      </w:r>
      <w:r w:rsidR="000472A9" w:rsidRPr="009114DF">
        <w:rPr>
          <w:rFonts w:ascii="Times New Roman" w:eastAsia="Times New Roman" w:hAnsi="Times New Roman"/>
          <w:sz w:val="28"/>
          <w:szCs w:val="28"/>
          <w:lang w:eastAsia="ru-RU"/>
        </w:rPr>
        <w:t>72,</w:t>
      </w:r>
      <w:r w:rsidR="00EF20A8" w:rsidRPr="009114DF">
        <w:rPr>
          <w:rFonts w:ascii="Times New Roman" w:eastAsia="Times New Roman" w:hAnsi="Times New Roman"/>
          <w:sz w:val="28"/>
          <w:szCs w:val="28"/>
          <w:lang w:eastAsia="ru-RU"/>
        </w:rPr>
        <w:t>8</w:t>
      </w:r>
      <w:r w:rsidRPr="009114DF">
        <w:rPr>
          <w:rFonts w:ascii="Times New Roman" w:eastAsia="Times New Roman" w:hAnsi="Times New Roman"/>
          <w:sz w:val="28"/>
          <w:szCs w:val="28"/>
          <w:lang w:eastAsia="ru-RU"/>
        </w:rPr>
        <w:t xml:space="preserve">% больных – 10 лет и более. В группе 2  с длительностью заболевания </w:t>
      </w:r>
      <w:r w:rsidR="00381CED" w:rsidRPr="009114DF">
        <w:rPr>
          <w:rFonts w:ascii="Times New Roman" w:eastAsia="Times New Roman" w:hAnsi="Times New Roman"/>
          <w:sz w:val="28"/>
          <w:szCs w:val="28"/>
          <w:lang w:eastAsia="ru-RU"/>
        </w:rPr>
        <w:t>от 1 года до 4 лет</w:t>
      </w:r>
      <w:r w:rsidRPr="009114DF">
        <w:rPr>
          <w:rFonts w:ascii="Times New Roman" w:eastAsia="Times New Roman" w:hAnsi="Times New Roman"/>
          <w:sz w:val="28"/>
          <w:szCs w:val="28"/>
          <w:lang w:eastAsia="ru-RU"/>
        </w:rPr>
        <w:t xml:space="preserve">  </w:t>
      </w:r>
      <w:r w:rsidR="000E62AE" w:rsidRPr="009114DF">
        <w:rPr>
          <w:rFonts w:ascii="Times New Roman" w:eastAsia="Times New Roman" w:hAnsi="Times New Roman"/>
          <w:sz w:val="28"/>
          <w:szCs w:val="28"/>
          <w:lang w:eastAsia="ru-RU"/>
        </w:rPr>
        <w:t>зарегистрировано</w:t>
      </w:r>
      <w:r w:rsidR="00C57E72"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1</w:t>
      </w:r>
      <w:r w:rsidR="007A561D" w:rsidRPr="009114DF">
        <w:rPr>
          <w:rFonts w:ascii="Times New Roman" w:eastAsia="Times New Roman" w:hAnsi="Times New Roman"/>
          <w:sz w:val="28"/>
          <w:szCs w:val="28"/>
          <w:lang w:eastAsia="ru-RU"/>
        </w:rPr>
        <w:t>4,3</w:t>
      </w:r>
      <w:r w:rsidRPr="009114DF">
        <w:rPr>
          <w:rFonts w:ascii="Times New Roman" w:eastAsia="Times New Roman" w:hAnsi="Times New Roman"/>
          <w:sz w:val="28"/>
          <w:szCs w:val="28"/>
          <w:lang w:eastAsia="ru-RU"/>
        </w:rPr>
        <w:t>%</w:t>
      </w:r>
      <w:r w:rsidR="00C57E72" w:rsidRPr="009114DF">
        <w:rPr>
          <w:rFonts w:ascii="Times New Roman" w:eastAsia="Times New Roman" w:hAnsi="Times New Roman"/>
          <w:sz w:val="28"/>
          <w:szCs w:val="28"/>
          <w:lang w:eastAsia="ru-RU"/>
        </w:rPr>
        <w:t xml:space="preserve"> больных, 5–9 лет </w:t>
      </w:r>
      <w:r w:rsidR="00CD2EDC" w:rsidRPr="009114DF">
        <w:rPr>
          <w:rFonts w:ascii="Times New Roman" w:eastAsia="Times New Roman" w:hAnsi="Times New Roman"/>
          <w:sz w:val="28"/>
          <w:szCs w:val="28"/>
          <w:lang w:eastAsia="ru-RU"/>
        </w:rPr>
        <w:t xml:space="preserve"> – </w:t>
      </w:r>
      <w:r w:rsidR="00C57E72" w:rsidRPr="009114DF">
        <w:rPr>
          <w:rFonts w:ascii="Times New Roman" w:eastAsia="Times New Roman" w:hAnsi="Times New Roman"/>
          <w:sz w:val="28"/>
          <w:szCs w:val="28"/>
          <w:lang w:eastAsia="ru-RU"/>
        </w:rPr>
        <w:t xml:space="preserve"> </w:t>
      </w:r>
      <w:r w:rsidR="007A561D" w:rsidRPr="009114DF">
        <w:rPr>
          <w:rFonts w:ascii="Times New Roman" w:eastAsia="Times New Roman" w:hAnsi="Times New Roman"/>
          <w:sz w:val="28"/>
          <w:szCs w:val="28"/>
          <w:lang w:eastAsia="ru-RU"/>
        </w:rPr>
        <w:t>31,4</w:t>
      </w:r>
      <w:r w:rsidR="00C57E72" w:rsidRPr="009114DF">
        <w:rPr>
          <w:rFonts w:ascii="Times New Roman" w:eastAsia="Times New Roman" w:hAnsi="Times New Roman"/>
          <w:sz w:val="28"/>
          <w:szCs w:val="28"/>
          <w:lang w:eastAsia="ru-RU"/>
        </w:rPr>
        <w:t>%, 10 лет и более –</w:t>
      </w:r>
      <w:r w:rsidR="007A561D" w:rsidRPr="009114DF">
        <w:rPr>
          <w:rFonts w:ascii="Times New Roman" w:eastAsia="Times New Roman" w:hAnsi="Times New Roman"/>
          <w:sz w:val="28"/>
          <w:szCs w:val="28"/>
          <w:lang w:eastAsia="ru-RU"/>
        </w:rPr>
        <w:t xml:space="preserve"> 54,3</w:t>
      </w:r>
      <w:r w:rsidR="00C57E72" w:rsidRPr="009114DF">
        <w:rPr>
          <w:rFonts w:ascii="Times New Roman" w:eastAsia="Times New Roman" w:hAnsi="Times New Roman"/>
          <w:sz w:val="28"/>
          <w:szCs w:val="28"/>
          <w:lang w:eastAsia="ru-RU"/>
        </w:rPr>
        <w:t>% пациентов.</w:t>
      </w:r>
      <w:r w:rsidRPr="009114DF">
        <w:rPr>
          <w:rFonts w:ascii="Times New Roman" w:eastAsia="Times New Roman" w:hAnsi="Times New Roman"/>
          <w:sz w:val="28"/>
          <w:szCs w:val="28"/>
          <w:lang w:eastAsia="ru-RU"/>
        </w:rPr>
        <w:t xml:space="preserve"> </w:t>
      </w:r>
    </w:p>
    <w:p w:rsidR="007C2C06" w:rsidRPr="009114DF" w:rsidRDefault="007C2C06" w:rsidP="00381CED">
      <w:pPr>
        <w:spacing w:after="0" w:line="374"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Активность заболевания определяли по показателям </w:t>
      </w:r>
      <w:r w:rsidRPr="009114DF">
        <w:rPr>
          <w:rFonts w:ascii="Times New Roman" w:eastAsia="Times New Roman" w:hAnsi="Times New Roman"/>
          <w:sz w:val="28"/>
          <w:szCs w:val="28"/>
          <w:lang w:val="en-US" w:eastAsia="ru-RU"/>
        </w:rPr>
        <w:t>DAS</w:t>
      </w:r>
      <w:r w:rsidRPr="009114DF">
        <w:rPr>
          <w:rFonts w:ascii="Times New Roman" w:eastAsia="Times New Roman" w:hAnsi="Times New Roman"/>
          <w:sz w:val="28"/>
          <w:szCs w:val="28"/>
          <w:lang w:eastAsia="ru-RU"/>
        </w:rPr>
        <w:t xml:space="preserve">28. Значение индекса </w:t>
      </w:r>
      <w:r w:rsidRPr="009114DF">
        <w:rPr>
          <w:rFonts w:ascii="Times New Roman" w:eastAsia="Times New Roman" w:hAnsi="Times New Roman"/>
          <w:sz w:val="28"/>
          <w:szCs w:val="28"/>
          <w:lang w:val="en-US" w:eastAsia="ru-RU"/>
        </w:rPr>
        <w:t>DAS</w:t>
      </w:r>
      <w:r w:rsidR="00FF0E11" w:rsidRPr="009114DF">
        <w:rPr>
          <w:rFonts w:ascii="Times New Roman" w:eastAsia="Times New Roman" w:hAnsi="Times New Roman"/>
          <w:sz w:val="28"/>
          <w:szCs w:val="28"/>
          <w:lang w:eastAsia="ru-RU"/>
        </w:rPr>
        <w:t>28</w:t>
      </w:r>
      <w:r w:rsidR="00404230" w:rsidRPr="009114DF">
        <w:rPr>
          <w:rFonts w:ascii="Times New Roman" w:eastAsia="Times New Roman" w:hAnsi="Times New Roman"/>
          <w:sz w:val="28"/>
          <w:szCs w:val="28"/>
          <w:lang w:eastAsia="ru-RU"/>
        </w:rPr>
        <w:t xml:space="preserve"> </w:t>
      </w:r>
      <w:r w:rsidR="00FF0E11" w:rsidRPr="009114DF">
        <w:rPr>
          <w:rFonts w:ascii="Times New Roman" w:eastAsia="Times New Roman" w:hAnsi="Times New Roman"/>
          <w:sz w:val="28"/>
          <w:szCs w:val="28"/>
          <w:lang w:eastAsia="ru-RU"/>
        </w:rPr>
        <w:t>&lt;3,2</w:t>
      </w:r>
      <w:r w:rsidRPr="009114DF">
        <w:rPr>
          <w:rFonts w:ascii="Times New Roman" w:eastAsia="Times New Roman" w:hAnsi="Times New Roman"/>
          <w:sz w:val="28"/>
          <w:szCs w:val="28"/>
          <w:lang w:eastAsia="ru-RU"/>
        </w:rPr>
        <w:t xml:space="preserve"> соответствует низкой (1</w:t>
      </w:r>
      <w:r w:rsidR="00381CED" w:rsidRPr="009114DF">
        <w:rPr>
          <w:rFonts w:ascii="Times New Roman" w:eastAsia="Times New Roman" w:hAnsi="Times New Roman"/>
          <w:sz w:val="28"/>
          <w:szCs w:val="28"/>
          <w:lang w:eastAsia="ru-RU"/>
        </w:rPr>
        <w:t>-й</w:t>
      </w:r>
      <w:r w:rsidRPr="009114DF">
        <w:rPr>
          <w:rFonts w:ascii="Times New Roman" w:eastAsia="Times New Roman" w:hAnsi="Times New Roman"/>
          <w:sz w:val="28"/>
          <w:szCs w:val="28"/>
          <w:lang w:eastAsia="ru-RU"/>
        </w:rPr>
        <w:t>) степени активности, 3,2</w:t>
      </w:r>
      <w:r w:rsidR="00381CED"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5,1 – умеренной (2</w:t>
      </w:r>
      <w:r w:rsidR="00381CED" w:rsidRPr="009114DF">
        <w:rPr>
          <w:rFonts w:ascii="Times New Roman" w:eastAsia="Times New Roman" w:hAnsi="Times New Roman"/>
          <w:sz w:val="28"/>
          <w:szCs w:val="28"/>
          <w:lang w:eastAsia="ru-RU"/>
        </w:rPr>
        <w:t>-й</w:t>
      </w:r>
      <w:r w:rsidRPr="009114DF">
        <w:rPr>
          <w:rFonts w:ascii="Times New Roman" w:eastAsia="Times New Roman" w:hAnsi="Times New Roman"/>
          <w:sz w:val="28"/>
          <w:szCs w:val="28"/>
          <w:lang w:eastAsia="ru-RU"/>
        </w:rPr>
        <w:t>) степени, &gt;5,1 – высокой (3</w:t>
      </w:r>
      <w:r w:rsidR="00381CED" w:rsidRPr="009114DF">
        <w:rPr>
          <w:rFonts w:ascii="Times New Roman" w:eastAsia="Times New Roman" w:hAnsi="Times New Roman"/>
          <w:sz w:val="28"/>
          <w:szCs w:val="28"/>
          <w:lang w:eastAsia="ru-RU"/>
        </w:rPr>
        <w:t>-й</w:t>
      </w:r>
      <w:r w:rsidRPr="009114DF">
        <w:rPr>
          <w:rFonts w:ascii="Times New Roman" w:eastAsia="Times New Roman" w:hAnsi="Times New Roman"/>
          <w:sz w:val="28"/>
          <w:szCs w:val="28"/>
          <w:lang w:eastAsia="ru-RU"/>
        </w:rPr>
        <w:t>) степени.</w:t>
      </w:r>
    </w:p>
    <w:p w:rsidR="007C2C06" w:rsidRPr="009114DF" w:rsidRDefault="000B24E5" w:rsidP="00381CED">
      <w:pPr>
        <w:spacing w:after="0" w:line="374"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 группе 1 а</w:t>
      </w:r>
      <w:r w:rsidR="007C2C06" w:rsidRPr="009114DF">
        <w:rPr>
          <w:rFonts w:ascii="Times New Roman" w:eastAsia="Times New Roman" w:hAnsi="Times New Roman"/>
          <w:sz w:val="28"/>
          <w:szCs w:val="28"/>
          <w:lang w:eastAsia="ru-RU"/>
        </w:rPr>
        <w:t xml:space="preserve">ктивность патологического процесса </w:t>
      </w:r>
      <w:r w:rsidR="00381CED" w:rsidRPr="009114DF">
        <w:rPr>
          <w:rFonts w:ascii="Times New Roman" w:eastAsia="Times New Roman" w:hAnsi="Times New Roman"/>
          <w:sz w:val="28"/>
          <w:szCs w:val="28"/>
          <w:lang w:eastAsia="ru-RU"/>
        </w:rPr>
        <w:t>перво</w:t>
      </w:r>
      <w:r w:rsidRPr="009114DF">
        <w:rPr>
          <w:rFonts w:ascii="Times New Roman" w:eastAsia="Times New Roman" w:hAnsi="Times New Roman"/>
          <w:sz w:val="28"/>
          <w:szCs w:val="28"/>
          <w:lang w:eastAsia="ru-RU"/>
        </w:rPr>
        <w:t xml:space="preserve">й степени </w:t>
      </w:r>
      <w:r w:rsidR="007A561D" w:rsidRPr="009114DF">
        <w:rPr>
          <w:rFonts w:ascii="Times New Roman" w:eastAsia="Times New Roman" w:hAnsi="Times New Roman"/>
          <w:sz w:val="28"/>
          <w:szCs w:val="28"/>
          <w:lang w:eastAsia="ru-RU"/>
        </w:rPr>
        <w:t>определена у 5</w:t>
      </w:r>
      <w:r w:rsidR="007C2C06" w:rsidRPr="009114DF">
        <w:rPr>
          <w:rFonts w:ascii="Times New Roman" w:eastAsia="Times New Roman" w:hAnsi="Times New Roman"/>
          <w:sz w:val="28"/>
          <w:szCs w:val="28"/>
          <w:lang w:eastAsia="ru-RU"/>
        </w:rPr>
        <w:t xml:space="preserve"> (</w:t>
      </w:r>
      <w:r w:rsidR="00C57E72" w:rsidRPr="009114DF">
        <w:rPr>
          <w:rFonts w:ascii="Times New Roman" w:eastAsia="Times New Roman" w:hAnsi="Times New Roman"/>
          <w:sz w:val="28"/>
          <w:szCs w:val="28"/>
          <w:lang w:eastAsia="ru-RU"/>
        </w:rPr>
        <w:t>1</w:t>
      </w:r>
      <w:r w:rsidR="007A561D" w:rsidRPr="009114DF">
        <w:rPr>
          <w:rFonts w:ascii="Times New Roman" w:eastAsia="Times New Roman" w:hAnsi="Times New Roman"/>
          <w:sz w:val="28"/>
          <w:szCs w:val="28"/>
          <w:lang w:eastAsia="ru-RU"/>
        </w:rPr>
        <w:t>1,4</w:t>
      </w:r>
      <w:r w:rsidR="007C2C06" w:rsidRPr="009114DF">
        <w:rPr>
          <w:rFonts w:ascii="Times New Roman" w:eastAsia="Times New Roman" w:hAnsi="Times New Roman"/>
          <w:sz w:val="28"/>
          <w:szCs w:val="28"/>
          <w:lang w:eastAsia="ru-RU"/>
        </w:rPr>
        <w:t>%)</w:t>
      </w:r>
      <w:r w:rsidR="00331B47" w:rsidRPr="009114DF">
        <w:rPr>
          <w:rFonts w:ascii="Times New Roman" w:eastAsia="Times New Roman" w:hAnsi="Times New Roman"/>
          <w:sz w:val="28"/>
          <w:szCs w:val="28"/>
          <w:lang w:eastAsia="ru-RU"/>
        </w:rPr>
        <w:t xml:space="preserve"> пациентов</w:t>
      </w:r>
      <w:r w:rsidR="007C2C06" w:rsidRPr="009114DF">
        <w:rPr>
          <w:rFonts w:ascii="Times New Roman" w:eastAsia="Times New Roman" w:hAnsi="Times New Roman"/>
          <w:sz w:val="28"/>
          <w:szCs w:val="28"/>
          <w:lang w:eastAsia="ru-RU"/>
        </w:rPr>
        <w:t xml:space="preserve">, </w:t>
      </w:r>
      <w:r w:rsidR="00381CED" w:rsidRPr="009114DF">
        <w:rPr>
          <w:rFonts w:ascii="Times New Roman" w:eastAsia="Times New Roman" w:hAnsi="Times New Roman"/>
          <w:sz w:val="28"/>
          <w:szCs w:val="28"/>
          <w:lang w:eastAsia="ru-RU"/>
        </w:rPr>
        <w:t>второй</w:t>
      </w:r>
      <w:r w:rsidR="00CD2EDC" w:rsidRPr="009114DF">
        <w:rPr>
          <w:rFonts w:ascii="Times New Roman" w:eastAsia="Times New Roman" w:hAnsi="Times New Roman"/>
          <w:sz w:val="28"/>
          <w:szCs w:val="28"/>
          <w:lang w:eastAsia="ru-RU"/>
        </w:rPr>
        <w:t xml:space="preserve"> – </w:t>
      </w:r>
      <w:r w:rsidR="007C2C06" w:rsidRPr="009114DF">
        <w:rPr>
          <w:rFonts w:ascii="Times New Roman" w:eastAsia="Times New Roman" w:hAnsi="Times New Roman"/>
          <w:sz w:val="28"/>
          <w:szCs w:val="28"/>
          <w:lang w:eastAsia="ru-RU"/>
        </w:rPr>
        <w:t xml:space="preserve">у </w:t>
      </w:r>
      <w:r w:rsidR="00407BE1" w:rsidRPr="009114DF">
        <w:rPr>
          <w:rFonts w:ascii="Times New Roman" w:eastAsia="Times New Roman" w:hAnsi="Times New Roman"/>
          <w:sz w:val="28"/>
          <w:szCs w:val="28"/>
          <w:lang w:eastAsia="ru-RU"/>
        </w:rPr>
        <w:t>1</w:t>
      </w:r>
      <w:r w:rsidR="007A561D" w:rsidRPr="009114DF">
        <w:rPr>
          <w:rFonts w:ascii="Times New Roman" w:eastAsia="Times New Roman" w:hAnsi="Times New Roman"/>
          <w:sz w:val="28"/>
          <w:szCs w:val="28"/>
          <w:lang w:eastAsia="ru-RU"/>
        </w:rPr>
        <w:t>3</w:t>
      </w:r>
      <w:r w:rsidR="00407BE1" w:rsidRPr="009114DF">
        <w:rPr>
          <w:rFonts w:ascii="Times New Roman" w:eastAsia="Times New Roman" w:hAnsi="Times New Roman"/>
          <w:sz w:val="28"/>
          <w:szCs w:val="28"/>
          <w:lang w:eastAsia="ru-RU"/>
        </w:rPr>
        <w:t xml:space="preserve"> (</w:t>
      </w:r>
      <w:r w:rsidR="007A561D" w:rsidRPr="009114DF">
        <w:rPr>
          <w:rFonts w:ascii="Times New Roman" w:eastAsia="Times New Roman" w:hAnsi="Times New Roman"/>
          <w:sz w:val="28"/>
          <w:szCs w:val="28"/>
          <w:lang w:eastAsia="ru-RU"/>
        </w:rPr>
        <w:t>29,5</w:t>
      </w:r>
      <w:r w:rsidR="00407BE1" w:rsidRPr="009114DF">
        <w:rPr>
          <w:rFonts w:ascii="Times New Roman" w:eastAsia="Times New Roman" w:hAnsi="Times New Roman"/>
          <w:sz w:val="28"/>
          <w:szCs w:val="28"/>
          <w:lang w:eastAsia="ru-RU"/>
        </w:rPr>
        <w:t xml:space="preserve">%) и </w:t>
      </w:r>
      <w:r w:rsidR="00381CED" w:rsidRPr="009114DF">
        <w:rPr>
          <w:rFonts w:ascii="Times New Roman" w:eastAsia="Times New Roman" w:hAnsi="Times New Roman"/>
          <w:sz w:val="28"/>
          <w:szCs w:val="28"/>
          <w:lang w:eastAsia="ru-RU"/>
        </w:rPr>
        <w:t>третьей</w:t>
      </w:r>
      <w:r w:rsidR="00CD2EDC" w:rsidRPr="009114DF">
        <w:rPr>
          <w:rFonts w:ascii="Times New Roman" w:eastAsia="Times New Roman" w:hAnsi="Times New Roman"/>
          <w:sz w:val="28"/>
          <w:szCs w:val="28"/>
          <w:lang w:eastAsia="ru-RU"/>
        </w:rPr>
        <w:t xml:space="preserve"> </w:t>
      </w:r>
      <w:r w:rsidR="00381CED" w:rsidRPr="009114DF">
        <w:rPr>
          <w:rFonts w:ascii="Times New Roman" w:eastAsia="Times New Roman" w:hAnsi="Times New Roman"/>
          <w:sz w:val="28"/>
          <w:szCs w:val="28"/>
          <w:lang w:eastAsia="ru-RU"/>
        </w:rPr>
        <w:br/>
      </w:r>
      <w:r w:rsidR="00CD2EDC" w:rsidRPr="009114DF">
        <w:rPr>
          <w:rFonts w:ascii="Times New Roman" w:eastAsia="Times New Roman" w:hAnsi="Times New Roman"/>
          <w:sz w:val="28"/>
          <w:szCs w:val="28"/>
          <w:lang w:eastAsia="ru-RU"/>
        </w:rPr>
        <w:t xml:space="preserve"> </w:t>
      </w:r>
      <w:r w:rsidR="00407BE1" w:rsidRPr="009114DF">
        <w:rPr>
          <w:rFonts w:ascii="Times New Roman" w:eastAsia="Times New Roman" w:hAnsi="Times New Roman"/>
          <w:sz w:val="28"/>
          <w:szCs w:val="28"/>
          <w:lang w:eastAsia="ru-RU"/>
        </w:rPr>
        <w:t xml:space="preserve">у </w:t>
      </w:r>
      <w:r w:rsidR="007A561D" w:rsidRPr="009114DF">
        <w:rPr>
          <w:rFonts w:ascii="Times New Roman" w:eastAsia="Times New Roman" w:hAnsi="Times New Roman"/>
          <w:sz w:val="28"/>
          <w:szCs w:val="28"/>
          <w:lang w:eastAsia="ru-RU"/>
        </w:rPr>
        <w:t>26</w:t>
      </w:r>
      <w:r w:rsidR="00407BE1" w:rsidRPr="009114DF">
        <w:rPr>
          <w:rFonts w:ascii="Times New Roman" w:eastAsia="Times New Roman" w:hAnsi="Times New Roman"/>
          <w:sz w:val="28"/>
          <w:szCs w:val="28"/>
          <w:lang w:eastAsia="ru-RU"/>
        </w:rPr>
        <w:t xml:space="preserve"> (</w:t>
      </w:r>
      <w:r w:rsidR="00C57E72" w:rsidRPr="009114DF">
        <w:rPr>
          <w:rFonts w:ascii="Times New Roman" w:eastAsia="Times New Roman" w:hAnsi="Times New Roman"/>
          <w:sz w:val="28"/>
          <w:szCs w:val="28"/>
          <w:lang w:eastAsia="ru-RU"/>
        </w:rPr>
        <w:t>5</w:t>
      </w:r>
      <w:r w:rsidR="007A561D" w:rsidRPr="009114DF">
        <w:rPr>
          <w:rFonts w:ascii="Times New Roman" w:eastAsia="Times New Roman" w:hAnsi="Times New Roman"/>
          <w:sz w:val="28"/>
          <w:szCs w:val="28"/>
          <w:lang w:eastAsia="ru-RU"/>
        </w:rPr>
        <w:t>9,1</w:t>
      </w:r>
      <w:r w:rsidR="00407BE1" w:rsidRPr="009114DF">
        <w:rPr>
          <w:rFonts w:ascii="Times New Roman" w:eastAsia="Times New Roman" w:hAnsi="Times New Roman"/>
          <w:sz w:val="28"/>
          <w:szCs w:val="28"/>
          <w:lang w:eastAsia="ru-RU"/>
        </w:rPr>
        <w:t>%) больных. В группе 2 низкая (</w:t>
      </w:r>
      <w:r w:rsidR="00404230" w:rsidRPr="009114DF">
        <w:rPr>
          <w:rFonts w:ascii="Times New Roman" w:eastAsia="Times New Roman" w:hAnsi="Times New Roman"/>
          <w:sz w:val="28"/>
          <w:szCs w:val="28"/>
          <w:lang w:eastAsia="ru-RU"/>
        </w:rPr>
        <w:t>первая</w:t>
      </w:r>
      <w:r w:rsidR="00407BE1" w:rsidRPr="009114DF">
        <w:rPr>
          <w:rFonts w:ascii="Times New Roman" w:eastAsia="Times New Roman" w:hAnsi="Times New Roman"/>
          <w:sz w:val="28"/>
          <w:szCs w:val="28"/>
          <w:lang w:eastAsia="ru-RU"/>
        </w:rPr>
        <w:t xml:space="preserve">) </w:t>
      </w:r>
      <w:r w:rsidR="00C57E72" w:rsidRPr="009114DF">
        <w:rPr>
          <w:rFonts w:ascii="Times New Roman" w:eastAsia="Times New Roman" w:hAnsi="Times New Roman"/>
          <w:sz w:val="28"/>
          <w:szCs w:val="28"/>
          <w:lang w:eastAsia="ru-RU"/>
        </w:rPr>
        <w:t>степень активности</w:t>
      </w:r>
      <w:r w:rsidR="007A561D" w:rsidRPr="009114DF">
        <w:rPr>
          <w:rFonts w:ascii="Times New Roman" w:eastAsia="Times New Roman" w:hAnsi="Times New Roman"/>
          <w:sz w:val="28"/>
          <w:szCs w:val="28"/>
          <w:lang w:eastAsia="ru-RU"/>
        </w:rPr>
        <w:t xml:space="preserve"> отмечена</w:t>
      </w:r>
      <w:r w:rsidR="00404230" w:rsidRPr="009114DF">
        <w:rPr>
          <w:rFonts w:ascii="Times New Roman" w:eastAsia="Times New Roman" w:hAnsi="Times New Roman"/>
          <w:sz w:val="28"/>
          <w:szCs w:val="28"/>
          <w:lang w:eastAsia="ru-RU"/>
        </w:rPr>
        <w:t xml:space="preserve"> </w:t>
      </w:r>
      <w:r w:rsidR="007A561D" w:rsidRPr="009114DF">
        <w:rPr>
          <w:rFonts w:ascii="Times New Roman" w:eastAsia="Times New Roman" w:hAnsi="Times New Roman"/>
          <w:sz w:val="28"/>
          <w:szCs w:val="28"/>
          <w:lang w:eastAsia="ru-RU"/>
        </w:rPr>
        <w:t>у 5</w:t>
      </w:r>
      <w:r w:rsidR="00407BE1" w:rsidRPr="009114DF">
        <w:rPr>
          <w:rFonts w:ascii="Times New Roman" w:eastAsia="Times New Roman" w:hAnsi="Times New Roman"/>
          <w:sz w:val="28"/>
          <w:szCs w:val="28"/>
          <w:lang w:eastAsia="ru-RU"/>
        </w:rPr>
        <w:t xml:space="preserve"> (</w:t>
      </w:r>
      <w:r w:rsidR="00C57E72" w:rsidRPr="009114DF">
        <w:rPr>
          <w:rFonts w:ascii="Times New Roman" w:eastAsia="Times New Roman" w:hAnsi="Times New Roman"/>
          <w:sz w:val="28"/>
          <w:szCs w:val="28"/>
          <w:lang w:eastAsia="ru-RU"/>
        </w:rPr>
        <w:t>1</w:t>
      </w:r>
      <w:r w:rsidR="007A561D" w:rsidRPr="009114DF">
        <w:rPr>
          <w:rFonts w:ascii="Times New Roman" w:eastAsia="Times New Roman" w:hAnsi="Times New Roman"/>
          <w:sz w:val="28"/>
          <w:szCs w:val="28"/>
          <w:lang w:eastAsia="ru-RU"/>
        </w:rPr>
        <w:t>4,3</w:t>
      </w:r>
      <w:r w:rsidR="00C57E72" w:rsidRPr="009114DF">
        <w:rPr>
          <w:rFonts w:ascii="Times New Roman" w:eastAsia="Times New Roman" w:hAnsi="Times New Roman"/>
          <w:sz w:val="28"/>
          <w:szCs w:val="28"/>
          <w:lang w:eastAsia="ru-RU"/>
        </w:rPr>
        <w:t>%</w:t>
      </w:r>
      <w:r w:rsidR="00BA2F5B" w:rsidRPr="009114DF">
        <w:rPr>
          <w:rFonts w:ascii="Times New Roman" w:eastAsia="Times New Roman" w:hAnsi="Times New Roman"/>
          <w:sz w:val="28"/>
          <w:szCs w:val="28"/>
          <w:lang w:eastAsia="ru-RU"/>
        </w:rPr>
        <w:t>) пациентов</w:t>
      </w:r>
      <w:r w:rsidR="00407BE1" w:rsidRPr="009114DF">
        <w:rPr>
          <w:rFonts w:ascii="Times New Roman" w:eastAsia="Times New Roman" w:hAnsi="Times New Roman"/>
          <w:sz w:val="28"/>
          <w:szCs w:val="28"/>
          <w:lang w:eastAsia="ru-RU"/>
        </w:rPr>
        <w:t xml:space="preserve">, </w:t>
      </w:r>
      <w:r w:rsidR="00381CED" w:rsidRPr="009114DF">
        <w:rPr>
          <w:rFonts w:ascii="Times New Roman" w:eastAsia="Times New Roman" w:hAnsi="Times New Roman"/>
          <w:sz w:val="28"/>
          <w:szCs w:val="28"/>
          <w:lang w:eastAsia="ru-RU"/>
        </w:rPr>
        <w:t>вторая</w:t>
      </w:r>
      <w:r w:rsidR="00407BE1" w:rsidRPr="009114DF">
        <w:rPr>
          <w:rFonts w:ascii="Times New Roman" w:eastAsia="Times New Roman" w:hAnsi="Times New Roman"/>
          <w:sz w:val="28"/>
          <w:szCs w:val="28"/>
          <w:lang w:eastAsia="ru-RU"/>
        </w:rPr>
        <w:t xml:space="preserve"> </w:t>
      </w:r>
      <w:r w:rsidR="0053052A" w:rsidRPr="009114DF">
        <w:rPr>
          <w:rFonts w:ascii="Times New Roman" w:eastAsia="Times New Roman" w:hAnsi="Times New Roman"/>
          <w:sz w:val="28"/>
          <w:szCs w:val="28"/>
          <w:lang w:eastAsia="ru-RU"/>
        </w:rPr>
        <w:t>–</w:t>
      </w:r>
      <w:r w:rsidR="00407BE1" w:rsidRPr="009114DF">
        <w:rPr>
          <w:rFonts w:ascii="Times New Roman" w:eastAsia="Times New Roman" w:hAnsi="Times New Roman"/>
          <w:sz w:val="28"/>
          <w:szCs w:val="28"/>
          <w:lang w:eastAsia="ru-RU"/>
        </w:rPr>
        <w:t xml:space="preserve"> у</w:t>
      </w:r>
      <w:r w:rsidR="0053052A" w:rsidRPr="009114DF">
        <w:rPr>
          <w:rFonts w:ascii="Times New Roman" w:eastAsia="Times New Roman" w:hAnsi="Times New Roman"/>
          <w:sz w:val="28"/>
          <w:szCs w:val="28"/>
          <w:lang w:eastAsia="ru-RU"/>
        </w:rPr>
        <w:t xml:space="preserve"> 1</w:t>
      </w:r>
      <w:r w:rsidR="007A561D" w:rsidRPr="009114DF">
        <w:rPr>
          <w:rFonts w:ascii="Times New Roman" w:eastAsia="Times New Roman" w:hAnsi="Times New Roman"/>
          <w:sz w:val="28"/>
          <w:szCs w:val="28"/>
          <w:lang w:eastAsia="ru-RU"/>
        </w:rPr>
        <w:t>3</w:t>
      </w:r>
      <w:r w:rsidR="00C57E72" w:rsidRPr="009114DF">
        <w:rPr>
          <w:rFonts w:ascii="Times New Roman" w:eastAsia="Times New Roman" w:hAnsi="Times New Roman"/>
          <w:sz w:val="28"/>
          <w:szCs w:val="28"/>
          <w:lang w:eastAsia="ru-RU"/>
        </w:rPr>
        <w:t xml:space="preserve"> (</w:t>
      </w:r>
      <w:r w:rsidR="007A561D" w:rsidRPr="009114DF">
        <w:rPr>
          <w:rFonts w:ascii="Times New Roman" w:eastAsia="Times New Roman" w:hAnsi="Times New Roman"/>
          <w:sz w:val="28"/>
          <w:szCs w:val="28"/>
          <w:lang w:eastAsia="ru-RU"/>
        </w:rPr>
        <w:t>37,1</w:t>
      </w:r>
      <w:r w:rsidR="00C57E72" w:rsidRPr="009114DF">
        <w:rPr>
          <w:rFonts w:ascii="Times New Roman" w:eastAsia="Times New Roman" w:hAnsi="Times New Roman"/>
          <w:sz w:val="28"/>
          <w:szCs w:val="28"/>
          <w:lang w:eastAsia="ru-RU"/>
        </w:rPr>
        <w:t>%)</w:t>
      </w:r>
      <w:r w:rsidR="0053052A" w:rsidRPr="009114DF">
        <w:rPr>
          <w:rFonts w:ascii="Times New Roman" w:eastAsia="Times New Roman" w:hAnsi="Times New Roman"/>
          <w:sz w:val="28"/>
          <w:szCs w:val="28"/>
          <w:lang w:eastAsia="ru-RU"/>
        </w:rPr>
        <w:t xml:space="preserve">, </w:t>
      </w:r>
      <w:r w:rsidR="00381CED" w:rsidRPr="009114DF">
        <w:rPr>
          <w:rFonts w:ascii="Times New Roman" w:eastAsia="Times New Roman" w:hAnsi="Times New Roman"/>
          <w:sz w:val="28"/>
          <w:szCs w:val="28"/>
          <w:lang w:eastAsia="ru-RU"/>
        </w:rPr>
        <w:t>третья</w:t>
      </w:r>
      <w:r w:rsidR="0053052A" w:rsidRPr="009114DF">
        <w:rPr>
          <w:rFonts w:ascii="Times New Roman" w:eastAsia="Times New Roman" w:hAnsi="Times New Roman"/>
          <w:sz w:val="28"/>
          <w:szCs w:val="28"/>
          <w:lang w:eastAsia="ru-RU"/>
        </w:rPr>
        <w:t xml:space="preserve"> – у 17</w:t>
      </w:r>
      <w:r w:rsidR="00C57E72" w:rsidRPr="009114DF">
        <w:rPr>
          <w:rFonts w:ascii="Times New Roman" w:eastAsia="Times New Roman" w:hAnsi="Times New Roman"/>
          <w:sz w:val="28"/>
          <w:szCs w:val="28"/>
          <w:lang w:eastAsia="ru-RU"/>
        </w:rPr>
        <w:t xml:space="preserve"> (4</w:t>
      </w:r>
      <w:r w:rsidR="007A561D" w:rsidRPr="009114DF">
        <w:rPr>
          <w:rFonts w:ascii="Times New Roman" w:eastAsia="Times New Roman" w:hAnsi="Times New Roman"/>
          <w:sz w:val="28"/>
          <w:szCs w:val="28"/>
          <w:lang w:eastAsia="ru-RU"/>
        </w:rPr>
        <w:t>8,6</w:t>
      </w:r>
      <w:r w:rsidR="00C57E72" w:rsidRPr="009114DF">
        <w:rPr>
          <w:rFonts w:ascii="Times New Roman" w:eastAsia="Times New Roman" w:hAnsi="Times New Roman"/>
          <w:sz w:val="28"/>
          <w:szCs w:val="28"/>
          <w:lang w:eastAsia="ru-RU"/>
        </w:rPr>
        <w:t xml:space="preserve">%) </w:t>
      </w:r>
      <w:r w:rsidR="00BA2F5B" w:rsidRPr="009114DF">
        <w:rPr>
          <w:rFonts w:ascii="Times New Roman" w:eastAsia="Times New Roman" w:hAnsi="Times New Roman"/>
          <w:sz w:val="28"/>
          <w:szCs w:val="28"/>
          <w:lang w:eastAsia="ru-RU"/>
        </w:rPr>
        <w:t>больных</w:t>
      </w:r>
      <w:r w:rsidR="00C57E72" w:rsidRPr="009114DF">
        <w:rPr>
          <w:rFonts w:ascii="Times New Roman" w:eastAsia="Times New Roman" w:hAnsi="Times New Roman"/>
          <w:sz w:val="28"/>
          <w:szCs w:val="28"/>
          <w:lang w:eastAsia="ru-RU"/>
        </w:rPr>
        <w:t>.</w:t>
      </w:r>
    </w:p>
    <w:p w:rsidR="00FF0E11" w:rsidRPr="009114DF" w:rsidRDefault="007C2C06" w:rsidP="00381CED">
      <w:pPr>
        <w:suppressAutoHyphens/>
        <w:spacing w:after="0" w:line="374"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У </w:t>
      </w:r>
      <w:r w:rsidR="00F93711" w:rsidRPr="009114DF">
        <w:rPr>
          <w:rFonts w:ascii="Times New Roman" w:eastAsia="Times New Roman" w:hAnsi="Times New Roman"/>
          <w:sz w:val="28"/>
          <w:szCs w:val="28"/>
          <w:lang w:eastAsia="ru-RU"/>
        </w:rPr>
        <w:t>11 (2</w:t>
      </w:r>
      <w:r w:rsidRPr="009114DF">
        <w:rPr>
          <w:rFonts w:ascii="Times New Roman" w:eastAsia="Times New Roman" w:hAnsi="Times New Roman"/>
          <w:sz w:val="28"/>
          <w:szCs w:val="28"/>
          <w:lang w:eastAsia="ru-RU"/>
        </w:rPr>
        <w:t>5,0%) больных</w:t>
      </w:r>
      <w:r w:rsidR="00F93711" w:rsidRPr="009114DF">
        <w:rPr>
          <w:rFonts w:ascii="Times New Roman" w:eastAsia="Times New Roman" w:hAnsi="Times New Roman"/>
          <w:sz w:val="28"/>
          <w:szCs w:val="28"/>
          <w:lang w:eastAsia="ru-RU"/>
        </w:rPr>
        <w:t xml:space="preserve"> в группе 1 и у 8</w:t>
      </w:r>
      <w:r w:rsidR="00315B41" w:rsidRPr="009114DF">
        <w:rPr>
          <w:rFonts w:ascii="Times New Roman" w:eastAsia="Times New Roman" w:hAnsi="Times New Roman"/>
          <w:sz w:val="28"/>
          <w:szCs w:val="28"/>
          <w:lang w:eastAsia="ru-RU"/>
        </w:rPr>
        <w:t xml:space="preserve"> (2</w:t>
      </w:r>
      <w:r w:rsidR="00F93711" w:rsidRPr="009114DF">
        <w:rPr>
          <w:rFonts w:ascii="Times New Roman" w:eastAsia="Times New Roman" w:hAnsi="Times New Roman"/>
          <w:sz w:val="28"/>
          <w:szCs w:val="28"/>
          <w:lang w:eastAsia="ru-RU"/>
        </w:rPr>
        <w:t>2,9</w:t>
      </w:r>
      <w:r w:rsidR="00315B41"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w:t>
      </w:r>
      <w:r w:rsidR="00315B41" w:rsidRPr="009114DF">
        <w:rPr>
          <w:rFonts w:ascii="Times New Roman" w:eastAsia="Times New Roman" w:hAnsi="Times New Roman"/>
          <w:sz w:val="28"/>
          <w:szCs w:val="28"/>
          <w:lang w:eastAsia="ru-RU"/>
        </w:rPr>
        <w:t xml:space="preserve">в группе 2 </w:t>
      </w:r>
      <w:r w:rsidRPr="009114DF">
        <w:rPr>
          <w:rFonts w:ascii="Times New Roman" w:eastAsia="Times New Roman" w:hAnsi="Times New Roman"/>
          <w:sz w:val="28"/>
          <w:szCs w:val="28"/>
          <w:lang w:eastAsia="ru-RU"/>
        </w:rPr>
        <w:t xml:space="preserve">РА протекал с </w:t>
      </w:r>
      <w:r w:rsidR="00CD31FF" w:rsidRPr="009114DF">
        <w:rPr>
          <w:rFonts w:ascii="Times New Roman" w:eastAsia="Times New Roman" w:hAnsi="Times New Roman"/>
          <w:sz w:val="28"/>
          <w:szCs w:val="28"/>
          <w:lang w:eastAsia="ru-RU"/>
        </w:rPr>
        <w:t>системными проявлениями</w:t>
      </w:r>
      <w:r w:rsidR="00933672" w:rsidRPr="009114DF">
        <w:rPr>
          <w:rFonts w:ascii="Times New Roman" w:eastAsia="Times New Roman" w:hAnsi="Times New Roman"/>
          <w:sz w:val="28"/>
          <w:szCs w:val="28"/>
          <w:lang w:eastAsia="ru-RU"/>
        </w:rPr>
        <w:t xml:space="preserve"> (</w:t>
      </w:r>
      <w:proofErr w:type="gramStart"/>
      <w:r w:rsidR="00933672" w:rsidRPr="009114DF">
        <w:rPr>
          <w:rFonts w:ascii="Times New Roman" w:eastAsia="Times New Roman" w:hAnsi="Times New Roman"/>
          <w:sz w:val="28"/>
          <w:szCs w:val="28"/>
          <w:lang w:eastAsia="ru-RU"/>
        </w:rPr>
        <w:t>р</w:t>
      </w:r>
      <w:proofErr w:type="gramEnd"/>
      <w:r w:rsidR="00933672" w:rsidRPr="009114DF">
        <w:rPr>
          <w:rFonts w:ascii="Times New Roman" w:eastAsia="Times New Roman" w:hAnsi="Times New Roman"/>
          <w:sz w:val="28"/>
          <w:szCs w:val="28"/>
          <w:lang w:eastAsia="ru-RU"/>
        </w:rPr>
        <w:t>=</w:t>
      </w:r>
      <w:r w:rsidR="00A23B5F" w:rsidRPr="009114DF">
        <w:rPr>
          <w:rFonts w:ascii="Times New Roman" w:eastAsia="Times New Roman" w:hAnsi="Times New Roman"/>
          <w:sz w:val="28"/>
          <w:szCs w:val="28"/>
          <w:lang w:eastAsia="ru-RU"/>
        </w:rPr>
        <w:t>0,56)</w:t>
      </w:r>
      <w:r w:rsidR="00933672" w:rsidRPr="009114DF">
        <w:rPr>
          <w:rFonts w:ascii="Times New Roman" w:eastAsia="Times New Roman" w:hAnsi="Times New Roman"/>
          <w:sz w:val="28"/>
          <w:szCs w:val="28"/>
          <w:lang w:eastAsia="ru-RU"/>
        </w:rPr>
        <w:t xml:space="preserve">. </w:t>
      </w:r>
      <w:r w:rsidR="00FF0E11" w:rsidRPr="009114DF">
        <w:rPr>
          <w:rFonts w:ascii="Times New Roman" w:eastAsia="Times New Roman" w:hAnsi="Times New Roman"/>
          <w:sz w:val="28"/>
          <w:szCs w:val="28"/>
          <w:lang w:eastAsia="ru-RU"/>
        </w:rPr>
        <w:t>Частота внесуставных проявлений зависела от степени активности заболевания, что представлено в табл</w:t>
      </w:r>
      <w:r w:rsidR="00381CED" w:rsidRPr="009114DF">
        <w:rPr>
          <w:rFonts w:ascii="Times New Roman" w:eastAsia="Times New Roman" w:hAnsi="Times New Roman"/>
          <w:sz w:val="28"/>
          <w:szCs w:val="28"/>
          <w:lang w:eastAsia="ru-RU"/>
        </w:rPr>
        <w:t>ице</w:t>
      </w:r>
      <w:r w:rsidR="00FF0E11" w:rsidRPr="009114DF">
        <w:rPr>
          <w:rFonts w:ascii="Times New Roman" w:eastAsia="Times New Roman" w:hAnsi="Times New Roman"/>
          <w:sz w:val="28"/>
          <w:szCs w:val="28"/>
          <w:lang w:eastAsia="ru-RU"/>
        </w:rPr>
        <w:t xml:space="preserve"> 2.</w:t>
      </w:r>
    </w:p>
    <w:p w:rsidR="004B61AE" w:rsidRPr="009114DF" w:rsidRDefault="004B61AE" w:rsidP="00381CED">
      <w:pPr>
        <w:suppressAutoHyphens/>
        <w:spacing w:after="0" w:line="374"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Системные проявления выявлены у 1 (9,1%) больного в группе 1 и у</w:t>
      </w:r>
      <w:r w:rsidR="00381CED"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eastAsia="ru-RU"/>
        </w:rPr>
        <w:t xml:space="preserve">1 (12,5%) в группе 2 с первой степенью активности. Удельный вес больных с системными проявлениями со второй степенью активности был выше и составил  36,4% (4 из 11 больных) и 37,5% (3 из 8 больных) соответственно. У больных с третьей степенью активности внесуставные проявления были выявлены у 6 человек (54,5%) в группе 1 и у 4 пациентов (50,0%) в группе 2. Наиболее часто регистрировались ревматоидные узелки у 6  (54,5%) больных в группе 1 и у 4 </w:t>
      </w:r>
      <w:r w:rsidRPr="009114DF">
        <w:rPr>
          <w:rFonts w:ascii="Times New Roman" w:eastAsia="Times New Roman" w:hAnsi="Times New Roman"/>
          <w:sz w:val="28"/>
          <w:szCs w:val="28"/>
          <w:lang w:eastAsia="ru-RU"/>
        </w:rPr>
        <w:lastRenderedPageBreak/>
        <w:t>(50,0%) больных в группе 2</w:t>
      </w:r>
      <w:r w:rsidRPr="009114DF">
        <w:rPr>
          <w:rFonts w:ascii="Times New Roman" w:eastAsia="Times New Roman" w:hAnsi="Times New Roman"/>
          <w:spacing w:val="-3"/>
          <w:sz w:val="28"/>
          <w:szCs w:val="28"/>
          <w:lang w:eastAsia="ru-RU"/>
        </w:rPr>
        <w:t xml:space="preserve">. Полинейропатия, </w:t>
      </w:r>
      <w:r w:rsidR="001552FE" w:rsidRPr="009114DF">
        <w:rPr>
          <w:rFonts w:ascii="Times New Roman" w:eastAsia="Times New Roman" w:hAnsi="Times New Roman"/>
          <w:spacing w:val="-3"/>
          <w:sz w:val="28"/>
          <w:szCs w:val="28"/>
          <w:lang w:eastAsia="ru-RU"/>
        </w:rPr>
        <w:t>как нарушение</w:t>
      </w:r>
      <w:r w:rsidRPr="009114DF">
        <w:rPr>
          <w:rFonts w:ascii="Times New Roman" w:eastAsia="Times New Roman" w:hAnsi="Times New Roman"/>
          <w:spacing w:val="-3"/>
          <w:sz w:val="28"/>
          <w:szCs w:val="28"/>
          <w:lang w:eastAsia="ru-RU"/>
        </w:rPr>
        <w:t xml:space="preserve"> </w:t>
      </w:r>
      <w:r w:rsidR="001552FE" w:rsidRPr="009114DF">
        <w:rPr>
          <w:rFonts w:ascii="Times New Roman" w:eastAsia="Times New Roman" w:hAnsi="Times New Roman"/>
          <w:spacing w:val="-3"/>
          <w:sz w:val="28"/>
          <w:szCs w:val="28"/>
          <w:lang w:eastAsia="ru-RU"/>
        </w:rPr>
        <w:t xml:space="preserve">болевой и температурной </w:t>
      </w:r>
      <w:r w:rsidRPr="009114DF">
        <w:rPr>
          <w:rFonts w:ascii="Times New Roman" w:eastAsia="Times New Roman" w:hAnsi="Times New Roman"/>
          <w:spacing w:val="-3"/>
          <w:sz w:val="28"/>
          <w:szCs w:val="28"/>
          <w:lang w:eastAsia="ru-RU"/>
        </w:rPr>
        <w:t xml:space="preserve">чувствительности  в пальцах кистей и стоп при отсутствии двигательных расстройств, </w:t>
      </w:r>
      <w:proofErr w:type="gramStart"/>
      <w:r w:rsidRPr="009114DF">
        <w:rPr>
          <w:rFonts w:ascii="Times New Roman" w:eastAsia="Times New Roman" w:hAnsi="Times New Roman"/>
          <w:spacing w:val="-3"/>
          <w:sz w:val="28"/>
          <w:szCs w:val="28"/>
          <w:lang w:eastAsia="ru-RU"/>
        </w:rPr>
        <w:t>отмечена</w:t>
      </w:r>
      <w:proofErr w:type="gramEnd"/>
      <w:r w:rsidRPr="009114DF">
        <w:rPr>
          <w:rFonts w:ascii="Times New Roman" w:eastAsia="Times New Roman" w:hAnsi="Times New Roman"/>
          <w:spacing w:val="-3"/>
          <w:sz w:val="28"/>
          <w:szCs w:val="28"/>
          <w:lang w:eastAsia="ru-RU"/>
        </w:rPr>
        <w:t xml:space="preserve"> у</w:t>
      </w:r>
      <w:r w:rsidR="00895638" w:rsidRPr="009114DF">
        <w:rPr>
          <w:rFonts w:ascii="Times New Roman" w:eastAsia="Times New Roman" w:hAnsi="Times New Roman"/>
          <w:spacing w:val="-3"/>
          <w:sz w:val="28"/>
          <w:szCs w:val="28"/>
          <w:lang w:eastAsia="ru-RU"/>
        </w:rPr>
        <w:t xml:space="preserve"> </w:t>
      </w:r>
      <w:r w:rsidRPr="009114DF">
        <w:rPr>
          <w:rFonts w:ascii="Times New Roman" w:eastAsia="Times New Roman" w:hAnsi="Times New Roman"/>
          <w:spacing w:val="-3"/>
          <w:sz w:val="28"/>
          <w:szCs w:val="28"/>
          <w:lang w:eastAsia="ru-RU"/>
        </w:rPr>
        <w:t xml:space="preserve">5 (45,5%) больных в группе 1 и у 4 (50,0%) больных в группе 2. </w:t>
      </w:r>
    </w:p>
    <w:p w:rsidR="00E019EA" w:rsidRPr="009114DF" w:rsidRDefault="00E019EA" w:rsidP="004B61AE">
      <w:pPr>
        <w:suppressAutoHyphens/>
        <w:spacing w:after="0" w:line="360" w:lineRule="auto"/>
        <w:jc w:val="both"/>
        <w:rPr>
          <w:rFonts w:ascii="Times New Roman" w:eastAsia="Times New Roman" w:hAnsi="Times New Roman"/>
          <w:szCs w:val="28"/>
          <w:lang w:eastAsia="ru-RU"/>
        </w:rPr>
      </w:pPr>
    </w:p>
    <w:p w:rsidR="0062726F" w:rsidRPr="009114DF" w:rsidRDefault="00FF0E11"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pacing w:val="-3"/>
          <w:sz w:val="28"/>
          <w:szCs w:val="28"/>
          <w:lang w:eastAsia="ru-RU"/>
        </w:rPr>
        <w:tab/>
      </w:r>
      <w:r w:rsidR="0062726F" w:rsidRPr="009114DF">
        <w:rPr>
          <w:rFonts w:ascii="Times New Roman" w:eastAsia="Times New Roman" w:hAnsi="Times New Roman"/>
          <w:spacing w:val="40"/>
          <w:sz w:val="28"/>
          <w:szCs w:val="28"/>
          <w:lang w:eastAsia="ru-RU"/>
        </w:rPr>
        <w:t xml:space="preserve">Таблица </w:t>
      </w:r>
      <w:r w:rsidR="0062726F" w:rsidRPr="009114DF">
        <w:rPr>
          <w:rFonts w:ascii="Times New Roman" w:eastAsia="Times New Roman" w:hAnsi="Times New Roman"/>
          <w:sz w:val="28"/>
          <w:szCs w:val="28"/>
          <w:lang w:eastAsia="ru-RU"/>
        </w:rPr>
        <w:t>2</w:t>
      </w:r>
      <w:r w:rsidR="00CD2EDC" w:rsidRPr="009114DF">
        <w:rPr>
          <w:rFonts w:ascii="Times New Roman" w:eastAsia="Times New Roman" w:hAnsi="Times New Roman"/>
          <w:sz w:val="28"/>
          <w:szCs w:val="28"/>
          <w:lang w:eastAsia="ru-RU"/>
        </w:rPr>
        <w:t xml:space="preserve"> – </w:t>
      </w:r>
      <w:r w:rsidR="0062726F" w:rsidRPr="009114DF">
        <w:rPr>
          <w:rFonts w:ascii="Times New Roman" w:eastAsia="Times New Roman" w:hAnsi="Times New Roman"/>
          <w:sz w:val="28"/>
          <w:szCs w:val="28"/>
          <w:lang w:eastAsia="ru-RU"/>
        </w:rPr>
        <w:t>Частота внесуставных (системных) проявлений у больных РА в зависимости от степени активности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740"/>
        <w:gridCol w:w="3392"/>
        <w:gridCol w:w="3345"/>
      </w:tblGrid>
      <w:tr w:rsidR="00F71B34" w:rsidRPr="009114DF" w:rsidTr="00E019EA">
        <w:trPr>
          <w:trHeight w:val="397"/>
        </w:trPr>
        <w:tc>
          <w:tcPr>
            <w:tcW w:w="819" w:type="pct"/>
            <w:vMerge w:val="restart"/>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Степень активности</w:t>
            </w:r>
          </w:p>
        </w:tc>
        <w:tc>
          <w:tcPr>
            <w:tcW w:w="858" w:type="pct"/>
            <w:vMerge w:val="restart"/>
            <w:vAlign w:val="center"/>
          </w:tcPr>
          <w:p w:rsidR="0062726F" w:rsidRPr="009114DF" w:rsidRDefault="0062726F"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Группа больных</w:t>
            </w:r>
          </w:p>
        </w:tc>
        <w:tc>
          <w:tcPr>
            <w:tcW w:w="3323" w:type="pct"/>
            <w:gridSpan w:val="2"/>
            <w:vAlign w:val="center"/>
          </w:tcPr>
          <w:p w:rsidR="0062726F" w:rsidRPr="009114DF" w:rsidRDefault="0062726F" w:rsidP="00F71B34">
            <w:pPr>
              <w:spacing w:after="0" w:line="360" w:lineRule="auto"/>
              <w:ind w:firstLine="84"/>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Число больных с системными проявлениями РА</w:t>
            </w:r>
          </w:p>
        </w:tc>
      </w:tr>
      <w:tr w:rsidR="00F71B34" w:rsidRPr="009114DF" w:rsidTr="00E019EA">
        <w:trPr>
          <w:trHeight w:val="397"/>
        </w:trPr>
        <w:tc>
          <w:tcPr>
            <w:tcW w:w="819" w:type="pct"/>
            <w:vMerge/>
            <w:vAlign w:val="center"/>
          </w:tcPr>
          <w:p w:rsidR="0062726F" w:rsidRPr="009114DF" w:rsidRDefault="0062726F" w:rsidP="00F71B34">
            <w:pPr>
              <w:spacing w:after="0" w:line="360" w:lineRule="auto"/>
              <w:jc w:val="center"/>
              <w:rPr>
                <w:rFonts w:ascii="Times New Roman" w:eastAsia="Times New Roman" w:hAnsi="Times New Roman"/>
                <w:sz w:val="24"/>
                <w:szCs w:val="24"/>
                <w:lang w:eastAsia="ru-RU"/>
              </w:rPr>
            </w:pPr>
          </w:p>
        </w:tc>
        <w:tc>
          <w:tcPr>
            <w:tcW w:w="858" w:type="pct"/>
            <w:vMerge/>
            <w:vAlign w:val="center"/>
          </w:tcPr>
          <w:p w:rsidR="0062726F" w:rsidRPr="009114DF" w:rsidRDefault="0062726F" w:rsidP="00F71B34">
            <w:pPr>
              <w:spacing w:after="0" w:line="360" w:lineRule="auto"/>
              <w:jc w:val="center"/>
              <w:rPr>
                <w:rFonts w:ascii="Times New Roman" w:eastAsia="Times New Roman" w:hAnsi="Times New Roman"/>
                <w:sz w:val="24"/>
                <w:szCs w:val="24"/>
                <w:lang w:eastAsia="ru-RU"/>
              </w:rPr>
            </w:pPr>
          </w:p>
        </w:tc>
        <w:tc>
          <w:tcPr>
            <w:tcW w:w="1673" w:type="pct"/>
            <w:shd w:val="clear" w:color="auto" w:fill="F2F2F2"/>
            <w:vAlign w:val="center"/>
          </w:tcPr>
          <w:p w:rsidR="0062726F" w:rsidRPr="009114DF" w:rsidRDefault="00835B10"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eastAsia="ru-RU"/>
              </w:rPr>
              <w:t>а</w:t>
            </w:r>
            <w:r w:rsidR="0062726F" w:rsidRPr="009114DF">
              <w:rPr>
                <w:rFonts w:ascii="Times New Roman" w:eastAsia="Times New Roman" w:hAnsi="Times New Roman"/>
                <w:sz w:val="24"/>
                <w:szCs w:val="24"/>
                <w:lang w:val="en-US" w:eastAsia="ru-RU"/>
              </w:rPr>
              <w:t>бс.</w:t>
            </w:r>
          </w:p>
        </w:tc>
        <w:tc>
          <w:tcPr>
            <w:tcW w:w="1650" w:type="pct"/>
            <w:shd w:val="clear" w:color="auto" w:fill="F2F2F2"/>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w:t>
            </w:r>
          </w:p>
        </w:tc>
      </w:tr>
      <w:tr w:rsidR="00F71B34" w:rsidRPr="009114DF" w:rsidTr="00E019EA">
        <w:trPr>
          <w:trHeight w:val="397"/>
        </w:trPr>
        <w:tc>
          <w:tcPr>
            <w:tcW w:w="819" w:type="pct"/>
            <w:vMerge w:val="restart"/>
            <w:vAlign w:val="center"/>
          </w:tcPr>
          <w:p w:rsidR="0062726F" w:rsidRPr="009114DF" w:rsidRDefault="0062726F"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00D71286" w:rsidRPr="009114DF">
              <w:rPr>
                <w:rFonts w:ascii="Times New Roman" w:eastAsia="Times New Roman" w:hAnsi="Times New Roman"/>
                <w:sz w:val="24"/>
                <w:szCs w:val="24"/>
                <w:lang w:eastAsia="ru-RU"/>
              </w:rPr>
              <w:t>-</w:t>
            </w:r>
            <w:r w:rsidR="00835B10" w:rsidRPr="009114DF">
              <w:rPr>
                <w:rFonts w:ascii="Times New Roman" w:eastAsia="Times New Roman" w:hAnsi="Times New Roman"/>
                <w:sz w:val="24"/>
                <w:szCs w:val="24"/>
                <w:lang w:eastAsia="ru-RU"/>
              </w:rPr>
              <w:t>я</w:t>
            </w:r>
          </w:p>
        </w:tc>
        <w:tc>
          <w:tcPr>
            <w:tcW w:w="858" w:type="pct"/>
            <w:vAlign w:val="center"/>
          </w:tcPr>
          <w:p w:rsidR="0062726F" w:rsidRPr="009114DF" w:rsidRDefault="0062726F" w:rsidP="00F71B34">
            <w:pPr>
              <w:tabs>
                <w:tab w:val="left" w:pos="744"/>
              </w:tabs>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1673" w:type="pct"/>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1650" w:type="pct"/>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9,1</w:t>
            </w:r>
          </w:p>
        </w:tc>
      </w:tr>
      <w:tr w:rsidR="00F71B34" w:rsidRPr="009114DF" w:rsidTr="00E019EA">
        <w:trPr>
          <w:trHeight w:val="397"/>
        </w:trPr>
        <w:tc>
          <w:tcPr>
            <w:tcW w:w="819" w:type="pct"/>
            <w:vMerge/>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p>
        </w:tc>
        <w:tc>
          <w:tcPr>
            <w:tcW w:w="858" w:type="pct"/>
            <w:shd w:val="clear" w:color="auto" w:fill="F2F2F2"/>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1673" w:type="pct"/>
            <w:shd w:val="clear" w:color="auto" w:fill="F2F2F2"/>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1650" w:type="pct"/>
            <w:shd w:val="clear" w:color="auto" w:fill="F2F2F2"/>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12,5</w:t>
            </w:r>
          </w:p>
        </w:tc>
      </w:tr>
      <w:tr w:rsidR="00F71B34" w:rsidRPr="009114DF" w:rsidTr="00E019EA">
        <w:trPr>
          <w:trHeight w:val="397"/>
        </w:trPr>
        <w:tc>
          <w:tcPr>
            <w:tcW w:w="819" w:type="pct"/>
            <w:vMerge w:val="restart"/>
            <w:vAlign w:val="center"/>
          </w:tcPr>
          <w:p w:rsidR="0062726F" w:rsidRPr="009114DF" w:rsidRDefault="0062726F"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2</w:t>
            </w:r>
            <w:r w:rsidR="00835B10" w:rsidRPr="009114DF">
              <w:rPr>
                <w:rFonts w:ascii="Times New Roman" w:eastAsia="Times New Roman" w:hAnsi="Times New Roman"/>
                <w:sz w:val="24"/>
                <w:szCs w:val="24"/>
                <w:lang w:eastAsia="ru-RU"/>
              </w:rPr>
              <w:t>-я</w:t>
            </w:r>
          </w:p>
        </w:tc>
        <w:tc>
          <w:tcPr>
            <w:tcW w:w="858" w:type="pct"/>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1673" w:type="pct"/>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4</w:t>
            </w:r>
          </w:p>
        </w:tc>
        <w:tc>
          <w:tcPr>
            <w:tcW w:w="1650" w:type="pct"/>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36,4</w:t>
            </w:r>
          </w:p>
        </w:tc>
      </w:tr>
      <w:tr w:rsidR="00F71B34" w:rsidRPr="009114DF" w:rsidTr="00E019EA">
        <w:trPr>
          <w:trHeight w:val="397"/>
        </w:trPr>
        <w:tc>
          <w:tcPr>
            <w:tcW w:w="819" w:type="pct"/>
            <w:vMerge/>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p>
        </w:tc>
        <w:tc>
          <w:tcPr>
            <w:tcW w:w="858" w:type="pct"/>
            <w:shd w:val="clear" w:color="auto" w:fill="F2F2F2"/>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1673" w:type="pct"/>
            <w:shd w:val="clear" w:color="auto" w:fill="F2F2F2"/>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3</w:t>
            </w:r>
          </w:p>
        </w:tc>
        <w:tc>
          <w:tcPr>
            <w:tcW w:w="1650" w:type="pct"/>
            <w:shd w:val="clear" w:color="auto" w:fill="F2F2F2"/>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37,5</w:t>
            </w:r>
          </w:p>
        </w:tc>
      </w:tr>
      <w:tr w:rsidR="00F71B34" w:rsidRPr="009114DF" w:rsidTr="00E019EA">
        <w:trPr>
          <w:trHeight w:val="397"/>
        </w:trPr>
        <w:tc>
          <w:tcPr>
            <w:tcW w:w="819" w:type="pct"/>
            <w:vMerge w:val="restart"/>
            <w:vAlign w:val="center"/>
          </w:tcPr>
          <w:p w:rsidR="0062726F" w:rsidRPr="009114DF" w:rsidRDefault="0062726F" w:rsidP="00F71B34">
            <w:pPr>
              <w:spacing w:after="0" w:line="360" w:lineRule="auto"/>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3</w:t>
            </w:r>
            <w:r w:rsidR="00835B10" w:rsidRPr="009114DF">
              <w:rPr>
                <w:rFonts w:ascii="Times New Roman" w:eastAsia="Times New Roman" w:hAnsi="Times New Roman"/>
                <w:sz w:val="24"/>
                <w:szCs w:val="24"/>
                <w:lang w:eastAsia="ru-RU"/>
              </w:rPr>
              <w:t>-я</w:t>
            </w:r>
          </w:p>
        </w:tc>
        <w:tc>
          <w:tcPr>
            <w:tcW w:w="858" w:type="pct"/>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1673" w:type="pct"/>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6</w:t>
            </w:r>
          </w:p>
        </w:tc>
        <w:tc>
          <w:tcPr>
            <w:tcW w:w="1650" w:type="pct"/>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54,5</w:t>
            </w:r>
          </w:p>
        </w:tc>
      </w:tr>
      <w:tr w:rsidR="00F71B34" w:rsidRPr="009114DF" w:rsidTr="00E019EA">
        <w:trPr>
          <w:trHeight w:val="397"/>
        </w:trPr>
        <w:tc>
          <w:tcPr>
            <w:tcW w:w="819" w:type="pct"/>
            <w:vMerge/>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p>
        </w:tc>
        <w:tc>
          <w:tcPr>
            <w:tcW w:w="858" w:type="pct"/>
            <w:shd w:val="clear" w:color="auto" w:fill="F2F2F2"/>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1673" w:type="pct"/>
            <w:shd w:val="clear" w:color="auto" w:fill="F2F2F2"/>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4</w:t>
            </w:r>
          </w:p>
        </w:tc>
        <w:tc>
          <w:tcPr>
            <w:tcW w:w="1650" w:type="pct"/>
            <w:shd w:val="clear" w:color="auto" w:fill="F2F2F2"/>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50,0</w:t>
            </w:r>
          </w:p>
        </w:tc>
      </w:tr>
      <w:tr w:rsidR="00F71B34" w:rsidRPr="009114DF" w:rsidTr="00E019EA">
        <w:trPr>
          <w:trHeight w:val="397"/>
        </w:trPr>
        <w:tc>
          <w:tcPr>
            <w:tcW w:w="819" w:type="pct"/>
            <w:vMerge w:val="restart"/>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Всего</w:t>
            </w:r>
          </w:p>
        </w:tc>
        <w:tc>
          <w:tcPr>
            <w:tcW w:w="858" w:type="pct"/>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1673" w:type="pct"/>
            <w:vAlign w:val="center"/>
          </w:tcPr>
          <w:p w:rsidR="0062726F" w:rsidRPr="009114DF" w:rsidRDefault="0062726F" w:rsidP="00F71B34">
            <w:pPr>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11</w:t>
            </w:r>
          </w:p>
        </w:tc>
        <w:tc>
          <w:tcPr>
            <w:tcW w:w="1650" w:type="pct"/>
            <w:vAlign w:val="center"/>
          </w:tcPr>
          <w:p w:rsidR="0062726F" w:rsidRPr="009114DF" w:rsidRDefault="0062726F" w:rsidP="00F71B34">
            <w:pPr>
              <w:tabs>
                <w:tab w:val="left" w:pos="1260"/>
                <w:tab w:val="center" w:pos="1521"/>
              </w:tabs>
              <w:spacing w:after="0" w:line="360" w:lineRule="auto"/>
              <w:ind w:firstLine="33"/>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100</w:t>
            </w:r>
          </w:p>
        </w:tc>
      </w:tr>
      <w:tr w:rsidR="00F71B34" w:rsidRPr="009114DF" w:rsidTr="00E019EA">
        <w:trPr>
          <w:trHeight w:val="397"/>
        </w:trPr>
        <w:tc>
          <w:tcPr>
            <w:tcW w:w="819" w:type="pct"/>
            <w:vMerge/>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p>
        </w:tc>
        <w:tc>
          <w:tcPr>
            <w:tcW w:w="858" w:type="pct"/>
            <w:shd w:val="clear" w:color="auto" w:fill="F2F2F2"/>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1673" w:type="pct"/>
            <w:shd w:val="clear" w:color="auto" w:fill="F2F2F2"/>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8</w:t>
            </w:r>
          </w:p>
        </w:tc>
        <w:tc>
          <w:tcPr>
            <w:tcW w:w="1650" w:type="pct"/>
            <w:shd w:val="clear" w:color="auto" w:fill="F2F2F2"/>
            <w:vAlign w:val="center"/>
          </w:tcPr>
          <w:p w:rsidR="0062726F" w:rsidRPr="009114DF" w:rsidRDefault="0062726F" w:rsidP="00F71B34">
            <w:pPr>
              <w:spacing w:after="0" w:line="360" w:lineRule="auto"/>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100</w:t>
            </w:r>
          </w:p>
        </w:tc>
      </w:tr>
    </w:tbl>
    <w:p w:rsidR="0062726F" w:rsidRPr="009114DF" w:rsidRDefault="0062726F"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   </w:t>
      </w:r>
    </w:p>
    <w:p w:rsidR="007C2C06" w:rsidRPr="009114DF" w:rsidRDefault="007C2C06" w:rsidP="00F71B34">
      <w:pPr>
        <w:suppressAutoHyphens/>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pacing w:val="-3"/>
          <w:sz w:val="28"/>
          <w:szCs w:val="28"/>
          <w:lang w:eastAsia="ru-RU"/>
        </w:rPr>
        <w:tab/>
      </w:r>
      <w:r w:rsidRPr="009114DF">
        <w:rPr>
          <w:rFonts w:ascii="Times New Roman" w:eastAsia="Times New Roman" w:hAnsi="Times New Roman"/>
          <w:sz w:val="28"/>
          <w:szCs w:val="28"/>
          <w:lang w:eastAsia="ru-RU"/>
        </w:rPr>
        <w:t xml:space="preserve">Наличие ревматоидного фактора (РФ) </w:t>
      </w:r>
      <w:r w:rsidR="00125F70" w:rsidRPr="009114DF">
        <w:rPr>
          <w:rFonts w:ascii="Times New Roman" w:eastAsia="Times New Roman" w:hAnsi="Times New Roman"/>
          <w:sz w:val="28"/>
          <w:szCs w:val="28"/>
          <w:lang w:eastAsia="ru-RU"/>
        </w:rPr>
        <w:t xml:space="preserve">в группе 1 </w:t>
      </w:r>
      <w:r w:rsidRPr="009114DF">
        <w:rPr>
          <w:rFonts w:ascii="Times New Roman" w:eastAsia="Times New Roman" w:hAnsi="Times New Roman"/>
          <w:sz w:val="28"/>
          <w:szCs w:val="28"/>
          <w:lang w:eastAsia="ru-RU"/>
        </w:rPr>
        <w:t>установлено</w:t>
      </w:r>
      <w:r w:rsidR="00A2664D"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у</w:t>
      </w:r>
      <w:r w:rsidR="00835B10" w:rsidRPr="009114DF">
        <w:rPr>
          <w:rFonts w:ascii="Times New Roman" w:eastAsia="Times New Roman" w:hAnsi="Times New Roman"/>
          <w:sz w:val="28"/>
          <w:szCs w:val="28"/>
          <w:lang w:eastAsia="ru-RU"/>
        </w:rPr>
        <w:br/>
      </w:r>
      <w:r w:rsidR="007A561D" w:rsidRPr="009114DF">
        <w:rPr>
          <w:rFonts w:ascii="Times New Roman" w:eastAsia="Times New Roman" w:hAnsi="Times New Roman"/>
          <w:sz w:val="28"/>
          <w:szCs w:val="28"/>
          <w:lang w:eastAsia="ru-RU"/>
        </w:rPr>
        <w:t>40</w:t>
      </w:r>
      <w:r w:rsidRPr="009114DF">
        <w:rPr>
          <w:rFonts w:ascii="Times New Roman" w:eastAsia="Times New Roman" w:hAnsi="Times New Roman"/>
          <w:sz w:val="28"/>
          <w:szCs w:val="28"/>
          <w:lang w:eastAsia="ru-RU"/>
        </w:rPr>
        <w:t xml:space="preserve"> (</w:t>
      </w:r>
      <w:r w:rsidR="007A561D" w:rsidRPr="009114DF">
        <w:rPr>
          <w:rFonts w:ascii="Times New Roman" w:eastAsia="Times New Roman" w:hAnsi="Times New Roman"/>
          <w:sz w:val="28"/>
          <w:szCs w:val="28"/>
          <w:lang w:eastAsia="ru-RU"/>
        </w:rPr>
        <w:t>90,9</w:t>
      </w:r>
      <w:r w:rsidRPr="009114DF">
        <w:rPr>
          <w:rFonts w:ascii="Times New Roman" w:eastAsia="Times New Roman" w:hAnsi="Times New Roman"/>
          <w:sz w:val="28"/>
          <w:szCs w:val="28"/>
          <w:lang w:eastAsia="ru-RU"/>
        </w:rPr>
        <w:t>%) пациентов</w:t>
      </w:r>
      <w:r w:rsidR="00A2664D" w:rsidRPr="009114DF">
        <w:rPr>
          <w:rFonts w:ascii="Times New Roman" w:eastAsia="Times New Roman" w:hAnsi="Times New Roman"/>
          <w:sz w:val="28"/>
          <w:szCs w:val="28"/>
          <w:lang w:eastAsia="ru-RU"/>
        </w:rPr>
        <w:t>, в группе</w:t>
      </w:r>
      <w:r w:rsidR="000B24E5" w:rsidRPr="009114DF">
        <w:rPr>
          <w:rFonts w:ascii="Times New Roman" w:eastAsia="Times New Roman" w:hAnsi="Times New Roman"/>
          <w:sz w:val="28"/>
          <w:szCs w:val="28"/>
          <w:lang w:eastAsia="ru-RU"/>
        </w:rPr>
        <w:t xml:space="preserve"> 2 – у 3</w:t>
      </w:r>
      <w:r w:rsidR="007A561D" w:rsidRPr="009114DF">
        <w:rPr>
          <w:rFonts w:ascii="Times New Roman" w:eastAsia="Times New Roman" w:hAnsi="Times New Roman"/>
          <w:sz w:val="28"/>
          <w:szCs w:val="28"/>
          <w:lang w:eastAsia="ru-RU"/>
        </w:rPr>
        <w:t>1</w:t>
      </w:r>
      <w:r w:rsidR="000B24E5" w:rsidRPr="009114DF">
        <w:rPr>
          <w:rFonts w:ascii="Times New Roman" w:eastAsia="Times New Roman" w:hAnsi="Times New Roman"/>
          <w:sz w:val="28"/>
          <w:szCs w:val="28"/>
          <w:lang w:eastAsia="ru-RU"/>
        </w:rPr>
        <w:t xml:space="preserve"> (8</w:t>
      </w:r>
      <w:r w:rsidR="007A561D" w:rsidRPr="009114DF">
        <w:rPr>
          <w:rFonts w:ascii="Times New Roman" w:eastAsia="Times New Roman" w:hAnsi="Times New Roman"/>
          <w:sz w:val="28"/>
          <w:szCs w:val="28"/>
          <w:lang w:eastAsia="ru-RU"/>
        </w:rPr>
        <w:t>8,6%</w:t>
      </w:r>
      <w:r w:rsidR="000B24E5"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w:t>
      </w:r>
    </w:p>
    <w:p w:rsidR="007C2C06" w:rsidRPr="009114DF" w:rsidRDefault="007C2C06" w:rsidP="00F71B34">
      <w:pPr>
        <w:suppressAutoHyphens/>
        <w:spacing w:after="0" w:line="360" w:lineRule="auto"/>
        <w:ind w:firstLine="567"/>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tab/>
      </w:r>
      <w:r w:rsidR="00125F70" w:rsidRPr="009114DF">
        <w:rPr>
          <w:rFonts w:ascii="Times New Roman" w:eastAsia="Times New Roman" w:hAnsi="Times New Roman"/>
          <w:spacing w:val="-3"/>
          <w:sz w:val="28"/>
          <w:szCs w:val="28"/>
          <w:lang w:eastAsia="ru-RU"/>
        </w:rPr>
        <w:t xml:space="preserve">В группе 1 </w:t>
      </w:r>
      <w:r w:rsidR="000E62AE" w:rsidRPr="009114DF">
        <w:rPr>
          <w:rFonts w:ascii="Times New Roman" w:eastAsia="Times New Roman" w:hAnsi="Times New Roman"/>
          <w:spacing w:val="-3"/>
          <w:sz w:val="28"/>
          <w:szCs w:val="28"/>
          <w:lang w:eastAsia="ru-RU"/>
        </w:rPr>
        <w:t xml:space="preserve">у больных с первой </w:t>
      </w:r>
      <w:r w:rsidRPr="009114DF">
        <w:rPr>
          <w:rFonts w:ascii="Times New Roman" w:eastAsia="Times New Roman" w:hAnsi="Times New Roman"/>
          <w:spacing w:val="-3"/>
          <w:sz w:val="28"/>
          <w:szCs w:val="28"/>
          <w:lang w:eastAsia="ru-RU"/>
        </w:rPr>
        <w:t>степен</w:t>
      </w:r>
      <w:r w:rsidR="000E62AE" w:rsidRPr="009114DF">
        <w:rPr>
          <w:rFonts w:ascii="Times New Roman" w:eastAsia="Times New Roman" w:hAnsi="Times New Roman"/>
          <w:spacing w:val="-3"/>
          <w:sz w:val="28"/>
          <w:szCs w:val="28"/>
          <w:lang w:eastAsia="ru-RU"/>
        </w:rPr>
        <w:t xml:space="preserve">ью </w:t>
      </w:r>
      <w:r w:rsidRPr="009114DF">
        <w:rPr>
          <w:rFonts w:ascii="Times New Roman" w:eastAsia="Times New Roman" w:hAnsi="Times New Roman"/>
          <w:spacing w:val="-3"/>
          <w:sz w:val="28"/>
          <w:szCs w:val="28"/>
          <w:lang w:eastAsia="ru-RU"/>
        </w:rPr>
        <w:t xml:space="preserve">активности </w:t>
      </w:r>
      <w:r w:rsidR="00121775" w:rsidRPr="009114DF">
        <w:rPr>
          <w:rFonts w:ascii="Times New Roman" w:eastAsia="Times New Roman" w:hAnsi="Times New Roman"/>
          <w:spacing w:val="-3"/>
          <w:sz w:val="28"/>
          <w:szCs w:val="28"/>
          <w:lang w:eastAsia="ru-RU"/>
        </w:rPr>
        <w:t>РФ</w:t>
      </w:r>
      <w:r w:rsidR="007A561D" w:rsidRPr="009114DF">
        <w:rPr>
          <w:rFonts w:ascii="Times New Roman" w:eastAsia="Times New Roman" w:hAnsi="Times New Roman"/>
          <w:spacing w:val="-3"/>
          <w:sz w:val="28"/>
          <w:szCs w:val="28"/>
          <w:lang w:eastAsia="ru-RU"/>
        </w:rPr>
        <w:t xml:space="preserve"> </w:t>
      </w:r>
      <w:r w:rsidR="006F3814" w:rsidRPr="009114DF">
        <w:rPr>
          <w:rFonts w:ascii="Times New Roman" w:eastAsia="Times New Roman" w:hAnsi="Times New Roman"/>
          <w:spacing w:val="-3"/>
          <w:sz w:val="28"/>
          <w:szCs w:val="28"/>
          <w:lang w:eastAsia="ru-RU"/>
        </w:rPr>
        <w:t>выявлен</w:t>
      </w:r>
      <w:r w:rsidR="007A561D" w:rsidRPr="009114DF">
        <w:rPr>
          <w:rFonts w:ascii="Times New Roman" w:eastAsia="Times New Roman" w:hAnsi="Times New Roman"/>
          <w:spacing w:val="-3"/>
          <w:sz w:val="28"/>
          <w:szCs w:val="28"/>
          <w:lang w:eastAsia="ru-RU"/>
        </w:rPr>
        <w:t xml:space="preserve"> у</w:t>
      </w:r>
      <w:r w:rsidR="00835B10" w:rsidRPr="009114DF">
        <w:rPr>
          <w:rFonts w:ascii="Times New Roman" w:eastAsia="Times New Roman" w:hAnsi="Times New Roman"/>
          <w:spacing w:val="-3"/>
          <w:sz w:val="28"/>
          <w:szCs w:val="28"/>
          <w:lang w:eastAsia="ru-RU"/>
        </w:rPr>
        <w:br/>
      </w:r>
      <w:r w:rsidR="007A561D" w:rsidRPr="009114DF">
        <w:rPr>
          <w:rFonts w:ascii="Times New Roman" w:eastAsia="Times New Roman" w:hAnsi="Times New Roman"/>
          <w:spacing w:val="-3"/>
          <w:sz w:val="28"/>
          <w:szCs w:val="28"/>
          <w:lang w:eastAsia="ru-RU"/>
        </w:rPr>
        <w:t>5</w:t>
      </w:r>
      <w:r w:rsidRPr="009114DF">
        <w:rPr>
          <w:rFonts w:ascii="Times New Roman" w:eastAsia="Times New Roman" w:hAnsi="Times New Roman"/>
          <w:spacing w:val="-3"/>
          <w:sz w:val="28"/>
          <w:szCs w:val="28"/>
          <w:lang w:eastAsia="ru-RU"/>
        </w:rPr>
        <w:t xml:space="preserve"> (</w:t>
      </w:r>
      <w:r w:rsidR="00125F70" w:rsidRPr="009114DF">
        <w:rPr>
          <w:rFonts w:ascii="Times New Roman" w:eastAsia="Times New Roman" w:hAnsi="Times New Roman"/>
          <w:spacing w:val="-3"/>
          <w:sz w:val="28"/>
          <w:szCs w:val="28"/>
          <w:lang w:eastAsia="ru-RU"/>
        </w:rPr>
        <w:t>1</w:t>
      </w:r>
      <w:r w:rsidR="00F15109" w:rsidRPr="009114DF">
        <w:rPr>
          <w:rFonts w:ascii="Times New Roman" w:eastAsia="Times New Roman" w:hAnsi="Times New Roman"/>
          <w:spacing w:val="-3"/>
          <w:sz w:val="28"/>
          <w:szCs w:val="28"/>
          <w:lang w:eastAsia="ru-RU"/>
        </w:rPr>
        <w:t>1,4</w:t>
      </w:r>
      <w:r w:rsidRPr="009114DF">
        <w:rPr>
          <w:rFonts w:ascii="Times New Roman" w:eastAsia="Times New Roman" w:hAnsi="Times New Roman"/>
          <w:spacing w:val="-3"/>
          <w:sz w:val="28"/>
          <w:szCs w:val="28"/>
          <w:lang w:eastAsia="ru-RU"/>
        </w:rPr>
        <w:t xml:space="preserve">%) </w:t>
      </w:r>
      <w:r w:rsidR="000E62AE" w:rsidRPr="009114DF">
        <w:rPr>
          <w:rFonts w:ascii="Times New Roman" w:eastAsia="Times New Roman" w:hAnsi="Times New Roman"/>
          <w:spacing w:val="-3"/>
          <w:sz w:val="28"/>
          <w:szCs w:val="28"/>
          <w:lang w:eastAsia="ru-RU"/>
        </w:rPr>
        <w:t>человек</w:t>
      </w:r>
      <w:r w:rsidRPr="009114DF">
        <w:rPr>
          <w:rFonts w:ascii="Times New Roman" w:eastAsia="Times New Roman" w:hAnsi="Times New Roman"/>
          <w:spacing w:val="-3"/>
          <w:sz w:val="28"/>
          <w:szCs w:val="28"/>
          <w:lang w:eastAsia="ru-RU"/>
        </w:rPr>
        <w:t xml:space="preserve">, </w:t>
      </w:r>
      <w:r w:rsidR="000E62AE" w:rsidRPr="009114DF">
        <w:rPr>
          <w:rFonts w:ascii="Times New Roman" w:eastAsia="Times New Roman" w:hAnsi="Times New Roman"/>
          <w:spacing w:val="-3"/>
          <w:sz w:val="28"/>
          <w:szCs w:val="28"/>
          <w:lang w:eastAsia="ru-RU"/>
        </w:rPr>
        <w:t>со</w:t>
      </w:r>
      <w:r w:rsidRPr="009114DF">
        <w:rPr>
          <w:rFonts w:ascii="Times New Roman" w:eastAsia="Times New Roman" w:hAnsi="Times New Roman"/>
          <w:spacing w:val="-3"/>
          <w:sz w:val="28"/>
          <w:szCs w:val="28"/>
          <w:lang w:eastAsia="ru-RU"/>
        </w:rPr>
        <w:t xml:space="preserve"> второй – у </w:t>
      </w:r>
      <w:r w:rsidR="007A561D" w:rsidRPr="009114DF">
        <w:rPr>
          <w:rFonts w:ascii="Times New Roman" w:eastAsia="Times New Roman" w:hAnsi="Times New Roman"/>
          <w:spacing w:val="-3"/>
          <w:sz w:val="28"/>
          <w:szCs w:val="28"/>
          <w:lang w:eastAsia="ru-RU"/>
        </w:rPr>
        <w:t>11</w:t>
      </w:r>
      <w:r w:rsidRPr="009114DF">
        <w:rPr>
          <w:rFonts w:ascii="Times New Roman" w:eastAsia="Times New Roman" w:hAnsi="Times New Roman"/>
          <w:spacing w:val="-3"/>
          <w:sz w:val="28"/>
          <w:szCs w:val="28"/>
          <w:lang w:eastAsia="ru-RU"/>
        </w:rPr>
        <w:t xml:space="preserve"> (</w:t>
      </w:r>
      <w:r w:rsidR="00125F70" w:rsidRPr="009114DF">
        <w:rPr>
          <w:rFonts w:ascii="Times New Roman" w:eastAsia="Times New Roman" w:hAnsi="Times New Roman"/>
          <w:spacing w:val="-3"/>
          <w:sz w:val="28"/>
          <w:szCs w:val="28"/>
          <w:lang w:eastAsia="ru-RU"/>
        </w:rPr>
        <w:t>2</w:t>
      </w:r>
      <w:r w:rsidR="00F15109" w:rsidRPr="009114DF">
        <w:rPr>
          <w:rFonts w:ascii="Times New Roman" w:eastAsia="Times New Roman" w:hAnsi="Times New Roman"/>
          <w:spacing w:val="-3"/>
          <w:sz w:val="28"/>
          <w:szCs w:val="28"/>
          <w:lang w:eastAsia="ru-RU"/>
        </w:rPr>
        <w:t>5,0</w:t>
      </w:r>
      <w:r w:rsidRPr="009114DF">
        <w:rPr>
          <w:rFonts w:ascii="Times New Roman" w:eastAsia="Times New Roman" w:hAnsi="Times New Roman"/>
          <w:spacing w:val="-3"/>
          <w:sz w:val="28"/>
          <w:szCs w:val="28"/>
          <w:lang w:eastAsia="ru-RU"/>
        </w:rPr>
        <w:t xml:space="preserve">%) и </w:t>
      </w:r>
      <w:r w:rsidR="000E62AE" w:rsidRPr="009114DF">
        <w:rPr>
          <w:rFonts w:ascii="Times New Roman" w:eastAsia="Times New Roman" w:hAnsi="Times New Roman"/>
          <w:spacing w:val="-3"/>
          <w:sz w:val="28"/>
          <w:szCs w:val="28"/>
          <w:lang w:eastAsia="ru-RU"/>
        </w:rPr>
        <w:t>с</w:t>
      </w:r>
      <w:r w:rsidRPr="009114DF">
        <w:rPr>
          <w:rFonts w:ascii="Times New Roman" w:eastAsia="Times New Roman" w:hAnsi="Times New Roman"/>
          <w:spacing w:val="-3"/>
          <w:sz w:val="28"/>
          <w:szCs w:val="28"/>
          <w:lang w:eastAsia="ru-RU"/>
        </w:rPr>
        <w:t xml:space="preserve"> третьей степени активности –</w:t>
      </w:r>
      <w:r w:rsidR="00835B10" w:rsidRPr="009114DF">
        <w:rPr>
          <w:rFonts w:ascii="Times New Roman" w:eastAsia="Times New Roman" w:hAnsi="Times New Roman"/>
          <w:spacing w:val="-3"/>
          <w:sz w:val="28"/>
          <w:szCs w:val="28"/>
          <w:lang w:eastAsia="ru-RU"/>
        </w:rPr>
        <w:br/>
      </w:r>
      <w:r w:rsidRPr="009114DF">
        <w:rPr>
          <w:rFonts w:ascii="Times New Roman" w:eastAsia="Times New Roman" w:hAnsi="Times New Roman"/>
          <w:spacing w:val="-3"/>
          <w:sz w:val="28"/>
          <w:szCs w:val="28"/>
          <w:lang w:eastAsia="ru-RU"/>
        </w:rPr>
        <w:t xml:space="preserve">у </w:t>
      </w:r>
      <w:r w:rsidR="00F15109" w:rsidRPr="009114DF">
        <w:rPr>
          <w:rFonts w:ascii="Times New Roman" w:eastAsia="Times New Roman" w:hAnsi="Times New Roman"/>
          <w:spacing w:val="-3"/>
          <w:sz w:val="28"/>
          <w:szCs w:val="28"/>
          <w:lang w:eastAsia="ru-RU"/>
        </w:rPr>
        <w:t>24</w:t>
      </w:r>
      <w:r w:rsidRPr="009114DF">
        <w:rPr>
          <w:rFonts w:ascii="Times New Roman" w:eastAsia="Times New Roman" w:hAnsi="Times New Roman"/>
          <w:spacing w:val="-3"/>
          <w:sz w:val="28"/>
          <w:szCs w:val="28"/>
          <w:lang w:eastAsia="ru-RU"/>
        </w:rPr>
        <w:t xml:space="preserve"> (</w:t>
      </w:r>
      <w:r w:rsidR="00F15109" w:rsidRPr="009114DF">
        <w:rPr>
          <w:rFonts w:ascii="Times New Roman" w:eastAsia="Times New Roman" w:hAnsi="Times New Roman"/>
          <w:spacing w:val="-3"/>
          <w:sz w:val="28"/>
          <w:szCs w:val="28"/>
          <w:lang w:eastAsia="ru-RU"/>
        </w:rPr>
        <w:t>54,5</w:t>
      </w:r>
      <w:r w:rsidRPr="009114DF">
        <w:rPr>
          <w:rFonts w:ascii="Times New Roman" w:eastAsia="Times New Roman" w:hAnsi="Times New Roman"/>
          <w:spacing w:val="-3"/>
          <w:sz w:val="28"/>
          <w:szCs w:val="28"/>
          <w:lang w:eastAsia="ru-RU"/>
        </w:rPr>
        <w:t>%) больных.</w:t>
      </w:r>
      <w:r w:rsidR="00125F70" w:rsidRPr="009114DF">
        <w:rPr>
          <w:rFonts w:ascii="Times New Roman" w:eastAsia="Times New Roman" w:hAnsi="Times New Roman"/>
          <w:spacing w:val="-3"/>
          <w:sz w:val="28"/>
          <w:szCs w:val="28"/>
          <w:lang w:eastAsia="ru-RU"/>
        </w:rPr>
        <w:t xml:space="preserve"> В гру</w:t>
      </w:r>
      <w:r w:rsidR="00F15109" w:rsidRPr="009114DF">
        <w:rPr>
          <w:rFonts w:ascii="Times New Roman" w:eastAsia="Times New Roman" w:hAnsi="Times New Roman"/>
          <w:spacing w:val="-3"/>
          <w:sz w:val="28"/>
          <w:szCs w:val="28"/>
          <w:lang w:eastAsia="ru-RU"/>
        </w:rPr>
        <w:t>ппе 2 наличие РФ установлено у 4</w:t>
      </w:r>
      <w:r w:rsidR="00125F70" w:rsidRPr="009114DF">
        <w:rPr>
          <w:rFonts w:ascii="Times New Roman" w:eastAsia="Times New Roman" w:hAnsi="Times New Roman"/>
          <w:spacing w:val="-3"/>
          <w:sz w:val="28"/>
          <w:szCs w:val="28"/>
          <w:lang w:eastAsia="ru-RU"/>
        </w:rPr>
        <w:t xml:space="preserve"> (1</w:t>
      </w:r>
      <w:r w:rsidR="00F15109" w:rsidRPr="009114DF">
        <w:rPr>
          <w:rFonts w:ascii="Times New Roman" w:eastAsia="Times New Roman" w:hAnsi="Times New Roman"/>
          <w:spacing w:val="-3"/>
          <w:sz w:val="28"/>
          <w:szCs w:val="28"/>
          <w:lang w:eastAsia="ru-RU"/>
        </w:rPr>
        <w:t>1,4</w:t>
      </w:r>
      <w:r w:rsidR="00125F70" w:rsidRPr="009114DF">
        <w:rPr>
          <w:rFonts w:ascii="Times New Roman" w:eastAsia="Times New Roman" w:hAnsi="Times New Roman"/>
          <w:spacing w:val="-3"/>
          <w:sz w:val="28"/>
          <w:szCs w:val="28"/>
          <w:lang w:eastAsia="ru-RU"/>
        </w:rPr>
        <w:t xml:space="preserve">%) больных с </w:t>
      </w:r>
      <w:r w:rsidR="00F15109" w:rsidRPr="009114DF">
        <w:rPr>
          <w:rFonts w:ascii="Times New Roman" w:eastAsia="Times New Roman" w:hAnsi="Times New Roman"/>
          <w:spacing w:val="-3"/>
          <w:sz w:val="28"/>
          <w:szCs w:val="28"/>
          <w:lang w:eastAsia="ru-RU"/>
        </w:rPr>
        <w:t>первой степенью активности, у 13</w:t>
      </w:r>
      <w:r w:rsidR="00125F70" w:rsidRPr="009114DF">
        <w:rPr>
          <w:rFonts w:ascii="Times New Roman" w:eastAsia="Times New Roman" w:hAnsi="Times New Roman"/>
          <w:spacing w:val="-3"/>
          <w:sz w:val="28"/>
          <w:szCs w:val="28"/>
          <w:lang w:eastAsia="ru-RU"/>
        </w:rPr>
        <w:t xml:space="preserve"> (</w:t>
      </w:r>
      <w:r w:rsidR="00F15109" w:rsidRPr="009114DF">
        <w:rPr>
          <w:rFonts w:ascii="Times New Roman" w:eastAsia="Times New Roman" w:hAnsi="Times New Roman"/>
          <w:spacing w:val="-3"/>
          <w:sz w:val="28"/>
          <w:szCs w:val="28"/>
          <w:lang w:eastAsia="ru-RU"/>
        </w:rPr>
        <w:t>37,1</w:t>
      </w:r>
      <w:r w:rsidR="00125F70" w:rsidRPr="009114DF">
        <w:rPr>
          <w:rFonts w:ascii="Times New Roman" w:eastAsia="Times New Roman" w:hAnsi="Times New Roman"/>
          <w:spacing w:val="-3"/>
          <w:sz w:val="28"/>
          <w:szCs w:val="28"/>
          <w:lang w:eastAsia="ru-RU"/>
        </w:rPr>
        <w:t xml:space="preserve">%) </w:t>
      </w:r>
      <w:r w:rsidR="00835B10" w:rsidRPr="009114DF">
        <w:rPr>
          <w:rFonts w:ascii="Times New Roman" w:eastAsia="Times New Roman" w:hAnsi="Times New Roman"/>
          <w:spacing w:val="-3"/>
          <w:sz w:val="28"/>
          <w:szCs w:val="28"/>
          <w:lang w:eastAsia="ru-RU"/>
        </w:rPr>
        <w:t xml:space="preserve">– </w:t>
      </w:r>
      <w:r w:rsidR="00125F70" w:rsidRPr="009114DF">
        <w:rPr>
          <w:rFonts w:ascii="Times New Roman" w:eastAsia="Times New Roman" w:hAnsi="Times New Roman"/>
          <w:spacing w:val="-3"/>
          <w:sz w:val="28"/>
          <w:szCs w:val="28"/>
          <w:lang w:eastAsia="ru-RU"/>
        </w:rPr>
        <w:t>со второй степенью и у</w:t>
      </w:r>
      <w:r w:rsidR="00835B10" w:rsidRPr="009114DF">
        <w:rPr>
          <w:rFonts w:ascii="Times New Roman" w:eastAsia="Times New Roman" w:hAnsi="Times New Roman"/>
          <w:spacing w:val="-3"/>
          <w:sz w:val="28"/>
          <w:szCs w:val="28"/>
          <w:lang w:eastAsia="ru-RU"/>
        </w:rPr>
        <w:br/>
      </w:r>
      <w:r w:rsidR="00125F70" w:rsidRPr="009114DF">
        <w:rPr>
          <w:rFonts w:ascii="Times New Roman" w:eastAsia="Times New Roman" w:hAnsi="Times New Roman"/>
          <w:spacing w:val="-3"/>
          <w:sz w:val="28"/>
          <w:szCs w:val="28"/>
          <w:lang w:eastAsia="ru-RU"/>
        </w:rPr>
        <w:t>14 (</w:t>
      </w:r>
      <w:r w:rsidR="00F15109" w:rsidRPr="009114DF">
        <w:rPr>
          <w:rFonts w:ascii="Times New Roman" w:eastAsia="Times New Roman" w:hAnsi="Times New Roman"/>
          <w:spacing w:val="-3"/>
          <w:sz w:val="28"/>
          <w:szCs w:val="28"/>
          <w:lang w:eastAsia="ru-RU"/>
        </w:rPr>
        <w:t>40,0</w:t>
      </w:r>
      <w:r w:rsidR="00125F70" w:rsidRPr="009114DF">
        <w:rPr>
          <w:rFonts w:ascii="Times New Roman" w:eastAsia="Times New Roman" w:hAnsi="Times New Roman"/>
          <w:spacing w:val="-3"/>
          <w:sz w:val="28"/>
          <w:szCs w:val="28"/>
          <w:lang w:eastAsia="ru-RU"/>
        </w:rPr>
        <w:t xml:space="preserve">%) </w:t>
      </w:r>
      <w:r w:rsidR="00835B10" w:rsidRPr="009114DF">
        <w:rPr>
          <w:rFonts w:ascii="Times New Roman" w:eastAsia="Times New Roman" w:hAnsi="Times New Roman"/>
          <w:spacing w:val="-3"/>
          <w:sz w:val="28"/>
          <w:szCs w:val="28"/>
          <w:lang w:eastAsia="ru-RU"/>
        </w:rPr>
        <w:t xml:space="preserve">– </w:t>
      </w:r>
      <w:r w:rsidR="00125F70" w:rsidRPr="009114DF">
        <w:rPr>
          <w:rFonts w:ascii="Times New Roman" w:eastAsia="Times New Roman" w:hAnsi="Times New Roman"/>
          <w:spacing w:val="-3"/>
          <w:sz w:val="28"/>
          <w:szCs w:val="28"/>
          <w:lang w:eastAsia="ru-RU"/>
        </w:rPr>
        <w:t>с третьей степенью активности.</w:t>
      </w:r>
    </w:p>
    <w:p w:rsidR="007C2C06" w:rsidRPr="009114DF" w:rsidRDefault="007C2C06" w:rsidP="00F71B34">
      <w:pPr>
        <w:suppressAutoHyphens/>
        <w:spacing w:after="0" w:line="360" w:lineRule="auto"/>
        <w:ind w:firstLine="567"/>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tab/>
        <w:t xml:space="preserve">Стадия РА определялась по </w:t>
      </w:r>
      <w:r w:rsidRPr="009114DF">
        <w:rPr>
          <w:rFonts w:ascii="Times New Roman" w:eastAsia="Times New Roman" w:hAnsi="Times New Roman"/>
          <w:spacing w:val="-3"/>
          <w:sz w:val="28"/>
          <w:szCs w:val="28"/>
          <w:lang w:val="en-US" w:eastAsia="ru-RU"/>
        </w:rPr>
        <w:t>Steinbroker</w:t>
      </w:r>
      <w:r w:rsidRPr="009114DF">
        <w:rPr>
          <w:rFonts w:ascii="Times New Roman" w:eastAsia="Times New Roman" w:hAnsi="Times New Roman"/>
          <w:spacing w:val="-3"/>
          <w:sz w:val="28"/>
          <w:szCs w:val="28"/>
          <w:lang w:eastAsia="ru-RU"/>
        </w:rPr>
        <w:t xml:space="preserve"> (1949). Оценка выраженности деструктивного процесса  в мелких суставах проводилась по методике </w:t>
      </w:r>
      <w:r w:rsidR="00225925" w:rsidRPr="009114DF">
        <w:rPr>
          <w:rFonts w:ascii="Times New Roman" w:eastAsia="Times New Roman" w:hAnsi="Times New Roman"/>
          <w:spacing w:val="-3"/>
          <w:sz w:val="28"/>
          <w:szCs w:val="28"/>
          <w:lang w:eastAsia="ru-RU"/>
        </w:rPr>
        <w:t xml:space="preserve">       </w:t>
      </w:r>
      <w:r w:rsidRPr="009114DF">
        <w:rPr>
          <w:rFonts w:ascii="Times New Roman" w:eastAsia="Times New Roman" w:hAnsi="Times New Roman"/>
          <w:spacing w:val="-3"/>
          <w:sz w:val="28"/>
          <w:szCs w:val="28"/>
          <w:lang w:val="en-US" w:eastAsia="ru-RU"/>
        </w:rPr>
        <w:t>Sharp</w:t>
      </w:r>
      <w:r w:rsidRPr="009114DF">
        <w:rPr>
          <w:rFonts w:ascii="Times New Roman" w:eastAsia="Times New Roman" w:hAnsi="Times New Roman"/>
          <w:spacing w:val="-3"/>
          <w:sz w:val="28"/>
          <w:szCs w:val="28"/>
          <w:lang w:eastAsia="ru-RU"/>
        </w:rPr>
        <w:t xml:space="preserve"> (1971),  модифицированной А.</w:t>
      </w:r>
      <w:r w:rsidR="00835B10" w:rsidRPr="009114DF">
        <w:rPr>
          <w:rFonts w:ascii="Times New Roman" w:eastAsia="Times New Roman" w:hAnsi="Times New Roman"/>
          <w:spacing w:val="-3"/>
          <w:sz w:val="28"/>
          <w:szCs w:val="28"/>
          <w:lang w:eastAsia="ru-RU"/>
        </w:rPr>
        <w:t xml:space="preserve"> </w:t>
      </w:r>
      <w:r w:rsidRPr="009114DF">
        <w:rPr>
          <w:rFonts w:ascii="Times New Roman" w:eastAsia="Times New Roman" w:hAnsi="Times New Roman"/>
          <w:spacing w:val="-3"/>
          <w:sz w:val="28"/>
          <w:szCs w:val="28"/>
          <w:lang w:eastAsia="ru-RU"/>
        </w:rPr>
        <w:t>А. Крель и соавт. (1981), по которой выраженность деструкции определялась не только в суставах кистей, но и стоп. Оценивались рентгенограммы кистей с лучезапястными суставами и стоп в прямой проекции.</w:t>
      </w:r>
    </w:p>
    <w:p w:rsidR="000472A9" w:rsidRPr="009114DF" w:rsidRDefault="00B257D2" w:rsidP="00F71B34">
      <w:pPr>
        <w:suppressAutoHyphens/>
        <w:spacing w:after="0" w:line="360" w:lineRule="auto"/>
        <w:ind w:firstLine="567"/>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lastRenderedPageBreak/>
        <w:t xml:space="preserve">Больные </w:t>
      </w:r>
      <w:r w:rsidR="00A27870" w:rsidRPr="009114DF">
        <w:rPr>
          <w:rFonts w:ascii="Times New Roman" w:eastAsia="Times New Roman" w:hAnsi="Times New Roman"/>
          <w:spacing w:val="-3"/>
          <w:sz w:val="28"/>
          <w:szCs w:val="28"/>
          <w:lang w:eastAsia="ru-RU"/>
        </w:rPr>
        <w:t xml:space="preserve"> группы</w:t>
      </w:r>
      <w:r w:rsidR="004C5958" w:rsidRPr="009114DF">
        <w:rPr>
          <w:rFonts w:ascii="Times New Roman" w:eastAsia="Times New Roman" w:hAnsi="Times New Roman"/>
          <w:spacing w:val="-3"/>
          <w:sz w:val="28"/>
          <w:szCs w:val="28"/>
          <w:lang w:eastAsia="ru-RU"/>
        </w:rPr>
        <w:t xml:space="preserve"> </w:t>
      </w:r>
      <w:r w:rsidRPr="009114DF">
        <w:rPr>
          <w:rFonts w:ascii="Times New Roman" w:eastAsia="Times New Roman" w:hAnsi="Times New Roman"/>
          <w:spacing w:val="-3"/>
          <w:sz w:val="28"/>
          <w:szCs w:val="28"/>
          <w:lang w:eastAsia="ru-RU"/>
        </w:rPr>
        <w:t xml:space="preserve"> 1 распределились по рентгенологическим стадиям следующим образом: </w:t>
      </w:r>
      <w:r w:rsidR="007C2C06" w:rsidRPr="009114DF">
        <w:rPr>
          <w:rFonts w:ascii="Times New Roman" w:eastAsia="Times New Roman" w:hAnsi="Times New Roman"/>
          <w:spacing w:val="-3"/>
          <w:sz w:val="28"/>
          <w:szCs w:val="28"/>
          <w:lang w:eastAsia="ru-RU"/>
        </w:rPr>
        <w:t>рентгенолог</w:t>
      </w:r>
      <w:r w:rsidR="00A27870" w:rsidRPr="009114DF">
        <w:rPr>
          <w:rFonts w:ascii="Times New Roman" w:eastAsia="Times New Roman" w:hAnsi="Times New Roman"/>
          <w:spacing w:val="-3"/>
          <w:sz w:val="28"/>
          <w:szCs w:val="28"/>
          <w:lang w:eastAsia="ru-RU"/>
        </w:rPr>
        <w:t xml:space="preserve">ическая стадия </w:t>
      </w:r>
      <w:r w:rsidR="004C5958" w:rsidRPr="009114DF">
        <w:rPr>
          <w:rFonts w:ascii="Times New Roman" w:eastAsia="Times New Roman" w:hAnsi="Times New Roman"/>
          <w:spacing w:val="-3"/>
          <w:sz w:val="28"/>
          <w:szCs w:val="28"/>
          <w:lang w:val="en-US" w:eastAsia="ru-RU"/>
        </w:rPr>
        <w:t>I</w:t>
      </w:r>
      <w:r w:rsidR="004C5958" w:rsidRPr="009114DF">
        <w:rPr>
          <w:rFonts w:ascii="Times New Roman" w:eastAsia="Times New Roman" w:hAnsi="Times New Roman"/>
          <w:spacing w:val="-3"/>
          <w:sz w:val="28"/>
          <w:szCs w:val="28"/>
          <w:lang w:eastAsia="ru-RU"/>
        </w:rPr>
        <w:t xml:space="preserve"> </w:t>
      </w:r>
      <w:r w:rsidR="008C1F9E" w:rsidRPr="009114DF">
        <w:rPr>
          <w:rFonts w:ascii="Times New Roman" w:eastAsia="Times New Roman" w:hAnsi="Times New Roman"/>
          <w:spacing w:val="-3"/>
          <w:sz w:val="28"/>
          <w:szCs w:val="28"/>
          <w:lang w:eastAsia="ru-RU"/>
        </w:rPr>
        <w:t>определ</w:t>
      </w:r>
      <w:r w:rsidRPr="009114DF">
        <w:rPr>
          <w:rFonts w:ascii="Times New Roman" w:eastAsia="Times New Roman" w:hAnsi="Times New Roman"/>
          <w:spacing w:val="-3"/>
          <w:sz w:val="28"/>
          <w:szCs w:val="28"/>
          <w:lang w:eastAsia="ru-RU"/>
        </w:rPr>
        <w:t>ена</w:t>
      </w:r>
      <w:r w:rsidR="008C1F9E" w:rsidRPr="009114DF">
        <w:rPr>
          <w:rFonts w:ascii="Times New Roman" w:eastAsia="Times New Roman" w:hAnsi="Times New Roman"/>
          <w:spacing w:val="-3"/>
          <w:sz w:val="28"/>
          <w:szCs w:val="28"/>
          <w:lang w:eastAsia="ru-RU"/>
        </w:rPr>
        <w:t xml:space="preserve"> у 1</w:t>
      </w:r>
      <w:r w:rsidR="00A27870" w:rsidRPr="009114DF">
        <w:rPr>
          <w:rFonts w:ascii="Times New Roman" w:eastAsia="Times New Roman" w:hAnsi="Times New Roman"/>
          <w:spacing w:val="-3"/>
          <w:sz w:val="28"/>
          <w:szCs w:val="28"/>
          <w:lang w:eastAsia="ru-RU"/>
        </w:rPr>
        <w:t xml:space="preserve"> </w:t>
      </w:r>
      <w:r w:rsidR="007C2C06" w:rsidRPr="009114DF">
        <w:rPr>
          <w:rFonts w:ascii="Times New Roman" w:eastAsia="Times New Roman" w:hAnsi="Times New Roman"/>
          <w:spacing w:val="-3"/>
          <w:sz w:val="28"/>
          <w:szCs w:val="28"/>
          <w:lang w:eastAsia="ru-RU"/>
        </w:rPr>
        <w:t xml:space="preserve"> (</w:t>
      </w:r>
      <w:r w:rsidR="008C1F9E" w:rsidRPr="009114DF">
        <w:rPr>
          <w:rFonts w:ascii="Times New Roman" w:eastAsia="Times New Roman" w:hAnsi="Times New Roman"/>
          <w:spacing w:val="-3"/>
          <w:sz w:val="28"/>
          <w:szCs w:val="28"/>
          <w:lang w:eastAsia="ru-RU"/>
        </w:rPr>
        <w:t>2,3</w:t>
      </w:r>
      <w:r w:rsidR="007C2C06" w:rsidRPr="009114DF">
        <w:rPr>
          <w:rFonts w:ascii="Times New Roman" w:eastAsia="Times New Roman" w:hAnsi="Times New Roman"/>
          <w:spacing w:val="-3"/>
          <w:sz w:val="28"/>
          <w:szCs w:val="28"/>
          <w:lang w:eastAsia="ru-RU"/>
        </w:rPr>
        <w:t>%)</w:t>
      </w:r>
      <w:r w:rsidRPr="009114DF">
        <w:rPr>
          <w:rFonts w:ascii="Times New Roman" w:eastAsia="Times New Roman" w:hAnsi="Times New Roman"/>
          <w:spacing w:val="-3"/>
          <w:sz w:val="28"/>
          <w:szCs w:val="28"/>
          <w:lang w:eastAsia="ru-RU"/>
        </w:rPr>
        <w:t xml:space="preserve"> пациента</w:t>
      </w:r>
      <w:r w:rsidR="007C2C06" w:rsidRPr="009114DF">
        <w:rPr>
          <w:rFonts w:ascii="Times New Roman" w:eastAsia="Times New Roman" w:hAnsi="Times New Roman"/>
          <w:spacing w:val="-3"/>
          <w:sz w:val="28"/>
          <w:szCs w:val="28"/>
          <w:lang w:eastAsia="ru-RU"/>
        </w:rPr>
        <w:t xml:space="preserve">, </w:t>
      </w:r>
      <w:r w:rsidR="007C2C06" w:rsidRPr="009114DF">
        <w:rPr>
          <w:rFonts w:ascii="Times New Roman" w:eastAsia="Times New Roman" w:hAnsi="Times New Roman"/>
          <w:spacing w:val="-3"/>
          <w:sz w:val="28"/>
          <w:szCs w:val="28"/>
          <w:lang w:val="en-US" w:eastAsia="ru-RU"/>
        </w:rPr>
        <w:t>II</w:t>
      </w:r>
      <w:r w:rsidR="00CD2EDC" w:rsidRPr="009114DF">
        <w:rPr>
          <w:rFonts w:ascii="Times New Roman" w:eastAsia="Times New Roman" w:hAnsi="Times New Roman"/>
          <w:spacing w:val="-3"/>
          <w:sz w:val="28"/>
          <w:szCs w:val="28"/>
          <w:lang w:eastAsia="ru-RU"/>
        </w:rPr>
        <w:t xml:space="preserve"> – </w:t>
      </w:r>
      <w:r w:rsidR="007C2C06" w:rsidRPr="009114DF">
        <w:rPr>
          <w:rFonts w:ascii="Times New Roman" w:eastAsia="Times New Roman" w:hAnsi="Times New Roman"/>
          <w:spacing w:val="-3"/>
          <w:sz w:val="28"/>
          <w:szCs w:val="28"/>
          <w:lang w:eastAsia="ru-RU"/>
        </w:rPr>
        <w:t xml:space="preserve">у </w:t>
      </w:r>
      <w:r w:rsidR="008C1F9E" w:rsidRPr="009114DF">
        <w:rPr>
          <w:rFonts w:ascii="Times New Roman" w:eastAsia="Times New Roman" w:hAnsi="Times New Roman"/>
          <w:spacing w:val="-3"/>
          <w:sz w:val="28"/>
          <w:szCs w:val="28"/>
          <w:lang w:eastAsia="ru-RU"/>
        </w:rPr>
        <w:t>16</w:t>
      </w:r>
      <w:r w:rsidR="00A27870" w:rsidRPr="009114DF">
        <w:rPr>
          <w:rFonts w:ascii="Times New Roman" w:eastAsia="Times New Roman" w:hAnsi="Times New Roman"/>
          <w:spacing w:val="-3"/>
          <w:sz w:val="28"/>
          <w:szCs w:val="28"/>
          <w:lang w:eastAsia="ru-RU"/>
        </w:rPr>
        <w:t xml:space="preserve"> (36,</w:t>
      </w:r>
      <w:r w:rsidR="008C1F9E" w:rsidRPr="009114DF">
        <w:rPr>
          <w:rFonts w:ascii="Times New Roman" w:eastAsia="Times New Roman" w:hAnsi="Times New Roman"/>
          <w:spacing w:val="-3"/>
          <w:sz w:val="28"/>
          <w:szCs w:val="28"/>
          <w:lang w:eastAsia="ru-RU"/>
        </w:rPr>
        <w:t>4</w:t>
      </w:r>
      <w:r w:rsidR="007C2C06" w:rsidRPr="009114DF">
        <w:rPr>
          <w:rFonts w:ascii="Times New Roman" w:eastAsia="Times New Roman" w:hAnsi="Times New Roman"/>
          <w:spacing w:val="-3"/>
          <w:sz w:val="28"/>
          <w:szCs w:val="28"/>
          <w:lang w:eastAsia="ru-RU"/>
        </w:rPr>
        <w:t xml:space="preserve">%), </w:t>
      </w:r>
      <w:r w:rsidR="007C2C06" w:rsidRPr="009114DF">
        <w:rPr>
          <w:rFonts w:ascii="Times New Roman" w:eastAsia="Times New Roman" w:hAnsi="Times New Roman"/>
          <w:spacing w:val="-3"/>
          <w:sz w:val="28"/>
          <w:szCs w:val="28"/>
          <w:lang w:val="en-US" w:eastAsia="ru-RU"/>
        </w:rPr>
        <w:t>III</w:t>
      </w:r>
      <w:r w:rsidR="00CD2EDC" w:rsidRPr="009114DF">
        <w:rPr>
          <w:rFonts w:ascii="Times New Roman" w:eastAsia="Times New Roman" w:hAnsi="Times New Roman"/>
          <w:spacing w:val="-3"/>
          <w:sz w:val="28"/>
          <w:szCs w:val="28"/>
          <w:lang w:eastAsia="ru-RU"/>
        </w:rPr>
        <w:t xml:space="preserve"> – </w:t>
      </w:r>
      <w:r w:rsidR="00A27870" w:rsidRPr="009114DF">
        <w:rPr>
          <w:rFonts w:ascii="Times New Roman" w:eastAsia="Times New Roman" w:hAnsi="Times New Roman"/>
          <w:spacing w:val="-3"/>
          <w:sz w:val="28"/>
          <w:szCs w:val="28"/>
          <w:lang w:eastAsia="ru-RU"/>
        </w:rPr>
        <w:t xml:space="preserve">у  </w:t>
      </w:r>
      <w:r w:rsidR="008C1F9E" w:rsidRPr="009114DF">
        <w:rPr>
          <w:rFonts w:ascii="Times New Roman" w:eastAsia="Times New Roman" w:hAnsi="Times New Roman"/>
          <w:spacing w:val="-3"/>
          <w:sz w:val="28"/>
          <w:szCs w:val="28"/>
          <w:lang w:eastAsia="ru-RU"/>
        </w:rPr>
        <w:t>18</w:t>
      </w:r>
      <w:r w:rsidR="007C2C06" w:rsidRPr="009114DF">
        <w:rPr>
          <w:rFonts w:ascii="Times New Roman" w:eastAsia="Times New Roman" w:hAnsi="Times New Roman"/>
          <w:spacing w:val="-3"/>
          <w:sz w:val="28"/>
          <w:szCs w:val="28"/>
          <w:lang w:eastAsia="ru-RU"/>
        </w:rPr>
        <w:t xml:space="preserve"> (</w:t>
      </w:r>
      <w:r w:rsidR="008C1F9E" w:rsidRPr="009114DF">
        <w:rPr>
          <w:rFonts w:ascii="Times New Roman" w:eastAsia="Times New Roman" w:hAnsi="Times New Roman"/>
          <w:spacing w:val="-3"/>
          <w:sz w:val="28"/>
          <w:szCs w:val="28"/>
          <w:lang w:eastAsia="ru-RU"/>
        </w:rPr>
        <w:t>40,9</w:t>
      </w:r>
      <w:r w:rsidR="007C2C06" w:rsidRPr="009114DF">
        <w:rPr>
          <w:rFonts w:ascii="Times New Roman" w:eastAsia="Times New Roman" w:hAnsi="Times New Roman"/>
          <w:spacing w:val="-3"/>
          <w:sz w:val="28"/>
          <w:szCs w:val="28"/>
          <w:lang w:eastAsia="ru-RU"/>
        </w:rPr>
        <w:t xml:space="preserve">%) </w:t>
      </w:r>
      <w:r w:rsidR="008C1F9E" w:rsidRPr="009114DF">
        <w:rPr>
          <w:rFonts w:ascii="Times New Roman" w:eastAsia="Times New Roman" w:hAnsi="Times New Roman"/>
          <w:spacing w:val="-3"/>
          <w:sz w:val="28"/>
          <w:szCs w:val="28"/>
          <w:lang w:eastAsia="ru-RU"/>
        </w:rPr>
        <w:t xml:space="preserve"> </w:t>
      </w:r>
      <w:r w:rsidR="007C2C06" w:rsidRPr="009114DF">
        <w:rPr>
          <w:rFonts w:ascii="Times New Roman" w:eastAsia="Times New Roman" w:hAnsi="Times New Roman"/>
          <w:spacing w:val="-3"/>
          <w:sz w:val="28"/>
          <w:szCs w:val="28"/>
          <w:lang w:eastAsia="ru-RU"/>
        </w:rPr>
        <w:t>и</w:t>
      </w:r>
      <w:r w:rsidR="008C1F9E" w:rsidRPr="009114DF">
        <w:rPr>
          <w:rFonts w:ascii="Times New Roman" w:eastAsia="Times New Roman" w:hAnsi="Times New Roman"/>
          <w:spacing w:val="-3"/>
          <w:sz w:val="28"/>
          <w:szCs w:val="28"/>
          <w:lang w:eastAsia="ru-RU"/>
        </w:rPr>
        <w:t xml:space="preserve"> </w:t>
      </w:r>
      <w:r w:rsidR="007C2C06" w:rsidRPr="009114DF">
        <w:rPr>
          <w:rFonts w:ascii="Times New Roman" w:eastAsia="Times New Roman" w:hAnsi="Times New Roman"/>
          <w:spacing w:val="-3"/>
          <w:sz w:val="28"/>
          <w:szCs w:val="28"/>
          <w:lang w:eastAsia="ru-RU"/>
        </w:rPr>
        <w:t xml:space="preserve"> </w:t>
      </w:r>
      <w:r w:rsidR="007C2C06" w:rsidRPr="009114DF">
        <w:rPr>
          <w:rFonts w:ascii="Times New Roman" w:eastAsia="Times New Roman" w:hAnsi="Times New Roman"/>
          <w:spacing w:val="-3"/>
          <w:sz w:val="28"/>
          <w:szCs w:val="28"/>
          <w:lang w:val="en-US" w:eastAsia="ru-RU"/>
        </w:rPr>
        <w:t>IV</w:t>
      </w:r>
      <w:r w:rsidR="00A27870" w:rsidRPr="009114DF">
        <w:rPr>
          <w:rFonts w:ascii="Times New Roman" w:eastAsia="Times New Roman" w:hAnsi="Times New Roman"/>
          <w:spacing w:val="-3"/>
          <w:sz w:val="28"/>
          <w:szCs w:val="28"/>
          <w:lang w:eastAsia="ru-RU"/>
        </w:rPr>
        <w:t xml:space="preserve"> стадия у 9</w:t>
      </w:r>
      <w:r w:rsidR="007C2C06" w:rsidRPr="009114DF">
        <w:rPr>
          <w:rFonts w:ascii="Times New Roman" w:eastAsia="Times New Roman" w:hAnsi="Times New Roman"/>
          <w:spacing w:val="-3"/>
          <w:sz w:val="28"/>
          <w:szCs w:val="28"/>
          <w:lang w:eastAsia="ru-RU"/>
        </w:rPr>
        <w:t xml:space="preserve"> (</w:t>
      </w:r>
      <w:r w:rsidR="008C1F9E" w:rsidRPr="009114DF">
        <w:rPr>
          <w:rFonts w:ascii="Times New Roman" w:eastAsia="Times New Roman" w:hAnsi="Times New Roman"/>
          <w:spacing w:val="-3"/>
          <w:sz w:val="28"/>
          <w:szCs w:val="28"/>
          <w:lang w:eastAsia="ru-RU"/>
        </w:rPr>
        <w:t>20,4</w:t>
      </w:r>
      <w:r w:rsidR="007C2C06" w:rsidRPr="009114DF">
        <w:rPr>
          <w:rFonts w:ascii="Times New Roman" w:eastAsia="Times New Roman" w:hAnsi="Times New Roman"/>
          <w:spacing w:val="-3"/>
          <w:sz w:val="28"/>
          <w:szCs w:val="28"/>
          <w:lang w:eastAsia="ru-RU"/>
        </w:rPr>
        <w:t xml:space="preserve">%) больных. </w:t>
      </w:r>
      <w:r w:rsidR="004C5958" w:rsidRPr="009114DF">
        <w:rPr>
          <w:rFonts w:ascii="Times New Roman" w:eastAsia="Times New Roman" w:hAnsi="Times New Roman"/>
          <w:spacing w:val="-3"/>
          <w:sz w:val="28"/>
          <w:szCs w:val="28"/>
          <w:lang w:eastAsia="ru-RU"/>
        </w:rPr>
        <w:t xml:space="preserve"> </w:t>
      </w:r>
      <w:r w:rsidR="008C1F9E" w:rsidRPr="009114DF">
        <w:rPr>
          <w:rFonts w:ascii="Times New Roman" w:eastAsia="Times New Roman" w:hAnsi="Times New Roman"/>
          <w:spacing w:val="-3"/>
          <w:sz w:val="28"/>
          <w:szCs w:val="28"/>
          <w:lang w:eastAsia="ru-RU"/>
        </w:rPr>
        <w:t>В группе 2 у 4</w:t>
      </w:r>
      <w:r w:rsidR="00A27870" w:rsidRPr="009114DF">
        <w:rPr>
          <w:rFonts w:ascii="Times New Roman" w:eastAsia="Times New Roman" w:hAnsi="Times New Roman"/>
          <w:spacing w:val="-3"/>
          <w:sz w:val="28"/>
          <w:szCs w:val="28"/>
          <w:lang w:eastAsia="ru-RU"/>
        </w:rPr>
        <w:t xml:space="preserve"> (1</w:t>
      </w:r>
      <w:r w:rsidR="008C1F9E" w:rsidRPr="009114DF">
        <w:rPr>
          <w:rFonts w:ascii="Times New Roman" w:eastAsia="Times New Roman" w:hAnsi="Times New Roman"/>
          <w:spacing w:val="-3"/>
          <w:sz w:val="28"/>
          <w:szCs w:val="28"/>
          <w:lang w:eastAsia="ru-RU"/>
        </w:rPr>
        <w:t>1,4</w:t>
      </w:r>
      <w:r w:rsidR="00A27870" w:rsidRPr="009114DF">
        <w:rPr>
          <w:rFonts w:ascii="Times New Roman" w:eastAsia="Times New Roman" w:hAnsi="Times New Roman"/>
          <w:spacing w:val="-3"/>
          <w:sz w:val="28"/>
          <w:szCs w:val="28"/>
          <w:lang w:eastAsia="ru-RU"/>
        </w:rPr>
        <w:t xml:space="preserve">%) пациентов диагностирована </w:t>
      </w:r>
      <w:r w:rsidR="00A27870" w:rsidRPr="009114DF">
        <w:rPr>
          <w:rFonts w:ascii="Times New Roman" w:eastAsia="Times New Roman" w:hAnsi="Times New Roman"/>
          <w:spacing w:val="-3"/>
          <w:sz w:val="28"/>
          <w:szCs w:val="28"/>
          <w:lang w:val="en-US" w:eastAsia="ru-RU"/>
        </w:rPr>
        <w:t>I</w:t>
      </w:r>
      <w:r w:rsidR="00A27870" w:rsidRPr="009114DF">
        <w:rPr>
          <w:rFonts w:ascii="Times New Roman" w:eastAsia="Times New Roman" w:hAnsi="Times New Roman"/>
          <w:spacing w:val="-3"/>
          <w:sz w:val="28"/>
          <w:szCs w:val="28"/>
          <w:lang w:eastAsia="ru-RU"/>
        </w:rPr>
        <w:t xml:space="preserve"> рентгенологическая стадия, </w:t>
      </w:r>
      <w:r w:rsidR="00A27870" w:rsidRPr="009114DF">
        <w:rPr>
          <w:rFonts w:ascii="Times New Roman" w:eastAsia="Times New Roman" w:hAnsi="Times New Roman"/>
          <w:spacing w:val="-3"/>
          <w:sz w:val="28"/>
          <w:szCs w:val="28"/>
          <w:lang w:val="en-US" w:eastAsia="ru-RU"/>
        </w:rPr>
        <w:t>II</w:t>
      </w:r>
      <w:r w:rsidR="004C5958" w:rsidRPr="009114DF">
        <w:rPr>
          <w:rFonts w:ascii="Times New Roman" w:eastAsia="Times New Roman" w:hAnsi="Times New Roman"/>
          <w:spacing w:val="-3"/>
          <w:sz w:val="28"/>
          <w:szCs w:val="28"/>
          <w:lang w:eastAsia="ru-RU"/>
        </w:rPr>
        <w:t xml:space="preserve"> –  у 1</w:t>
      </w:r>
      <w:r w:rsidR="008C1F9E" w:rsidRPr="009114DF">
        <w:rPr>
          <w:rFonts w:ascii="Times New Roman" w:eastAsia="Times New Roman" w:hAnsi="Times New Roman"/>
          <w:spacing w:val="-3"/>
          <w:sz w:val="28"/>
          <w:szCs w:val="28"/>
          <w:lang w:eastAsia="ru-RU"/>
        </w:rPr>
        <w:t>2</w:t>
      </w:r>
      <w:r w:rsidR="004C5958" w:rsidRPr="009114DF">
        <w:rPr>
          <w:rFonts w:ascii="Times New Roman" w:eastAsia="Times New Roman" w:hAnsi="Times New Roman"/>
          <w:spacing w:val="-3"/>
          <w:sz w:val="28"/>
          <w:szCs w:val="28"/>
          <w:lang w:eastAsia="ru-RU"/>
        </w:rPr>
        <w:t xml:space="preserve"> (3</w:t>
      </w:r>
      <w:r w:rsidR="008C1F9E" w:rsidRPr="009114DF">
        <w:rPr>
          <w:rFonts w:ascii="Times New Roman" w:eastAsia="Times New Roman" w:hAnsi="Times New Roman"/>
          <w:spacing w:val="-3"/>
          <w:sz w:val="28"/>
          <w:szCs w:val="28"/>
          <w:lang w:eastAsia="ru-RU"/>
        </w:rPr>
        <w:t>4,3</w:t>
      </w:r>
      <w:r w:rsidR="004C5958" w:rsidRPr="009114DF">
        <w:rPr>
          <w:rFonts w:ascii="Times New Roman" w:eastAsia="Times New Roman" w:hAnsi="Times New Roman"/>
          <w:spacing w:val="-3"/>
          <w:sz w:val="28"/>
          <w:szCs w:val="28"/>
          <w:lang w:eastAsia="ru-RU"/>
        </w:rPr>
        <w:t xml:space="preserve">%), </w:t>
      </w:r>
      <w:r w:rsidR="004C5958" w:rsidRPr="009114DF">
        <w:rPr>
          <w:rFonts w:ascii="Times New Roman" w:eastAsia="Times New Roman" w:hAnsi="Times New Roman"/>
          <w:spacing w:val="-3"/>
          <w:sz w:val="28"/>
          <w:szCs w:val="28"/>
          <w:lang w:val="en-US" w:eastAsia="ru-RU"/>
        </w:rPr>
        <w:t>III</w:t>
      </w:r>
      <w:r w:rsidR="00CD2EDC" w:rsidRPr="009114DF">
        <w:rPr>
          <w:rFonts w:ascii="Times New Roman" w:eastAsia="Times New Roman" w:hAnsi="Times New Roman"/>
          <w:spacing w:val="-3"/>
          <w:sz w:val="28"/>
          <w:szCs w:val="28"/>
          <w:lang w:eastAsia="ru-RU"/>
        </w:rPr>
        <w:t xml:space="preserve"> – </w:t>
      </w:r>
      <w:r w:rsidR="004C5958" w:rsidRPr="009114DF">
        <w:rPr>
          <w:rFonts w:ascii="Times New Roman" w:eastAsia="Times New Roman" w:hAnsi="Times New Roman"/>
          <w:spacing w:val="-3"/>
          <w:sz w:val="28"/>
          <w:szCs w:val="28"/>
          <w:lang w:eastAsia="ru-RU"/>
        </w:rPr>
        <w:t>у</w:t>
      </w:r>
      <w:r w:rsidR="00A27870" w:rsidRPr="009114DF">
        <w:rPr>
          <w:rFonts w:ascii="Times New Roman" w:eastAsia="Times New Roman" w:hAnsi="Times New Roman"/>
          <w:spacing w:val="-3"/>
          <w:sz w:val="28"/>
          <w:szCs w:val="28"/>
          <w:lang w:eastAsia="ru-RU"/>
        </w:rPr>
        <w:t xml:space="preserve"> </w:t>
      </w:r>
      <w:r w:rsidR="004C5958" w:rsidRPr="009114DF">
        <w:rPr>
          <w:rFonts w:ascii="Times New Roman" w:eastAsia="Times New Roman" w:hAnsi="Times New Roman"/>
          <w:spacing w:val="-3"/>
          <w:sz w:val="28"/>
          <w:szCs w:val="28"/>
          <w:lang w:eastAsia="ru-RU"/>
        </w:rPr>
        <w:t>1</w:t>
      </w:r>
      <w:r w:rsidR="008C1F9E" w:rsidRPr="009114DF">
        <w:rPr>
          <w:rFonts w:ascii="Times New Roman" w:eastAsia="Times New Roman" w:hAnsi="Times New Roman"/>
          <w:spacing w:val="-3"/>
          <w:sz w:val="28"/>
          <w:szCs w:val="28"/>
          <w:lang w:eastAsia="ru-RU"/>
        </w:rPr>
        <w:t>6</w:t>
      </w:r>
      <w:r w:rsidR="004C5958" w:rsidRPr="009114DF">
        <w:rPr>
          <w:rFonts w:ascii="Times New Roman" w:eastAsia="Times New Roman" w:hAnsi="Times New Roman"/>
          <w:spacing w:val="-3"/>
          <w:sz w:val="28"/>
          <w:szCs w:val="28"/>
          <w:lang w:eastAsia="ru-RU"/>
        </w:rPr>
        <w:t xml:space="preserve"> (4</w:t>
      </w:r>
      <w:r w:rsidR="008C1F9E" w:rsidRPr="009114DF">
        <w:rPr>
          <w:rFonts w:ascii="Times New Roman" w:eastAsia="Times New Roman" w:hAnsi="Times New Roman"/>
          <w:spacing w:val="-3"/>
          <w:sz w:val="28"/>
          <w:szCs w:val="28"/>
          <w:lang w:eastAsia="ru-RU"/>
        </w:rPr>
        <w:t>5,7</w:t>
      </w:r>
      <w:r w:rsidR="004C5958" w:rsidRPr="009114DF">
        <w:rPr>
          <w:rFonts w:ascii="Times New Roman" w:eastAsia="Times New Roman" w:hAnsi="Times New Roman"/>
          <w:spacing w:val="-3"/>
          <w:sz w:val="28"/>
          <w:szCs w:val="28"/>
          <w:lang w:eastAsia="ru-RU"/>
        </w:rPr>
        <w:t xml:space="preserve">%) и </w:t>
      </w:r>
      <w:r w:rsidR="004C5958" w:rsidRPr="009114DF">
        <w:rPr>
          <w:rFonts w:ascii="Times New Roman" w:eastAsia="Times New Roman" w:hAnsi="Times New Roman"/>
          <w:spacing w:val="-3"/>
          <w:sz w:val="28"/>
          <w:szCs w:val="28"/>
          <w:lang w:val="en-US" w:eastAsia="ru-RU"/>
        </w:rPr>
        <w:t>IV</w:t>
      </w:r>
      <w:r w:rsidR="004C5958" w:rsidRPr="009114DF">
        <w:rPr>
          <w:rFonts w:ascii="Times New Roman" w:eastAsia="Times New Roman" w:hAnsi="Times New Roman"/>
          <w:spacing w:val="-3"/>
          <w:sz w:val="28"/>
          <w:szCs w:val="28"/>
          <w:lang w:eastAsia="ru-RU"/>
        </w:rPr>
        <w:t xml:space="preserve"> стадия у 3 (</w:t>
      </w:r>
      <w:r w:rsidR="008C1F9E" w:rsidRPr="009114DF">
        <w:rPr>
          <w:rFonts w:ascii="Times New Roman" w:eastAsia="Times New Roman" w:hAnsi="Times New Roman"/>
          <w:spacing w:val="-3"/>
          <w:sz w:val="28"/>
          <w:szCs w:val="28"/>
          <w:lang w:eastAsia="ru-RU"/>
        </w:rPr>
        <w:t>8,6</w:t>
      </w:r>
      <w:r w:rsidR="004C5958" w:rsidRPr="009114DF">
        <w:rPr>
          <w:rFonts w:ascii="Times New Roman" w:eastAsia="Times New Roman" w:hAnsi="Times New Roman"/>
          <w:spacing w:val="-3"/>
          <w:sz w:val="28"/>
          <w:szCs w:val="28"/>
          <w:lang w:eastAsia="ru-RU"/>
        </w:rPr>
        <w:t xml:space="preserve">%) пациентов. </w:t>
      </w:r>
    </w:p>
    <w:p w:rsidR="007C2C06" w:rsidRPr="009114DF" w:rsidRDefault="00A27870" w:rsidP="00F71B34">
      <w:pPr>
        <w:suppressAutoHyphens/>
        <w:spacing w:after="0" w:line="360" w:lineRule="auto"/>
        <w:ind w:firstLine="567"/>
        <w:jc w:val="both"/>
        <w:rPr>
          <w:rFonts w:ascii="Times New Roman" w:eastAsia="Times New Roman" w:hAnsi="Times New Roman"/>
          <w:spacing w:val="-4"/>
          <w:sz w:val="28"/>
          <w:szCs w:val="28"/>
          <w:lang w:eastAsia="ru-RU"/>
        </w:rPr>
      </w:pPr>
      <w:r w:rsidRPr="009114DF">
        <w:rPr>
          <w:rFonts w:ascii="Times New Roman" w:eastAsia="Times New Roman" w:hAnsi="Times New Roman"/>
          <w:spacing w:val="-4"/>
          <w:sz w:val="28"/>
          <w:szCs w:val="28"/>
          <w:lang w:eastAsia="ru-RU"/>
        </w:rPr>
        <w:t xml:space="preserve"> </w:t>
      </w:r>
      <w:r w:rsidR="007C2C06" w:rsidRPr="009114DF">
        <w:rPr>
          <w:rFonts w:ascii="Times New Roman" w:eastAsia="Times New Roman" w:hAnsi="Times New Roman"/>
          <w:spacing w:val="-4"/>
          <w:sz w:val="28"/>
          <w:szCs w:val="28"/>
          <w:lang w:eastAsia="ru-RU"/>
        </w:rPr>
        <w:t>Зависимость стадии РА от длительности заб</w:t>
      </w:r>
      <w:r w:rsidR="008C1F9E" w:rsidRPr="009114DF">
        <w:rPr>
          <w:rFonts w:ascii="Times New Roman" w:eastAsia="Times New Roman" w:hAnsi="Times New Roman"/>
          <w:spacing w:val="-4"/>
          <w:sz w:val="28"/>
          <w:szCs w:val="28"/>
          <w:lang w:eastAsia="ru-RU"/>
        </w:rPr>
        <w:t>олевания представлена в табл</w:t>
      </w:r>
      <w:r w:rsidR="00835B10" w:rsidRPr="009114DF">
        <w:rPr>
          <w:rFonts w:ascii="Times New Roman" w:eastAsia="Times New Roman" w:hAnsi="Times New Roman"/>
          <w:spacing w:val="-4"/>
          <w:sz w:val="28"/>
          <w:szCs w:val="28"/>
          <w:lang w:eastAsia="ru-RU"/>
        </w:rPr>
        <w:t>ице</w:t>
      </w:r>
      <w:r w:rsidR="00097064" w:rsidRPr="009114DF">
        <w:rPr>
          <w:rFonts w:ascii="Times New Roman" w:eastAsia="Times New Roman" w:hAnsi="Times New Roman"/>
          <w:spacing w:val="-4"/>
          <w:sz w:val="28"/>
          <w:szCs w:val="28"/>
          <w:lang w:eastAsia="ru-RU"/>
        </w:rPr>
        <w:t xml:space="preserve"> </w:t>
      </w:r>
      <w:r w:rsidR="007C2C06" w:rsidRPr="009114DF">
        <w:rPr>
          <w:rFonts w:ascii="Times New Roman" w:eastAsia="Times New Roman" w:hAnsi="Times New Roman"/>
          <w:spacing w:val="-4"/>
          <w:sz w:val="28"/>
          <w:szCs w:val="28"/>
          <w:lang w:eastAsia="ru-RU"/>
        </w:rPr>
        <w:t>3.</w:t>
      </w:r>
    </w:p>
    <w:p w:rsidR="0062726F" w:rsidRPr="009114DF" w:rsidRDefault="0062726F" w:rsidP="004B61AE">
      <w:pPr>
        <w:suppressAutoHyphens/>
        <w:spacing w:after="0" w:line="360" w:lineRule="auto"/>
        <w:jc w:val="both"/>
        <w:rPr>
          <w:rFonts w:ascii="Times New Roman" w:eastAsia="Times New Roman" w:hAnsi="Times New Roman"/>
          <w:spacing w:val="-3"/>
          <w:sz w:val="20"/>
          <w:szCs w:val="28"/>
          <w:lang w:eastAsia="ru-RU"/>
        </w:rPr>
      </w:pPr>
    </w:p>
    <w:p w:rsidR="007C2C06" w:rsidRPr="009114DF" w:rsidRDefault="00742BD1"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pacing w:val="40"/>
          <w:sz w:val="28"/>
          <w:szCs w:val="28"/>
          <w:lang w:eastAsia="ru-RU"/>
        </w:rPr>
        <w:t>Таблица</w:t>
      </w:r>
      <w:r w:rsidRPr="009114DF">
        <w:rPr>
          <w:rFonts w:ascii="Times New Roman" w:eastAsia="Times New Roman" w:hAnsi="Times New Roman"/>
          <w:sz w:val="28"/>
          <w:szCs w:val="28"/>
          <w:lang w:eastAsia="ru-RU"/>
        </w:rPr>
        <w:t xml:space="preserve"> </w:t>
      </w:r>
      <w:r w:rsidR="006F3814" w:rsidRPr="009114DF">
        <w:rPr>
          <w:rFonts w:ascii="Times New Roman" w:eastAsia="Times New Roman" w:hAnsi="Times New Roman"/>
          <w:sz w:val="28"/>
          <w:szCs w:val="28"/>
          <w:lang w:eastAsia="ru-RU"/>
        </w:rPr>
        <w:t>3</w:t>
      </w:r>
      <w:r w:rsidR="00CD2EDC" w:rsidRPr="009114DF">
        <w:rPr>
          <w:rFonts w:ascii="Times New Roman" w:eastAsia="Times New Roman" w:hAnsi="Times New Roman"/>
          <w:sz w:val="28"/>
          <w:szCs w:val="28"/>
          <w:lang w:eastAsia="ru-RU"/>
        </w:rPr>
        <w:t xml:space="preserve"> – </w:t>
      </w:r>
      <w:r w:rsidR="006F3814" w:rsidRPr="009114DF">
        <w:rPr>
          <w:rFonts w:ascii="Times New Roman" w:eastAsia="Times New Roman" w:hAnsi="Times New Roman"/>
          <w:sz w:val="28"/>
          <w:szCs w:val="28"/>
          <w:lang w:eastAsia="ru-RU"/>
        </w:rPr>
        <w:t>Стадия</w:t>
      </w:r>
      <w:r w:rsidR="007C2C06" w:rsidRPr="009114DF">
        <w:rPr>
          <w:rFonts w:ascii="Times New Roman" w:eastAsia="Times New Roman" w:hAnsi="Times New Roman"/>
          <w:sz w:val="28"/>
          <w:szCs w:val="28"/>
          <w:lang w:eastAsia="ru-RU"/>
        </w:rPr>
        <w:t xml:space="preserve"> РА в зависимости от давности заболевания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9"/>
        <w:gridCol w:w="1352"/>
        <w:gridCol w:w="1494"/>
        <w:gridCol w:w="1494"/>
        <w:gridCol w:w="1494"/>
        <w:gridCol w:w="1494"/>
        <w:gridCol w:w="1094"/>
      </w:tblGrid>
      <w:tr w:rsidR="009A7FF5" w:rsidRPr="009114DF" w:rsidTr="00E019EA">
        <w:trPr>
          <w:trHeight w:val="397"/>
        </w:trPr>
        <w:tc>
          <w:tcPr>
            <w:tcW w:w="760" w:type="pct"/>
            <w:vMerge w:val="restart"/>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Давность РА (годы)</w:t>
            </w:r>
          </w:p>
        </w:tc>
        <w:tc>
          <w:tcPr>
            <w:tcW w:w="681" w:type="pct"/>
            <w:vMerge w:val="restart"/>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Группа больных</w:t>
            </w:r>
          </w:p>
        </w:tc>
        <w:tc>
          <w:tcPr>
            <w:tcW w:w="3007" w:type="pct"/>
            <w:gridSpan w:val="4"/>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Стадия РА</w:t>
            </w:r>
          </w:p>
        </w:tc>
        <w:tc>
          <w:tcPr>
            <w:tcW w:w="551" w:type="pct"/>
            <w:vMerge w:val="restart"/>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Всего</w:t>
            </w:r>
          </w:p>
        </w:tc>
      </w:tr>
      <w:tr w:rsidR="00667CD6" w:rsidRPr="009114DF" w:rsidTr="00E019EA">
        <w:trPr>
          <w:trHeight w:val="397"/>
        </w:trPr>
        <w:tc>
          <w:tcPr>
            <w:tcW w:w="760" w:type="pct"/>
            <w:vMerge/>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p>
        </w:tc>
        <w:tc>
          <w:tcPr>
            <w:tcW w:w="681" w:type="pct"/>
            <w:vMerge/>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p>
        </w:tc>
        <w:tc>
          <w:tcPr>
            <w:tcW w:w="752" w:type="pct"/>
            <w:shd w:val="clear" w:color="auto" w:fill="F2F2F2"/>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I</w:t>
            </w:r>
          </w:p>
        </w:tc>
        <w:tc>
          <w:tcPr>
            <w:tcW w:w="752" w:type="pct"/>
            <w:shd w:val="clear" w:color="auto" w:fill="F2F2F2"/>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II</w:t>
            </w:r>
          </w:p>
        </w:tc>
        <w:tc>
          <w:tcPr>
            <w:tcW w:w="752" w:type="pct"/>
            <w:shd w:val="clear" w:color="auto" w:fill="F2F2F2"/>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III</w:t>
            </w:r>
          </w:p>
        </w:tc>
        <w:tc>
          <w:tcPr>
            <w:tcW w:w="752" w:type="pct"/>
            <w:shd w:val="clear" w:color="auto" w:fill="F2F2F2"/>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IV</w:t>
            </w:r>
          </w:p>
        </w:tc>
        <w:tc>
          <w:tcPr>
            <w:tcW w:w="551" w:type="pct"/>
            <w:vMerge/>
            <w:vAlign w:val="center"/>
          </w:tcPr>
          <w:p w:rsidR="009A7FF5" w:rsidRPr="009114DF" w:rsidRDefault="009A7FF5" w:rsidP="00F71B34">
            <w:pPr>
              <w:spacing w:after="0" w:line="360" w:lineRule="auto"/>
              <w:ind w:firstLine="49"/>
              <w:jc w:val="center"/>
              <w:rPr>
                <w:rFonts w:ascii="Times New Roman" w:eastAsia="Times New Roman" w:hAnsi="Times New Roman"/>
                <w:sz w:val="24"/>
                <w:szCs w:val="24"/>
                <w:lang w:eastAsia="ru-RU"/>
              </w:rPr>
            </w:pPr>
          </w:p>
        </w:tc>
      </w:tr>
      <w:tr w:rsidR="00667CD6" w:rsidRPr="009114DF" w:rsidTr="00E019EA">
        <w:trPr>
          <w:trHeight w:val="397"/>
        </w:trPr>
        <w:tc>
          <w:tcPr>
            <w:tcW w:w="760" w:type="pct"/>
            <w:vMerge w:val="restart"/>
            <w:vAlign w:val="center"/>
          </w:tcPr>
          <w:p w:rsidR="002F7DC1" w:rsidRPr="009114DF" w:rsidRDefault="002F7DC1" w:rsidP="00835B10">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r w:rsidR="00835B10" w:rsidRPr="009114DF">
              <w:rPr>
                <w:rFonts w:ascii="Times New Roman" w:eastAsia="Times New Roman" w:hAnsi="Times New Roman"/>
                <w:sz w:val="24"/>
                <w:szCs w:val="24"/>
                <w:lang w:eastAsia="ru-RU"/>
              </w:rPr>
              <w:t>–</w:t>
            </w:r>
            <w:r w:rsidRPr="009114DF">
              <w:rPr>
                <w:rFonts w:ascii="Times New Roman" w:eastAsia="Times New Roman" w:hAnsi="Times New Roman"/>
                <w:sz w:val="24"/>
                <w:szCs w:val="24"/>
                <w:lang w:val="en-US" w:eastAsia="ru-RU"/>
              </w:rPr>
              <w:t>4</w:t>
            </w:r>
          </w:p>
        </w:tc>
        <w:tc>
          <w:tcPr>
            <w:tcW w:w="681" w:type="pc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52" w:type="pct"/>
            <w:vAlign w:val="center"/>
          </w:tcPr>
          <w:p w:rsidR="002F7DC1" w:rsidRPr="009114DF" w:rsidRDefault="008F0152"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52" w:type="pc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51"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r>
      <w:tr w:rsidR="00667CD6" w:rsidRPr="009114DF" w:rsidTr="00E019EA">
        <w:trPr>
          <w:trHeight w:val="397"/>
        </w:trPr>
        <w:tc>
          <w:tcPr>
            <w:tcW w:w="760" w:type="pct"/>
            <w:vMerge/>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p>
        </w:tc>
        <w:tc>
          <w:tcPr>
            <w:tcW w:w="681" w:type="pct"/>
            <w:shd w:val="clear" w:color="auto" w:fill="F2F2F2"/>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4</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52" w:type="pct"/>
            <w:shd w:val="clear" w:color="auto" w:fill="F2F2F2"/>
            <w:vAlign w:val="center"/>
          </w:tcPr>
          <w:p w:rsidR="002F7DC1" w:rsidRPr="009114DF" w:rsidRDefault="008F0152"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51"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5</w:t>
            </w:r>
          </w:p>
        </w:tc>
      </w:tr>
      <w:tr w:rsidR="00667CD6" w:rsidRPr="009114DF" w:rsidTr="00E019EA">
        <w:trPr>
          <w:trHeight w:val="397"/>
        </w:trPr>
        <w:tc>
          <w:tcPr>
            <w:tcW w:w="760" w:type="pct"/>
            <w:vMerge w:val="restart"/>
            <w:vAlign w:val="center"/>
          </w:tcPr>
          <w:p w:rsidR="002F7DC1" w:rsidRPr="009114DF" w:rsidRDefault="002F7DC1" w:rsidP="00835B10">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5</w:t>
            </w:r>
            <w:r w:rsidR="00835B10" w:rsidRPr="009114DF">
              <w:rPr>
                <w:rFonts w:ascii="Times New Roman" w:eastAsia="Times New Roman" w:hAnsi="Times New Roman"/>
                <w:sz w:val="24"/>
                <w:szCs w:val="24"/>
                <w:lang w:eastAsia="ru-RU"/>
              </w:rPr>
              <w:t>–</w:t>
            </w:r>
            <w:r w:rsidRPr="009114DF">
              <w:rPr>
                <w:rFonts w:ascii="Times New Roman" w:eastAsia="Times New Roman" w:hAnsi="Times New Roman"/>
                <w:sz w:val="24"/>
                <w:szCs w:val="24"/>
                <w:lang w:val="en-US" w:eastAsia="ru-RU"/>
              </w:rPr>
              <w:t>9</w:t>
            </w:r>
          </w:p>
        </w:tc>
        <w:tc>
          <w:tcPr>
            <w:tcW w:w="681" w:type="pc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7</w:t>
            </w:r>
          </w:p>
        </w:tc>
        <w:tc>
          <w:tcPr>
            <w:tcW w:w="752" w:type="pct"/>
            <w:vAlign w:val="center"/>
          </w:tcPr>
          <w:p w:rsidR="002F7DC1" w:rsidRPr="009114DF" w:rsidRDefault="008F0152"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551"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10</w:t>
            </w:r>
          </w:p>
        </w:tc>
      </w:tr>
      <w:tr w:rsidR="00667CD6" w:rsidRPr="009114DF" w:rsidTr="00E019EA">
        <w:trPr>
          <w:trHeight w:val="397"/>
        </w:trPr>
        <w:tc>
          <w:tcPr>
            <w:tcW w:w="760" w:type="pct"/>
            <w:vMerge/>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p>
        </w:tc>
        <w:tc>
          <w:tcPr>
            <w:tcW w:w="681" w:type="pct"/>
            <w:shd w:val="clear" w:color="auto" w:fill="F2F2F2"/>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4</w:t>
            </w:r>
          </w:p>
        </w:tc>
        <w:tc>
          <w:tcPr>
            <w:tcW w:w="752" w:type="pct"/>
            <w:shd w:val="clear" w:color="auto" w:fill="F2F2F2"/>
            <w:vAlign w:val="center"/>
          </w:tcPr>
          <w:p w:rsidR="002F7DC1" w:rsidRPr="009114DF" w:rsidRDefault="00A92889"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7</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51"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11</w:t>
            </w:r>
          </w:p>
        </w:tc>
      </w:tr>
      <w:tr w:rsidR="00667CD6" w:rsidRPr="009114DF" w:rsidTr="00E019EA">
        <w:trPr>
          <w:trHeight w:val="397"/>
        </w:trPr>
        <w:tc>
          <w:tcPr>
            <w:tcW w:w="760" w:type="pct"/>
            <w:vMerge w:val="restar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≥10</w:t>
            </w:r>
          </w:p>
        </w:tc>
        <w:tc>
          <w:tcPr>
            <w:tcW w:w="681" w:type="pc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52" w:type="pct"/>
            <w:vAlign w:val="center"/>
          </w:tcPr>
          <w:p w:rsidR="002F7DC1" w:rsidRPr="009114DF" w:rsidRDefault="008F0152"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8</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16</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8</w:t>
            </w:r>
          </w:p>
        </w:tc>
        <w:tc>
          <w:tcPr>
            <w:tcW w:w="551"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32</w:t>
            </w:r>
          </w:p>
        </w:tc>
      </w:tr>
      <w:tr w:rsidR="00667CD6" w:rsidRPr="009114DF" w:rsidTr="00E019EA">
        <w:trPr>
          <w:trHeight w:val="397"/>
        </w:trPr>
        <w:tc>
          <w:tcPr>
            <w:tcW w:w="760" w:type="pct"/>
            <w:vMerge/>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p>
        </w:tc>
        <w:tc>
          <w:tcPr>
            <w:tcW w:w="681" w:type="pct"/>
            <w:shd w:val="clear" w:color="auto" w:fill="F2F2F2"/>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52" w:type="pct"/>
            <w:shd w:val="clear" w:color="auto" w:fill="F2F2F2"/>
            <w:vAlign w:val="center"/>
          </w:tcPr>
          <w:p w:rsidR="002F7DC1" w:rsidRPr="009114DF" w:rsidRDefault="00A92889"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7</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9</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3</w:t>
            </w:r>
          </w:p>
        </w:tc>
        <w:tc>
          <w:tcPr>
            <w:tcW w:w="551"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19</w:t>
            </w:r>
          </w:p>
        </w:tc>
      </w:tr>
      <w:tr w:rsidR="00667CD6" w:rsidRPr="009114DF" w:rsidTr="00E019EA">
        <w:trPr>
          <w:trHeight w:val="397"/>
        </w:trPr>
        <w:tc>
          <w:tcPr>
            <w:tcW w:w="760" w:type="pct"/>
            <w:vMerge w:val="restar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Всего</w:t>
            </w:r>
          </w:p>
        </w:tc>
        <w:tc>
          <w:tcPr>
            <w:tcW w:w="681" w:type="pc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16</w:t>
            </w:r>
          </w:p>
        </w:tc>
        <w:tc>
          <w:tcPr>
            <w:tcW w:w="752" w:type="pct"/>
            <w:vAlign w:val="center"/>
          </w:tcPr>
          <w:p w:rsidR="002F7DC1" w:rsidRPr="009114DF" w:rsidRDefault="008C1F9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18</w:t>
            </w:r>
          </w:p>
        </w:tc>
        <w:tc>
          <w:tcPr>
            <w:tcW w:w="752" w:type="pct"/>
            <w:vAlign w:val="center"/>
          </w:tcPr>
          <w:p w:rsidR="002F7DC1" w:rsidRPr="009114DF" w:rsidRDefault="008F0152"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9</w:t>
            </w:r>
          </w:p>
        </w:tc>
        <w:tc>
          <w:tcPr>
            <w:tcW w:w="551" w:type="pct"/>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44</w:t>
            </w:r>
          </w:p>
        </w:tc>
      </w:tr>
      <w:tr w:rsidR="00667CD6" w:rsidRPr="009114DF" w:rsidTr="00E019EA">
        <w:trPr>
          <w:trHeight w:val="397"/>
        </w:trPr>
        <w:tc>
          <w:tcPr>
            <w:tcW w:w="760" w:type="pct"/>
            <w:vMerge/>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p>
        </w:tc>
        <w:tc>
          <w:tcPr>
            <w:tcW w:w="681" w:type="pct"/>
            <w:shd w:val="clear" w:color="auto" w:fill="F2F2F2"/>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4</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12</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16</w:t>
            </w:r>
          </w:p>
        </w:tc>
        <w:tc>
          <w:tcPr>
            <w:tcW w:w="752"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3</w:t>
            </w:r>
          </w:p>
        </w:tc>
        <w:tc>
          <w:tcPr>
            <w:tcW w:w="551" w:type="pct"/>
            <w:shd w:val="clear" w:color="auto" w:fill="F2F2F2"/>
            <w:vAlign w:val="center"/>
          </w:tcPr>
          <w:p w:rsidR="002F7DC1" w:rsidRPr="009114DF" w:rsidRDefault="00E6325E"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35</w:t>
            </w:r>
          </w:p>
        </w:tc>
      </w:tr>
    </w:tbl>
    <w:p w:rsidR="007C2C06" w:rsidRPr="009114DF" w:rsidRDefault="007C2C06" w:rsidP="00F71B34">
      <w:pPr>
        <w:suppressAutoHyphens/>
        <w:spacing w:after="0" w:line="360" w:lineRule="auto"/>
        <w:ind w:firstLine="567"/>
        <w:jc w:val="center"/>
        <w:rPr>
          <w:rFonts w:ascii="Times New Roman" w:eastAsia="Times New Roman" w:hAnsi="Times New Roman"/>
          <w:spacing w:val="-3"/>
          <w:sz w:val="28"/>
          <w:szCs w:val="28"/>
          <w:lang w:eastAsia="ru-RU"/>
        </w:rPr>
      </w:pPr>
    </w:p>
    <w:p w:rsidR="00835B10" w:rsidRPr="009114DF" w:rsidRDefault="00835B10" w:rsidP="00F71B34">
      <w:pPr>
        <w:suppressAutoHyphens/>
        <w:spacing w:after="0" w:line="360" w:lineRule="auto"/>
        <w:ind w:firstLine="709"/>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t xml:space="preserve">Из данной таблицы следует, что большей давности заболевания соответствует большая стадия РА. Так,  у пациентов с давностью заболевания до 5 лет как в группе 1, так и в группе 2 определена  </w:t>
      </w:r>
      <w:r w:rsidRPr="009114DF">
        <w:rPr>
          <w:rFonts w:ascii="Times New Roman" w:eastAsia="Times New Roman" w:hAnsi="Times New Roman"/>
          <w:spacing w:val="-3"/>
          <w:sz w:val="28"/>
          <w:szCs w:val="28"/>
          <w:lang w:val="en-US" w:eastAsia="ru-RU"/>
        </w:rPr>
        <w:t>I</w:t>
      </w:r>
      <w:r w:rsidRPr="009114DF">
        <w:rPr>
          <w:rFonts w:ascii="Times New Roman" w:eastAsia="Times New Roman" w:hAnsi="Times New Roman"/>
          <w:spacing w:val="-3"/>
          <w:sz w:val="28"/>
          <w:szCs w:val="28"/>
          <w:lang w:eastAsia="ru-RU"/>
        </w:rPr>
        <w:t xml:space="preserve">  и </w:t>
      </w:r>
      <w:r w:rsidRPr="009114DF">
        <w:rPr>
          <w:rFonts w:ascii="Times New Roman" w:eastAsia="Times New Roman" w:hAnsi="Times New Roman"/>
          <w:spacing w:val="-3"/>
          <w:sz w:val="28"/>
          <w:szCs w:val="28"/>
          <w:lang w:val="en-US" w:eastAsia="ru-RU"/>
        </w:rPr>
        <w:t>II</w:t>
      </w:r>
      <w:r w:rsidRPr="009114DF">
        <w:rPr>
          <w:rFonts w:ascii="Times New Roman" w:eastAsia="Times New Roman" w:hAnsi="Times New Roman"/>
          <w:spacing w:val="-3"/>
          <w:sz w:val="28"/>
          <w:szCs w:val="28"/>
          <w:lang w:eastAsia="ru-RU"/>
        </w:rPr>
        <w:t xml:space="preserve"> стадия РА.</w:t>
      </w:r>
      <w:r w:rsidRPr="009114DF">
        <w:rPr>
          <w:rFonts w:ascii="Times New Roman" w:eastAsia="Times New Roman" w:hAnsi="Times New Roman"/>
          <w:spacing w:val="-3"/>
          <w:sz w:val="28"/>
          <w:szCs w:val="28"/>
          <w:lang w:eastAsia="ru-RU"/>
        </w:rPr>
        <w:br/>
        <w:t xml:space="preserve">В когорте больных с длительностью заболевания более 10 лет преобладали пациенты с </w:t>
      </w:r>
      <w:r w:rsidRPr="009114DF">
        <w:rPr>
          <w:rFonts w:ascii="Times New Roman" w:eastAsia="Times New Roman" w:hAnsi="Times New Roman"/>
          <w:spacing w:val="-3"/>
          <w:sz w:val="28"/>
          <w:szCs w:val="28"/>
          <w:lang w:val="en-US" w:eastAsia="ru-RU"/>
        </w:rPr>
        <w:t>III</w:t>
      </w:r>
      <w:r w:rsidRPr="009114DF">
        <w:rPr>
          <w:rFonts w:ascii="Times New Roman" w:eastAsia="Times New Roman" w:hAnsi="Times New Roman"/>
          <w:spacing w:val="-3"/>
          <w:sz w:val="28"/>
          <w:szCs w:val="28"/>
          <w:lang w:eastAsia="ru-RU"/>
        </w:rPr>
        <w:t xml:space="preserve"> стадией  – 16 (50,0%) в группе 1 и 9 пациентов  (47,4%)</w:t>
      </w:r>
      <w:r w:rsidRPr="009114DF">
        <w:rPr>
          <w:rFonts w:ascii="Times New Roman" w:eastAsia="Times New Roman" w:hAnsi="Times New Roman"/>
          <w:spacing w:val="-3"/>
          <w:sz w:val="28"/>
          <w:szCs w:val="28"/>
          <w:lang w:eastAsia="ru-RU"/>
        </w:rPr>
        <w:br/>
        <w:t>в группе 2.</w:t>
      </w:r>
    </w:p>
    <w:p w:rsidR="007C2C06" w:rsidRPr="009114DF" w:rsidRDefault="007C2C06" w:rsidP="00F71B34">
      <w:pPr>
        <w:suppressAutoHyphens/>
        <w:spacing w:after="0" w:line="360" w:lineRule="auto"/>
        <w:ind w:firstLine="709"/>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t xml:space="preserve">Для оценки функционального класса (ФК) использовали рабочую классификацию РА, основанную на определении сохранности выполнения нормальной ежедневной нагрузки. В соответствии с данной классификацией выделяли четыре степени ФК: </w:t>
      </w:r>
      <w:r w:rsidRPr="009114DF">
        <w:rPr>
          <w:rFonts w:ascii="Times New Roman" w:eastAsia="Times New Roman" w:hAnsi="Times New Roman"/>
          <w:spacing w:val="-3"/>
          <w:sz w:val="28"/>
          <w:szCs w:val="28"/>
          <w:lang w:val="en-US" w:eastAsia="ru-RU"/>
        </w:rPr>
        <w:t>I</w:t>
      </w:r>
      <w:r w:rsidRPr="009114DF">
        <w:rPr>
          <w:rFonts w:ascii="Times New Roman" w:eastAsia="Times New Roman" w:hAnsi="Times New Roman"/>
          <w:spacing w:val="-3"/>
          <w:sz w:val="28"/>
          <w:szCs w:val="28"/>
          <w:lang w:eastAsia="ru-RU"/>
        </w:rPr>
        <w:t xml:space="preserve"> – полная сохранность выполнения </w:t>
      </w:r>
      <w:r w:rsidR="00AB3EEA" w:rsidRPr="009114DF">
        <w:rPr>
          <w:rFonts w:ascii="Times New Roman" w:eastAsia="Times New Roman" w:hAnsi="Times New Roman"/>
          <w:spacing w:val="-3"/>
          <w:sz w:val="28"/>
          <w:szCs w:val="28"/>
          <w:lang w:eastAsia="ru-RU"/>
        </w:rPr>
        <w:t>обычной</w:t>
      </w:r>
      <w:r w:rsidRPr="009114DF">
        <w:rPr>
          <w:rFonts w:ascii="Times New Roman" w:eastAsia="Times New Roman" w:hAnsi="Times New Roman"/>
          <w:spacing w:val="-3"/>
          <w:sz w:val="28"/>
          <w:szCs w:val="28"/>
          <w:lang w:eastAsia="ru-RU"/>
        </w:rPr>
        <w:t xml:space="preserve"> ежедневной нагрузки</w:t>
      </w:r>
      <w:r w:rsidR="00AB3EEA" w:rsidRPr="009114DF">
        <w:rPr>
          <w:rFonts w:ascii="Times New Roman" w:eastAsia="Times New Roman" w:hAnsi="Times New Roman"/>
          <w:spacing w:val="-3"/>
          <w:sz w:val="28"/>
          <w:szCs w:val="28"/>
          <w:lang w:eastAsia="ru-RU"/>
        </w:rPr>
        <w:t xml:space="preserve"> и профессиональной деятельности</w:t>
      </w:r>
      <w:r w:rsidRPr="009114DF">
        <w:rPr>
          <w:rFonts w:ascii="Times New Roman" w:eastAsia="Times New Roman" w:hAnsi="Times New Roman"/>
          <w:spacing w:val="-3"/>
          <w:sz w:val="28"/>
          <w:szCs w:val="28"/>
          <w:lang w:eastAsia="ru-RU"/>
        </w:rPr>
        <w:t xml:space="preserve">, </w:t>
      </w:r>
      <w:r w:rsidRPr="009114DF">
        <w:rPr>
          <w:rFonts w:ascii="Times New Roman" w:eastAsia="Times New Roman" w:hAnsi="Times New Roman"/>
          <w:spacing w:val="-3"/>
          <w:sz w:val="28"/>
          <w:szCs w:val="28"/>
          <w:lang w:val="en-US" w:eastAsia="ru-RU"/>
        </w:rPr>
        <w:t>II</w:t>
      </w:r>
      <w:r w:rsidRPr="009114DF">
        <w:rPr>
          <w:rFonts w:ascii="Times New Roman" w:eastAsia="Times New Roman" w:hAnsi="Times New Roman"/>
          <w:spacing w:val="-3"/>
          <w:sz w:val="28"/>
          <w:szCs w:val="28"/>
          <w:lang w:eastAsia="ru-RU"/>
        </w:rPr>
        <w:t xml:space="preserve"> – адекватная сохранность выполнения </w:t>
      </w:r>
      <w:r w:rsidR="00AB3EEA" w:rsidRPr="009114DF">
        <w:rPr>
          <w:rFonts w:ascii="Times New Roman" w:eastAsia="Times New Roman" w:hAnsi="Times New Roman"/>
          <w:spacing w:val="-3"/>
          <w:sz w:val="28"/>
          <w:szCs w:val="28"/>
          <w:lang w:eastAsia="ru-RU"/>
        </w:rPr>
        <w:t xml:space="preserve">обычной </w:t>
      </w:r>
      <w:r w:rsidR="008B14D1" w:rsidRPr="009114DF">
        <w:rPr>
          <w:rFonts w:ascii="Times New Roman" w:eastAsia="Times New Roman" w:hAnsi="Times New Roman"/>
          <w:spacing w:val="-3"/>
          <w:sz w:val="28"/>
          <w:szCs w:val="28"/>
          <w:lang w:eastAsia="ru-RU"/>
        </w:rPr>
        <w:t>ежедневной нагрузки</w:t>
      </w:r>
      <w:r w:rsidR="00AB3EEA" w:rsidRPr="009114DF">
        <w:rPr>
          <w:rFonts w:ascii="Times New Roman" w:eastAsia="Times New Roman" w:hAnsi="Times New Roman"/>
          <w:spacing w:val="-3"/>
          <w:sz w:val="28"/>
          <w:szCs w:val="28"/>
          <w:lang w:eastAsia="ru-RU"/>
        </w:rPr>
        <w:t xml:space="preserve">, ограничение </w:t>
      </w:r>
      <w:r w:rsidR="00AB3EEA" w:rsidRPr="009114DF">
        <w:rPr>
          <w:rFonts w:ascii="Times New Roman" w:eastAsia="Times New Roman" w:hAnsi="Times New Roman"/>
          <w:spacing w:val="-3"/>
          <w:sz w:val="28"/>
          <w:szCs w:val="28"/>
          <w:lang w:eastAsia="ru-RU"/>
        </w:rPr>
        <w:lastRenderedPageBreak/>
        <w:t>профессиональной деятельности</w:t>
      </w:r>
      <w:r w:rsidRPr="009114DF">
        <w:rPr>
          <w:rFonts w:ascii="Times New Roman" w:eastAsia="Times New Roman" w:hAnsi="Times New Roman"/>
          <w:spacing w:val="-3"/>
          <w:sz w:val="28"/>
          <w:szCs w:val="28"/>
          <w:lang w:eastAsia="ru-RU"/>
        </w:rPr>
        <w:t xml:space="preserve">, </w:t>
      </w:r>
      <w:r w:rsidRPr="009114DF">
        <w:rPr>
          <w:rFonts w:ascii="Times New Roman" w:eastAsia="Times New Roman" w:hAnsi="Times New Roman"/>
          <w:spacing w:val="-3"/>
          <w:sz w:val="28"/>
          <w:szCs w:val="28"/>
          <w:lang w:val="en-US" w:eastAsia="ru-RU"/>
        </w:rPr>
        <w:t>III</w:t>
      </w:r>
      <w:r w:rsidR="00CD2EDC" w:rsidRPr="009114DF">
        <w:rPr>
          <w:rFonts w:ascii="Times New Roman" w:eastAsia="Times New Roman" w:hAnsi="Times New Roman"/>
          <w:spacing w:val="-3"/>
          <w:sz w:val="28"/>
          <w:szCs w:val="28"/>
          <w:lang w:eastAsia="ru-RU"/>
        </w:rPr>
        <w:t xml:space="preserve"> – </w:t>
      </w:r>
      <w:r w:rsidRPr="009114DF">
        <w:rPr>
          <w:rFonts w:ascii="Times New Roman" w:eastAsia="Times New Roman" w:hAnsi="Times New Roman"/>
          <w:spacing w:val="-3"/>
          <w:sz w:val="28"/>
          <w:szCs w:val="28"/>
          <w:lang w:eastAsia="ru-RU"/>
        </w:rPr>
        <w:t xml:space="preserve"> ограниченная возможность выполнения </w:t>
      </w:r>
      <w:r w:rsidR="00AB3EEA" w:rsidRPr="009114DF">
        <w:rPr>
          <w:rFonts w:ascii="Times New Roman" w:eastAsia="Times New Roman" w:hAnsi="Times New Roman"/>
          <w:spacing w:val="-3"/>
          <w:sz w:val="28"/>
          <w:szCs w:val="28"/>
          <w:lang w:eastAsia="ru-RU"/>
        </w:rPr>
        <w:t>обычной</w:t>
      </w:r>
      <w:r w:rsidRPr="009114DF">
        <w:rPr>
          <w:rFonts w:ascii="Times New Roman" w:eastAsia="Times New Roman" w:hAnsi="Times New Roman"/>
          <w:spacing w:val="-3"/>
          <w:sz w:val="28"/>
          <w:szCs w:val="28"/>
          <w:lang w:eastAsia="ru-RU"/>
        </w:rPr>
        <w:t xml:space="preserve"> ежедневной нагрузки, </w:t>
      </w:r>
      <w:r w:rsidRPr="009114DF">
        <w:rPr>
          <w:rFonts w:ascii="Times New Roman" w:eastAsia="Times New Roman" w:hAnsi="Times New Roman"/>
          <w:spacing w:val="-3"/>
          <w:sz w:val="28"/>
          <w:szCs w:val="28"/>
          <w:lang w:val="en-US" w:eastAsia="ru-RU"/>
        </w:rPr>
        <w:t>IV</w:t>
      </w:r>
      <w:r w:rsidRPr="009114DF">
        <w:rPr>
          <w:rFonts w:ascii="Times New Roman" w:eastAsia="Times New Roman" w:hAnsi="Times New Roman"/>
          <w:spacing w:val="-3"/>
          <w:sz w:val="28"/>
          <w:szCs w:val="28"/>
          <w:lang w:eastAsia="ru-RU"/>
        </w:rPr>
        <w:t xml:space="preserve"> – полная потеря возможности выполнения </w:t>
      </w:r>
      <w:r w:rsidR="00AB3EEA" w:rsidRPr="009114DF">
        <w:rPr>
          <w:rFonts w:ascii="Times New Roman" w:eastAsia="Times New Roman" w:hAnsi="Times New Roman"/>
          <w:spacing w:val="-3"/>
          <w:sz w:val="28"/>
          <w:szCs w:val="28"/>
          <w:lang w:eastAsia="ru-RU"/>
        </w:rPr>
        <w:t>обычной</w:t>
      </w:r>
      <w:r w:rsidRPr="009114DF">
        <w:rPr>
          <w:rFonts w:ascii="Times New Roman" w:eastAsia="Times New Roman" w:hAnsi="Times New Roman"/>
          <w:spacing w:val="-3"/>
          <w:sz w:val="28"/>
          <w:szCs w:val="28"/>
          <w:lang w:eastAsia="ru-RU"/>
        </w:rPr>
        <w:t xml:space="preserve"> ежедневной нагрузки.</w:t>
      </w:r>
    </w:p>
    <w:p w:rsidR="00B401F4" w:rsidRPr="009114DF" w:rsidRDefault="00B401F4" w:rsidP="00F71B34">
      <w:pPr>
        <w:suppressAutoHyphens/>
        <w:spacing w:after="0" w:line="360" w:lineRule="auto"/>
        <w:ind w:firstLine="709"/>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t xml:space="preserve">На этапе включения больных в исследование наиболее часто регистрировался  </w:t>
      </w:r>
      <w:r w:rsidRPr="009114DF">
        <w:rPr>
          <w:rFonts w:ascii="Times New Roman" w:eastAsia="Times New Roman" w:hAnsi="Times New Roman"/>
          <w:spacing w:val="-3"/>
          <w:sz w:val="28"/>
          <w:szCs w:val="28"/>
          <w:lang w:val="en-US" w:eastAsia="ru-RU"/>
        </w:rPr>
        <w:t>II</w:t>
      </w:r>
      <w:r w:rsidRPr="009114DF">
        <w:rPr>
          <w:rFonts w:ascii="Times New Roman" w:eastAsia="Times New Roman" w:hAnsi="Times New Roman"/>
          <w:spacing w:val="-3"/>
          <w:sz w:val="28"/>
          <w:szCs w:val="28"/>
          <w:lang w:eastAsia="ru-RU"/>
        </w:rPr>
        <w:t xml:space="preserve"> ФК – 33 (75,0%) больных в группе 1 и 23 (65,7%) пациент</w:t>
      </w:r>
      <w:r w:rsidR="00835B10" w:rsidRPr="009114DF">
        <w:rPr>
          <w:rFonts w:ascii="Times New Roman" w:eastAsia="Times New Roman" w:hAnsi="Times New Roman"/>
          <w:spacing w:val="-3"/>
          <w:sz w:val="28"/>
          <w:szCs w:val="28"/>
          <w:lang w:eastAsia="ru-RU"/>
        </w:rPr>
        <w:t>а</w:t>
      </w:r>
      <w:r w:rsidRPr="009114DF">
        <w:rPr>
          <w:rFonts w:ascii="Times New Roman" w:eastAsia="Times New Roman" w:hAnsi="Times New Roman"/>
          <w:spacing w:val="-3"/>
          <w:sz w:val="28"/>
          <w:szCs w:val="28"/>
          <w:lang w:eastAsia="ru-RU"/>
        </w:rPr>
        <w:t xml:space="preserve"> в группе 2.  </w:t>
      </w:r>
      <w:r w:rsidRPr="009114DF">
        <w:rPr>
          <w:rFonts w:ascii="Times New Roman" w:eastAsia="Times New Roman" w:hAnsi="Times New Roman"/>
          <w:spacing w:val="-3"/>
          <w:sz w:val="28"/>
          <w:szCs w:val="28"/>
          <w:lang w:val="en-US" w:eastAsia="ru-RU"/>
        </w:rPr>
        <w:t>III</w:t>
      </w:r>
      <w:r w:rsidRPr="009114DF">
        <w:rPr>
          <w:rFonts w:ascii="Times New Roman" w:eastAsia="Times New Roman" w:hAnsi="Times New Roman"/>
          <w:spacing w:val="-3"/>
          <w:sz w:val="28"/>
          <w:szCs w:val="28"/>
          <w:lang w:eastAsia="ru-RU"/>
        </w:rPr>
        <w:t xml:space="preserve"> ФК установлен у 8 (18</w:t>
      </w:r>
      <w:proofErr w:type="gramStart"/>
      <w:r w:rsidRPr="009114DF">
        <w:rPr>
          <w:rFonts w:ascii="Times New Roman" w:eastAsia="Times New Roman" w:hAnsi="Times New Roman"/>
          <w:spacing w:val="-3"/>
          <w:sz w:val="28"/>
          <w:szCs w:val="28"/>
          <w:lang w:eastAsia="ru-RU"/>
        </w:rPr>
        <w:t>,2</w:t>
      </w:r>
      <w:proofErr w:type="gramEnd"/>
      <w:r w:rsidRPr="009114DF">
        <w:rPr>
          <w:rFonts w:ascii="Times New Roman" w:eastAsia="Times New Roman" w:hAnsi="Times New Roman"/>
          <w:spacing w:val="-3"/>
          <w:sz w:val="28"/>
          <w:szCs w:val="28"/>
          <w:lang w:eastAsia="ru-RU"/>
        </w:rPr>
        <w:t xml:space="preserve">%) и 11 (31,4%) больных соответственно. В группе 1 у 3 (6,8%) пациентов ФК соответствовал </w:t>
      </w:r>
      <w:r w:rsidRPr="009114DF">
        <w:rPr>
          <w:rFonts w:ascii="Times New Roman" w:eastAsia="Times New Roman" w:hAnsi="Times New Roman"/>
          <w:spacing w:val="-3"/>
          <w:sz w:val="28"/>
          <w:szCs w:val="28"/>
          <w:lang w:val="en-US" w:eastAsia="ru-RU"/>
        </w:rPr>
        <w:t>I</w:t>
      </w:r>
      <w:r w:rsidRPr="009114DF">
        <w:rPr>
          <w:rFonts w:ascii="Times New Roman" w:eastAsia="Times New Roman" w:hAnsi="Times New Roman"/>
          <w:spacing w:val="-3"/>
          <w:sz w:val="28"/>
          <w:szCs w:val="28"/>
          <w:lang w:eastAsia="ru-RU"/>
        </w:rPr>
        <w:t xml:space="preserve"> степени, в группе 2 пациентов с</w:t>
      </w:r>
      <w:r w:rsidR="00835B10" w:rsidRPr="009114DF">
        <w:rPr>
          <w:rFonts w:ascii="Times New Roman" w:eastAsia="Times New Roman" w:hAnsi="Times New Roman"/>
          <w:spacing w:val="-3"/>
          <w:sz w:val="28"/>
          <w:szCs w:val="28"/>
          <w:lang w:eastAsia="ru-RU"/>
        </w:rPr>
        <w:t xml:space="preserve"> </w:t>
      </w:r>
      <w:r w:rsidR="00835B10" w:rsidRPr="009114DF">
        <w:rPr>
          <w:rFonts w:ascii="Times New Roman" w:eastAsia="Times New Roman" w:hAnsi="Times New Roman"/>
          <w:spacing w:val="-3"/>
          <w:sz w:val="28"/>
          <w:szCs w:val="28"/>
          <w:lang w:val="en-US" w:eastAsia="ru-RU"/>
        </w:rPr>
        <w:t>I</w:t>
      </w:r>
      <w:r w:rsidRPr="009114DF">
        <w:rPr>
          <w:rFonts w:ascii="Times New Roman" w:eastAsia="Times New Roman" w:hAnsi="Times New Roman"/>
          <w:spacing w:val="-3"/>
          <w:sz w:val="28"/>
          <w:szCs w:val="28"/>
          <w:lang w:eastAsia="ru-RU"/>
        </w:rPr>
        <w:t xml:space="preserve"> ФК не было.</w:t>
      </w:r>
      <w:r w:rsidR="00835B10" w:rsidRPr="009114DF">
        <w:rPr>
          <w:rFonts w:ascii="Times New Roman" w:eastAsia="Times New Roman" w:hAnsi="Times New Roman"/>
          <w:spacing w:val="-3"/>
          <w:sz w:val="28"/>
          <w:szCs w:val="28"/>
          <w:lang w:eastAsia="ru-RU"/>
        </w:rPr>
        <w:t xml:space="preserve"> </w:t>
      </w:r>
      <w:r w:rsidR="00835B10" w:rsidRPr="009114DF">
        <w:rPr>
          <w:rFonts w:ascii="Times New Roman" w:eastAsia="Times New Roman" w:hAnsi="Times New Roman"/>
          <w:spacing w:val="-3"/>
          <w:sz w:val="28"/>
          <w:szCs w:val="28"/>
          <w:lang w:val="en-US" w:eastAsia="ru-RU"/>
        </w:rPr>
        <w:t>IV</w:t>
      </w:r>
      <w:r w:rsidRPr="009114DF">
        <w:rPr>
          <w:rFonts w:ascii="Times New Roman" w:eastAsia="Times New Roman" w:hAnsi="Times New Roman"/>
          <w:spacing w:val="-3"/>
          <w:sz w:val="28"/>
          <w:szCs w:val="28"/>
          <w:lang w:eastAsia="ru-RU"/>
        </w:rPr>
        <w:t xml:space="preserve"> ФК определялся у 1 (2</w:t>
      </w:r>
      <w:proofErr w:type="gramStart"/>
      <w:r w:rsidRPr="009114DF">
        <w:rPr>
          <w:rFonts w:ascii="Times New Roman" w:eastAsia="Times New Roman" w:hAnsi="Times New Roman"/>
          <w:spacing w:val="-3"/>
          <w:sz w:val="28"/>
          <w:szCs w:val="28"/>
          <w:lang w:eastAsia="ru-RU"/>
        </w:rPr>
        <w:t>,9</w:t>
      </w:r>
      <w:proofErr w:type="gramEnd"/>
      <w:r w:rsidRPr="009114DF">
        <w:rPr>
          <w:rFonts w:ascii="Times New Roman" w:eastAsia="Times New Roman" w:hAnsi="Times New Roman"/>
          <w:spacing w:val="-3"/>
          <w:sz w:val="28"/>
          <w:szCs w:val="28"/>
          <w:lang w:eastAsia="ru-RU"/>
        </w:rPr>
        <w:t xml:space="preserve">%) больного группы 2, у пациентов группы 1 </w:t>
      </w:r>
      <w:r w:rsidR="00835B10" w:rsidRPr="009114DF">
        <w:rPr>
          <w:rFonts w:ascii="Times New Roman" w:eastAsia="Times New Roman" w:hAnsi="Times New Roman"/>
          <w:spacing w:val="-3"/>
          <w:sz w:val="28"/>
          <w:szCs w:val="28"/>
          <w:lang w:val="en-US" w:eastAsia="ru-RU"/>
        </w:rPr>
        <w:t>IV</w:t>
      </w:r>
      <w:r w:rsidR="00835B10" w:rsidRPr="009114DF">
        <w:rPr>
          <w:rFonts w:ascii="Times New Roman" w:eastAsia="Times New Roman" w:hAnsi="Times New Roman"/>
          <w:spacing w:val="-3"/>
          <w:sz w:val="28"/>
          <w:szCs w:val="28"/>
          <w:lang w:eastAsia="ru-RU"/>
        </w:rPr>
        <w:t xml:space="preserve">  </w:t>
      </w:r>
      <w:r w:rsidRPr="009114DF">
        <w:rPr>
          <w:rFonts w:ascii="Times New Roman" w:eastAsia="Times New Roman" w:hAnsi="Times New Roman"/>
          <w:spacing w:val="-3"/>
          <w:sz w:val="28"/>
          <w:szCs w:val="28"/>
          <w:lang w:eastAsia="ru-RU"/>
        </w:rPr>
        <w:t>ФК не регистрировался.</w:t>
      </w:r>
    </w:p>
    <w:p w:rsidR="00B401F4" w:rsidRPr="009114DF" w:rsidRDefault="00B401F4" w:rsidP="00F71B34">
      <w:pPr>
        <w:suppressAutoHyphens/>
        <w:spacing w:after="0" w:line="360" w:lineRule="auto"/>
        <w:ind w:firstLine="709"/>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t>Степень ФК в зависимости от давности заболевания, активности и рентгенологической стадии РА  представлена в табл</w:t>
      </w:r>
      <w:r w:rsidR="00835B10" w:rsidRPr="009114DF">
        <w:rPr>
          <w:rFonts w:ascii="Times New Roman" w:eastAsia="Times New Roman" w:hAnsi="Times New Roman"/>
          <w:spacing w:val="-3"/>
          <w:sz w:val="28"/>
          <w:szCs w:val="28"/>
          <w:lang w:eastAsia="ru-RU"/>
        </w:rPr>
        <w:t>ицах</w:t>
      </w:r>
      <w:r w:rsidRPr="009114DF">
        <w:rPr>
          <w:rFonts w:ascii="Times New Roman" w:eastAsia="Times New Roman" w:hAnsi="Times New Roman"/>
          <w:spacing w:val="-3"/>
          <w:sz w:val="28"/>
          <w:szCs w:val="28"/>
          <w:lang w:eastAsia="ru-RU"/>
        </w:rPr>
        <w:t xml:space="preserve"> 4, 5, 6.</w:t>
      </w:r>
    </w:p>
    <w:p w:rsidR="0062726F" w:rsidRPr="009114DF" w:rsidRDefault="0062726F" w:rsidP="00F71B34">
      <w:pPr>
        <w:suppressAutoHyphens/>
        <w:spacing w:after="0" w:line="360" w:lineRule="auto"/>
        <w:jc w:val="both"/>
        <w:rPr>
          <w:rFonts w:ascii="Times New Roman" w:eastAsia="Times New Roman" w:hAnsi="Times New Roman"/>
          <w:spacing w:val="-3"/>
          <w:sz w:val="20"/>
          <w:szCs w:val="28"/>
          <w:lang w:eastAsia="ru-RU"/>
        </w:rPr>
      </w:pPr>
    </w:p>
    <w:p w:rsidR="007C2C06" w:rsidRPr="009114DF" w:rsidRDefault="00742BD1"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pacing w:val="40"/>
          <w:sz w:val="28"/>
          <w:szCs w:val="28"/>
          <w:lang w:eastAsia="ru-RU"/>
        </w:rPr>
        <w:t>Таблица</w:t>
      </w:r>
      <w:r w:rsidRPr="009114DF">
        <w:rPr>
          <w:rFonts w:ascii="Times New Roman" w:eastAsia="Times New Roman" w:hAnsi="Times New Roman"/>
          <w:sz w:val="28"/>
          <w:szCs w:val="28"/>
          <w:lang w:eastAsia="ru-RU"/>
        </w:rPr>
        <w:t xml:space="preserve"> </w:t>
      </w:r>
      <w:r w:rsidR="007C2C06" w:rsidRPr="009114DF">
        <w:rPr>
          <w:rFonts w:ascii="Times New Roman" w:eastAsia="Times New Roman" w:hAnsi="Times New Roman"/>
          <w:sz w:val="28"/>
          <w:szCs w:val="28"/>
          <w:lang w:eastAsia="ru-RU"/>
        </w:rPr>
        <w:t>4</w:t>
      </w:r>
      <w:r w:rsidR="00CD2EDC" w:rsidRPr="009114DF">
        <w:rPr>
          <w:rFonts w:ascii="Times New Roman" w:eastAsia="Times New Roman" w:hAnsi="Times New Roman"/>
          <w:sz w:val="28"/>
          <w:szCs w:val="28"/>
          <w:lang w:eastAsia="ru-RU"/>
        </w:rPr>
        <w:t xml:space="preserve"> – </w:t>
      </w:r>
      <w:r w:rsidR="006F3814" w:rsidRPr="009114DF">
        <w:rPr>
          <w:rFonts w:ascii="Times New Roman" w:eastAsia="Times New Roman" w:hAnsi="Times New Roman"/>
          <w:sz w:val="28"/>
          <w:szCs w:val="28"/>
          <w:lang w:eastAsia="ru-RU"/>
        </w:rPr>
        <w:t>С</w:t>
      </w:r>
      <w:r w:rsidR="007C2C06" w:rsidRPr="009114DF">
        <w:rPr>
          <w:rFonts w:ascii="Times New Roman" w:eastAsia="Times New Roman" w:hAnsi="Times New Roman"/>
          <w:sz w:val="28"/>
          <w:szCs w:val="28"/>
          <w:lang w:eastAsia="ru-RU"/>
        </w:rPr>
        <w:t>тепен</w:t>
      </w:r>
      <w:r w:rsidR="006F3814" w:rsidRPr="009114DF">
        <w:rPr>
          <w:rFonts w:ascii="Times New Roman" w:eastAsia="Times New Roman" w:hAnsi="Times New Roman"/>
          <w:sz w:val="28"/>
          <w:szCs w:val="28"/>
          <w:lang w:eastAsia="ru-RU"/>
        </w:rPr>
        <w:t xml:space="preserve">ь ФК в зависимости </w:t>
      </w:r>
      <w:r w:rsidR="007C2C06" w:rsidRPr="009114DF">
        <w:rPr>
          <w:rFonts w:ascii="Times New Roman" w:eastAsia="Times New Roman" w:hAnsi="Times New Roman"/>
          <w:sz w:val="28"/>
          <w:szCs w:val="28"/>
          <w:lang w:eastAsia="ru-RU"/>
        </w:rPr>
        <w:t>от давности заболевания</w:t>
      </w:r>
      <w:r w:rsidR="006F3814" w:rsidRPr="009114DF">
        <w:rPr>
          <w:rFonts w:ascii="Times New Roman" w:eastAsia="Times New Roman" w:hAnsi="Times New Roman"/>
          <w:sz w:val="28"/>
          <w:szCs w:val="28"/>
          <w:lang w:eastAsia="ru-RU"/>
        </w:rPr>
        <w:t xml:space="preserve"> РА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368"/>
        <w:gridCol w:w="1405"/>
        <w:gridCol w:w="1405"/>
        <w:gridCol w:w="1405"/>
        <w:gridCol w:w="1407"/>
        <w:gridCol w:w="1211"/>
      </w:tblGrid>
      <w:tr w:rsidR="00667CD6" w:rsidRPr="009114DF" w:rsidTr="00E019EA">
        <w:trPr>
          <w:trHeight w:val="397"/>
        </w:trPr>
        <w:tc>
          <w:tcPr>
            <w:tcW w:w="862" w:type="pct"/>
            <w:vMerge w:val="restart"/>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Давность</w:t>
            </w:r>
            <w:r w:rsidRPr="009114DF">
              <w:rPr>
                <w:rFonts w:ascii="Times New Roman" w:eastAsia="Times New Roman" w:hAnsi="Times New Roman"/>
                <w:sz w:val="24"/>
                <w:szCs w:val="24"/>
                <w:lang w:eastAsia="ru-RU"/>
              </w:rPr>
              <w:t xml:space="preserve"> </w:t>
            </w:r>
            <w:r w:rsidRPr="009114DF">
              <w:rPr>
                <w:rFonts w:ascii="Times New Roman" w:eastAsia="Times New Roman" w:hAnsi="Times New Roman"/>
                <w:sz w:val="24"/>
                <w:szCs w:val="24"/>
                <w:lang w:val="en-US" w:eastAsia="ru-RU"/>
              </w:rPr>
              <w:t>РА (годы)</w:t>
            </w:r>
          </w:p>
        </w:tc>
        <w:tc>
          <w:tcPr>
            <w:tcW w:w="690" w:type="pct"/>
            <w:vMerge w:val="restart"/>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Группа больных</w:t>
            </w:r>
          </w:p>
        </w:tc>
        <w:tc>
          <w:tcPr>
            <w:tcW w:w="2837" w:type="pct"/>
            <w:gridSpan w:val="4"/>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Степень ФК</w:t>
            </w:r>
          </w:p>
        </w:tc>
        <w:tc>
          <w:tcPr>
            <w:tcW w:w="611" w:type="pct"/>
            <w:vMerge w:val="restart"/>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Всего</w:t>
            </w:r>
          </w:p>
        </w:tc>
      </w:tr>
      <w:tr w:rsidR="00667CD6" w:rsidRPr="009114DF" w:rsidTr="00E019EA">
        <w:trPr>
          <w:trHeight w:val="397"/>
        </w:trPr>
        <w:tc>
          <w:tcPr>
            <w:tcW w:w="862" w:type="pct"/>
            <w:vMerge/>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p>
        </w:tc>
        <w:tc>
          <w:tcPr>
            <w:tcW w:w="690" w:type="pct"/>
            <w:vMerge/>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p>
        </w:tc>
        <w:tc>
          <w:tcPr>
            <w:tcW w:w="709"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w:t>
            </w:r>
          </w:p>
        </w:tc>
        <w:tc>
          <w:tcPr>
            <w:tcW w:w="709"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w:t>
            </w:r>
          </w:p>
        </w:tc>
        <w:tc>
          <w:tcPr>
            <w:tcW w:w="709"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III</w:t>
            </w:r>
          </w:p>
        </w:tc>
        <w:tc>
          <w:tcPr>
            <w:tcW w:w="709"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IV</w:t>
            </w:r>
          </w:p>
        </w:tc>
        <w:tc>
          <w:tcPr>
            <w:tcW w:w="611" w:type="pct"/>
            <w:vMerge/>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p>
        </w:tc>
      </w:tr>
      <w:tr w:rsidR="00BD1C57" w:rsidRPr="009114DF" w:rsidTr="00E019EA">
        <w:trPr>
          <w:trHeight w:val="397"/>
        </w:trPr>
        <w:tc>
          <w:tcPr>
            <w:tcW w:w="862" w:type="pct"/>
            <w:vMerge w:val="restart"/>
            <w:vAlign w:val="center"/>
          </w:tcPr>
          <w:p w:rsidR="002F7DC1" w:rsidRPr="009114DF" w:rsidRDefault="002F7DC1" w:rsidP="00835B10">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r w:rsidR="00835B10" w:rsidRPr="009114DF">
              <w:rPr>
                <w:rFonts w:ascii="Times New Roman" w:eastAsia="Times New Roman" w:hAnsi="Times New Roman"/>
                <w:sz w:val="24"/>
                <w:szCs w:val="24"/>
                <w:lang w:eastAsia="ru-RU"/>
              </w:rPr>
              <w:t>–</w:t>
            </w:r>
            <w:r w:rsidRPr="009114DF">
              <w:rPr>
                <w:rFonts w:ascii="Times New Roman" w:eastAsia="Times New Roman" w:hAnsi="Times New Roman"/>
                <w:sz w:val="24"/>
                <w:szCs w:val="24"/>
                <w:lang w:val="en-US" w:eastAsia="ru-RU"/>
              </w:rPr>
              <w:t>4</w:t>
            </w:r>
          </w:p>
        </w:tc>
        <w:tc>
          <w:tcPr>
            <w:tcW w:w="690" w:type="pc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p>
        </w:tc>
        <w:tc>
          <w:tcPr>
            <w:tcW w:w="709" w:type="pct"/>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709" w:type="pct"/>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1"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w:t>
            </w:r>
          </w:p>
        </w:tc>
      </w:tr>
      <w:tr w:rsidR="00BD1C57" w:rsidRPr="009114DF" w:rsidTr="00E019EA">
        <w:trPr>
          <w:trHeight w:val="397"/>
        </w:trPr>
        <w:tc>
          <w:tcPr>
            <w:tcW w:w="862" w:type="pct"/>
            <w:vMerge/>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p>
        </w:tc>
        <w:tc>
          <w:tcPr>
            <w:tcW w:w="690" w:type="pct"/>
            <w:shd w:val="clear" w:color="auto" w:fill="F2F2F2"/>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09"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c>
          <w:tcPr>
            <w:tcW w:w="709"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1"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5</w:t>
            </w:r>
          </w:p>
        </w:tc>
      </w:tr>
      <w:tr w:rsidR="00BD1C57" w:rsidRPr="009114DF" w:rsidTr="00E019EA">
        <w:trPr>
          <w:trHeight w:val="397"/>
        </w:trPr>
        <w:tc>
          <w:tcPr>
            <w:tcW w:w="862" w:type="pct"/>
            <w:vMerge w:val="restart"/>
            <w:vAlign w:val="center"/>
          </w:tcPr>
          <w:p w:rsidR="002F7DC1" w:rsidRPr="009114DF" w:rsidRDefault="002F7DC1" w:rsidP="00835B10">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5</w:t>
            </w:r>
            <w:r w:rsidR="00835B10" w:rsidRPr="009114DF">
              <w:rPr>
                <w:rFonts w:ascii="Times New Roman" w:eastAsia="Times New Roman" w:hAnsi="Times New Roman"/>
                <w:sz w:val="24"/>
                <w:szCs w:val="24"/>
                <w:lang w:eastAsia="ru-RU"/>
              </w:rPr>
              <w:t>–</w:t>
            </w:r>
            <w:r w:rsidRPr="009114DF">
              <w:rPr>
                <w:rFonts w:ascii="Times New Roman" w:eastAsia="Times New Roman" w:hAnsi="Times New Roman"/>
                <w:sz w:val="24"/>
                <w:szCs w:val="24"/>
                <w:lang w:val="en-US" w:eastAsia="ru-RU"/>
              </w:rPr>
              <w:t>9</w:t>
            </w:r>
          </w:p>
        </w:tc>
        <w:tc>
          <w:tcPr>
            <w:tcW w:w="690" w:type="pc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8</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w:t>
            </w:r>
          </w:p>
        </w:tc>
        <w:tc>
          <w:tcPr>
            <w:tcW w:w="709" w:type="pct"/>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1"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Pr="009114DF">
              <w:rPr>
                <w:rFonts w:ascii="Times New Roman" w:eastAsia="Times New Roman" w:hAnsi="Times New Roman"/>
                <w:sz w:val="24"/>
                <w:szCs w:val="24"/>
                <w:lang w:eastAsia="ru-RU"/>
              </w:rPr>
              <w:t>0</w:t>
            </w:r>
          </w:p>
        </w:tc>
      </w:tr>
      <w:tr w:rsidR="00BD1C57" w:rsidRPr="009114DF" w:rsidTr="00E019EA">
        <w:trPr>
          <w:trHeight w:val="397"/>
        </w:trPr>
        <w:tc>
          <w:tcPr>
            <w:tcW w:w="862" w:type="pct"/>
            <w:vMerge/>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p>
        </w:tc>
        <w:tc>
          <w:tcPr>
            <w:tcW w:w="690" w:type="pct"/>
            <w:shd w:val="clear" w:color="auto" w:fill="F2F2F2"/>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09"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7</w:t>
            </w:r>
          </w:p>
        </w:tc>
        <w:tc>
          <w:tcPr>
            <w:tcW w:w="709"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1"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Pr="009114DF">
              <w:rPr>
                <w:rFonts w:ascii="Times New Roman" w:eastAsia="Times New Roman" w:hAnsi="Times New Roman"/>
                <w:sz w:val="24"/>
                <w:szCs w:val="24"/>
                <w:lang w:eastAsia="ru-RU"/>
              </w:rPr>
              <w:t>1</w:t>
            </w:r>
          </w:p>
        </w:tc>
      </w:tr>
      <w:tr w:rsidR="00BD1C57" w:rsidRPr="009114DF" w:rsidTr="00E019EA">
        <w:trPr>
          <w:trHeight w:val="397"/>
        </w:trPr>
        <w:tc>
          <w:tcPr>
            <w:tcW w:w="862" w:type="pct"/>
            <w:vMerge w:val="restar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≥10</w:t>
            </w:r>
          </w:p>
        </w:tc>
        <w:tc>
          <w:tcPr>
            <w:tcW w:w="690" w:type="pc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09" w:type="pct"/>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24</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6</w:t>
            </w:r>
          </w:p>
        </w:tc>
        <w:tc>
          <w:tcPr>
            <w:tcW w:w="709" w:type="pct"/>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1"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3</w:t>
            </w:r>
            <w:r w:rsidRPr="009114DF">
              <w:rPr>
                <w:rFonts w:ascii="Times New Roman" w:eastAsia="Times New Roman" w:hAnsi="Times New Roman"/>
                <w:sz w:val="24"/>
                <w:szCs w:val="24"/>
                <w:lang w:eastAsia="ru-RU"/>
              </w:rPr>
              <w:t>2</w:t>
            </w:r>
          </w:p>
        </w:tc>
      </w:tr>
      <w:tr w:rsidR="00BD1C57" w:rsidRPr="009114DF" w:rsidTr="00E019EA">
        <w:trPr>
          <w:trHeight w:val="397"/>
        </w:trPr>
        <w:tc>
          <w:tcPr>
            <w:tcW w:w="862" w:type="pct"/>
            <w:vMerge/>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p>
        </w:tc>
        <w:tc>
          <w:tcPr>
            <w:tcW w:w="690" w:type="pct"/>
            <w:shd w:val="clear" w:color="auto" w:fill="F2F2F2"/>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09"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Pr="009114DF">
              <w:rPr>
                <w:rFonts w:ascii="Times New Roman" w:eastAsia="Times New Roman" w:hAnsi="Times New Roman"/>
                <w:sz w:val="24"/>
                <w:szCs w:val="24"/>
                <w:lang w:eastAsia="ru-RU"/>
              </w:rPr>
              <w:t>2</w:t>
            </w:r>
          </w:p>
        </w:tc>
        <w:tc>
          <w:tcPr>
            <w:tcW w:w="709"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6</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611"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19</w:t>
            </w:r>
          </w:p>
        </w:tc>
      </w:tr>
      <w:tr w:rsidR="00BD1C57" w:rsidRPr="009114DF" w:rsidTr="00E019EA">
        <w:trPr>
          <w:trHeight w:val="397"/>
        </w:trPr>
        <w:tc>
          <w:tcPr>
            <w:tcW w:w="862" w:type="pct"/>
            <w:vMerge w:val="restar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Всего</w:t>
            </w:r>
          </w:p>
        </w:tc>
        <w:tc>
          <w:tcPr>
            <w:tcW w:w="690" w:type="pct"/>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33</w:t>
            </w:r>
          </w:p>
        </w:tc>
        <w:tc>
          <w:tcPr>
            <w:tcW w:w="709"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8</w:t>
            </w:r>
          </w:p>
        </w:tc>
        <w:tc>
          <w:tcPr>
            <w:tcW w:w="709" w:type="pct"/>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1" w:type="pct"/>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44</w:t>
            </w:r>
          </w:p>
        </w:tc>
      </w:tr>
      <w:tr w:rsidR="00BD1C57" w:rsidRPr="009114DF" w:rsidTr="00E019EA">
        <w:trPr>
          <w:trHeight w:val="397"/>
        </w:trPr>
        <w:tc>
          <w:tcPr>
            <w:tcW w:w="862" w:type="pct"/>
            <w:vMerge/>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p>
        </w:tc>
        <w:tc>
          <w:tcPr>
            <w:tcW w:w="690" w:type="pct"/>
            <w:shd w:val="clear" w:color="auto" w:fill="F2F2F2"/>
            <w:vAlign w:val="center"/>
          </w:tcPr>
          <w:p w:rsidR="002F7DC1" w:rsidRPr="009114DF" w:rsidRDefault="002F7DC1"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23</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r w:rsidR="00BD74EC" w:rsidRPr="009114DF">
              <w:rPr>
                <w:rFonts w:ascii="Times New Roman" w:eastAsia="Times New Roman" w:hAnsi="Times New Roman"/>
                <w:sz w:val="24"/>
                <w:szCs w:val="24"/>
                <w:lang w:eastAsia="ru-RU"/>
              </w:rPr>
              <w:t>1</w:t>
            </w:r>
          </w:p>
        </w:tc>
        <w:tc>
          <w:tcPr>
            <w:tcW w:w="709" w:type="pct"/>
            <w:shd w:val="clear" w:color="auto" w:fill="F2F2F2"/>
            <w:vAlign w:val="center"/>
          </w:tcPr>
          <w:p w:rsidR="002F7DC1" w:rsidRPr="009114DF" w:rsidRDefault="00F15505"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611" w:type="pct"/>
            <w:shd w:val="clear" w:color="auto" w:fill="F2F2F2"/>
            <w:vAlign w:val="center"/>
          </w:tcPr>
          <w:p w:rsidR="002F7DC1" w:rsidRPr="009114DF" w:rsidRDefault="00BD74EC"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eastAsia="ru-RU"/>
              </w:rPr>
              <w:t>35</w:t>
            </w:r>
          </w:p>
        </w:tc>
      </w:tr>
    </w:tbl>
    <w:p w:rsidR="007C2C06" w:rsidRPr="009114DF" w:rsidRDefault="007C2C06" w:rsidP="00F71B34">
      <w:pPr>
        <w:suppressAutoHyphens/>
        <w:spacing w:after="0" w:line="360" w:lineRule="auto"/>
        <w:ind w:firstLine="567"/>
        <w:jc w:val="both"/>
        <w:rPr>
          <w:rFonts w:ascii="Times New Roman" w:eastAsia="Times New Roman" w:hAnsi="Times New Roman"/>
          <w:szCs w:val="28"/>
          <w:lang w:eastAsia="ru-RU"/>
        </w:rPr>
      </w:pPr>
      <w:r w:rsidRPr="009114DF">
        <w:rPr>
          <w:rFonts w:ascii="Times New Roman" w:eastAsia="Times New Roman" w:hAnsi="Times New Roman"/>
          <w:sz w:val="28"/>
          <w:szCs w:val="28"/>
          <w:lang w:eastAsia="ru-RU"/>
        </w:rPr>
        <w:tab/>
      </w:r>
    </w:p>
    <w:p w:rsidR="00E019EA" w:rsidRPr="009114DF" w:rsidRDefault="00E019EA" w:rsidP="00314691">
      <w:pPr>
        <w:spacing w:after="0" w:line="360" w:lineRule="auto"/>
        <w:ind w:firstLine="567"/>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t>Представленные данные показывают, что абсолютное большинство пациентов, независимо от длительности и активности заболевания, имели</w:t>
      </w:r>
      <w:r w:rsidR="00835B10" w:rsidRPr="009114DF">
        <w:rPr>
          <w:rFonts w:ascii="Times New Roman" w:eastAsia="Times New Roman" w:hAnsi="Times New Roman"/>
          <w:spacing w:val="-3"/>
          <w:sz w:val="28"/>
          <w:szCs w:val="28"/>
          <w:lang w:eastAsia="ru-RU"/>
        </w:rPr>
        <w:br/>
      </w:r>
      <w:r w:rsidRPr="009114DF">
        <w:rPr>
          <w:rFonts w:ascii="Times New Roman" w:eastAsia="Times New Roman" w:hAnsi="Times New Roman"/>
          <w:spacing w:val="-3"/>
          <w:sz w:val="28"/>
          <w:szCs w:val="28"/>
          <w:lang w:eastAsia="ru-RU"/>
        </w:rPr>
        <w:t>II ФК: 75% больных (33 из 44 человек) в группе 1 и 65,7% пациентов (23 из</w:t>
      </w:r>
      <w:r w:rsidR="00835B10" w:rsidRPr="009114DF">
        <w:rPr>
          <w:rFonts w:ascii="Times New Roman" w:eastAsia="Times New Roman" w:hAnsi="Times New Roman"/>
          <w:spacing w:val="-3"/>
          <w:sz w:val="28"/>
          <w:szCs w:val="28"/>
          <w:lang w:eastAsia="ru-RU"/>
        </w:rPr>
        <w:br/>
      </w:r>
      <w:r w:rsidRPr="009114DF">
        <w:rPr>
          <w:rFonts w:ascii="Times New Roman" w:eastAsia="Times New Roman" w:hAnsi="Times New Roman"/>
          <w:spacing w:val="-3"/>
          <w:sz w:val="28"/>
          <w:szCs w:val="28"/>
          <w:lang w:eastAsia="ru-RU"/>
        </w:rPr>
        <w:t xml:space="preserve">35 человек) в группе 2.  </w:t>
      </w:r>
    </w:p>
    <w:p w:rsidR="009A3840" w:rsidRPr="009114DF" w:rsidRDefault="009A3840" w:rsidP="00314691">
      <w:pPr>
        <w:spacing w:after="0" w:line="360" w:lineRule="auto"/>
        <w:ind w:firstLine="567"/>
        <w:jc w:val="both"/>
        <w:rPr>
          <w:rFonts w:ascii="Times New Roman" w:eastAsia="Times New Roman" w:hAnsi="Times New Roman"/>
          <w:spacing w:val="-3"/>
          <w:sz w:val="28"/>
          <w:szCs w:val="28"/>
          <w:lang w:eastAsia="ru-RU"/>
        </w:rPr>
      </w:pPr>
    </w:p>
    <w:p w:rsidR="00097064" w:rsidRPr="009114DF" w:rsidRDefault="00097064" w:rsidP="00314691">
      <w:pPr>
        <w:spacing w:after="0" w:line="360" w:lineRule="auto"/>
        <w:ind w:firstLine="567"/>
        <w:jc w:val="both"/>
        <w:rPr>
          <w:rFonts w:ascii="Times New Roman" w:eastAsia="Times New Roman" w:hAnsi="Times New Roman"/>
          <w:spacing w:val="-3"/>
          <w:sz w:val="28"/>
          <w:szCs w:val="28"/>
          <w:lang w:eastAsia="ru-RU"/>
        </w:rPr>
      </w:pPr>
    </w:p>
    <w:p w:rsidR="00097064" w:rsidRPr="009114DF" w:rsidRDefault="00097064" w:rsidP="00314691">
      <w:pPr>
        <w:spacing w:after="0" w:line="360" w:lineRule="auto"/>
        <w:ind w:firstLine="567"/>
        <w:jc w:val="both"/>
        <w:rPr>
          <w:rFonts w:ascii="Times New Roman" w:eastAsia="Times New Roman" w:hAnsi="Times New Roman"/>
          <w:spacing w:val="-3"/>
          <w:sz w:val="28"/>
          <w:szCs w:val="28"/>
          <w:lang w:eastAsia="ru-RU"/>
        </w:rPr>
      </w:pPr>
    </w:p>
    <w:p w:rsidR="007C2C06" w:rsidRPr="009114DF" w:rsidRDefault="00742BD1"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pacing w:val="40"/>
          <w:sz w:val="28"/>
          <w:szCs w:val="28"/>
          <w:lang w:eastAsia="ru-RU"/>
        </w:rPr>
        <w:lastRenderedPageBreak/>
        <w:t>Таблица</w:t>
      </w:r>
      <w:r w:rsidRPr="009114DF">
        <w:rPr>
          <w:rFonts w:ascii="Times New Roman" w:eastAsia="Times New Roman" w:hAnsi="Times New Roman"/>
          <w:sz w:val="28"/>
          <w:szCs w:val="28"/>
          <w:lang w:eastAsia="ru-RU"/>
        </w:rPr>
        <w:t xml:space="preserve"> </w:t>
      </w:r>
      <w:r w:rsidR="007C2C06" w:rsidRPr="009114DF">
        <w:rPr>
          <w:rFonts w:ascii="Times New Roman" w:eastAsia="Times New Roman" w:hAnsi="Times New Roman"/>
          <w:sz w:val="28"/>
          <w:szCs w:val="28"/>
          <w:lang w:eastAsia="ru-RU"/>
        </w:rPr>
        <w:t>5</w:t>
      </w:r>
      <w:r w:rsidR="00CD2EDC" w:rsidRPr="009114DF">
        <w:rPr>
          <w:rFonts w:ascii="Times New Roman" w:eastAsia="Times New Roman" w:hAnsi="Times New Roman"/>
          <w:sz w:val="28"/>
          <w:szCs w:val="28"/>
          <w:lang w:eastAsia="ru-RU"/>
        </w:rPr>
        <w:t xml:space="preserve"> – </w:t>
      </w:r>
      <w:r w:rsidR="006F3814" w:rsidRPr="009114DF">
        <w:rPr>
          <w:rFonts w:ascii="Times New Roman" w:eastAsia="Times New Roman" w:hAnsi="Times New Roman"/>
          <w:sz w:val="28"/>
          <w:szCs w:val="28"/>
          <w:lang w:eastAsia="ru-RU"/>
        </w:rPr>
        <w:t>С</w:t>
      </w:r>
      <w:r w:rsidR="007C2C06" w:rsidRPr="009114DF">
        <w:rPr>
          <w:rFonts w:ascii="Times New Roman" w:eastAsia="Times New Roman" w:hAnsi="Times New Roman"/>
          <w:sz w:val="28"/>
          <w:szCs w:val="28"/>
          <w:lang w:eastAsia="ru-RU"/>
        </w:rPr>
        <w:t>тепен</w:t>
      </w:r>
      <w:r w:rsidR="006F3814" w:rsidRPr="009114DF">
        <w:rPr>
          <w:rFonts w:ascii="Times New Roman" w:eastAsia="Times New Roman" w:hAnsi="Times New Roman"/>
          <w:sz w:val="28"/>
          <w:szCs w:val="28"/>
          <w:lang w:eastAsia="ru-RU"/>
        </w:rPr>
        <w:t>ь ФК в зависимости</w:t>
      </w:r>
      <w:r w:rsidR="007C2C06" w:rsidRPr="009114DF">
        <w:rPr>
          <w:rFonts w:ascii="Times New Roman" w:eastAsia="Times New Roman" w:hAnsi="Times New Roman"/>
          <w:sz w:val="28"/>
          <w:szCs w:val="28"/>
          <w:lang w:eastAsia="ru-RU"/>
        </w:rPr>
        <w:t xml:space="preserve"> от активности РА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318"/>
        <w:gridCol w:w="1471"/>
        <w:gridCol w:w="1477"/>
        <w:gridCol w:w="1479"/>
        <w:gridCol w:w="1304"/>
        <w:gridCol w:w="1201"/>
      </w:tblGrid>
      <w:tr w:rsidR="00667CD6" w:rsidRPr="009114DF" w:rsidTr="00E019EA">
        <w:trPr>
          <w:trHeight w:val="397"/>
        </w:trPr>
        <w:tc>
          <w:tcPr>
            <w:tcW w:w="838" w:type="pct"/>
            <w:vMerge w:val="restart"/>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Степень активности</w:t>
            </w:r>
          </w:p>
        </w:tc>
        <w:tc>
          <w:tcPr>
            <w:tcW w:w="665" w:type="pct"/>
            <w:vMerge w:val="restart"/>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Группа больных</w:t>
            </w:r>
          </w:p>
        </w:tc>
        <w:tc>
          <w:tcPr>
            <w:tcW w:w="2891" w:type="pct"/>
            <w:gridSpan w:val="4"/>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Степень ФК</w:t>
            </w:r>
          </w:p>
        </w:tc>
        <w:tc>
          <w:tcPr>
            <w:tcW w:w="606" w:type="pct"/>
            <w:vMerge w:val="restart"/>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Всего</w:t>
            </w:r>
          </w:p>
        </w:tc>
      </w:tr>
      <w:tr w:rsidR="00667CD6" w:rsidRPr="009114DF" w:rsidTr="00E019EA">
        <w:trPr>
          <w:trHeight w:val="397"/>
        </w:trPr>
        <w:tc>
          <w:tcPr>
            <w:tcW w:w="838" w:type="pct"/>
            <w:vMerge/>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p>
        </w:tc>
        <w:tc>
          <w:tcPr>
            <w:tcW w:w="665" w:type="pct"/>
            <w:vMerge/>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p>
        </w:tc>
        <w:tc>
          <w:tcPr>
            <w:tcW w:w="742"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I</w:t>
            </w:r>
          </w:p>
        </w:tc>
        <w:tc>
          <w:tcPr>
            <w:tcW w:w="745"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II</w:t>
            </w:r>
          </w:p>
        </w:tc>
        <w:tc>
          <w:tcPr>
            <w:tcW w:w="746"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III</w:t>
            </w:r>
          </w:p>
        </w:tc>
        <w:tc>
          <w:tcPr>
            <w:tcW w:w="658"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IV</w:t>
            </w:r>
          </w:p>
        </w:tc>
        <w:tc>
          <w:tcPr>
            <w:tcW w:w="606" w:type="pct"/>
            <w:vMerge/>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p>
        </w:tc>
      </w:tr>
      <w:tr w:rsidR="00BD1C57" w:rsidRPr="009114DF" w:rsidTr="00E019EA">
        <w:trPr>
          <w:trHeight w:val="397"/>
        </w:trPr>
        <w:tc>
          <w:tcPr>
            <w:tcW w:w="838" w:type="pct"/>
            <w:vMerge w:val="restar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r w:rsidR="00835B10" w:rsidRPr="009114DF">
              <w:rPr>
                <w:rFonts w:ascii="Times New Roman" w:eastAsia="Times New Roman" w:hAnsi="Times New Roman"/>
                <w:sz w:val="24"/>
                <w:szCs w:val="24"/>
                <w:lang w:eastAsia="ru-RU"/>
              </w:rPr>
              <w:t>-я</w:t>
            </w:r>
          </w:p>
        </w:tc>
        <w:tc>
          <w:tcPr>
            <w:tcW w:w="665"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42" w:type="pct"/>
            <w:vAlign w:val="center"/>
          </w:tcPr>
          <w:p w:rsidR="005E435D"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45" w:type="pct"/>
            <w:vAlign w:val="center"/>
          </w:tcPr>
          <w:p w:rsidR="005E435D"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w:t>
            </w:r>
          </w:p>
        </w:tc>
        <w:tc>
          <w:tcPr>
            <w:tcW w:w="746" w:type="pct"/>
            <w:vAlign w:val="center"/>
          </w:tcPr>
          <w:p w:rsidR="005E435D"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p>
        </w:tc>
        <w:tc>
          <w:tcPr>
            <w:tcW w:w="658"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06" w:type="pct"/>
            <w:vAlign w:val="center"/>
          </w:tcPr>
          <w:p w:rsidR="005E435D"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5</w:t>
            </w:r>
          </w:p>
        </w:tc>
      </w:tr>
      <w:tr w:rsidR="00BD1C57" w:rsidRPr="009114DF" w:rsidTr="00E019EA">
        <w:trPr>
          <w:trHeight w:val="397"/>
        </w:trPr>
        <w:tc>
          <w:tcPr>
            <w:tcW w:w="838" w:type="pct"/>
            <w:vMerge/>
            <w:vAlign w:val="center"/>
          </w:tcPr>
          <w:p w:rsidR="00F46BC6" w:rsidRPr="009114DF" w:rsidRDefault="00F46BC6" w:rsidP="00F71B34">
            <w:pPr>
              <w:spacing w:after="0" w:line="360" w:lineRule="auto"/>
              <w:ind w:firstLine="49"/>
              <w:jc w:val="center"/>
              <w:rPr>
                <w:rFonts w:ascii="Times New Roman" w:eastAsia="Times New Roman" w:hAnsi="Times New Roman"/>
                <w:sz w:val="24"/>
                <w:szCs w:val="24"/>
                <w:lang w:val="en-US" w:eastAsia="ru-RU"/>
              </w:rPr>
            </w:pPr>
          </w:p>
        </w:tc>
        <w:tc>
          <w:tcPr>
            <w:tcW w:w="665" w:type="pct"/>
            <w:shd w:val="clear" w:color="auto" w:fill="F2F2F2"/>
            <w:vAlign w:val="center"/>
          </w:tcPr>
          <w:p w:rsidR="00F46BC6"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42" w:type="pct"/>
            <w:shd w:val="clear" w:color="auto" w:fill="F2F2F2"/>
            <w:vAlign w:val="center"/>
          </w:tcPr>
          <w:p w:rsidR="00F46BC6"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45" w:type="pct"/>
            <w:shd w:val="clear" w:color="auto" w:fill="F2F2F2"/>
            <w:vAlign w:val="center"/>
          </w:tcPr>
          <w:p w:rsidR="00F46BC6"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c>
          <w:tcPr>
            <w:tcW w:w="746" w:type="pct"/>
            <w:shd w:val="clear" w:color="auto" w:fill="F2F2F2"/>
            <w:vAlign w:val="center"/>
          </w:tcPr>
          <w:p w:rsidR="00F46BC6"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p>
        </w:tc>
        <w:tc>
          <w:tcPr>
            <w:tcW w:w="658" w:type="pct"/>
            <w:shd w:val="clear" w:color="auto" w:fill="F2F2F2"/>
            <w:vAlign w:val="center"/>
          </w:tcPr>
          <w:p w:rsidR="00F46BC6"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06" w:type="pct"/>
            <w:shd w:val="clear" w:color="auto" w:fill="F2F2F2"/>
            <w:vAlign w:val="center"/>
          </w:tcPr>
          <w:p w:rsidR="00F46BC6"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5</w:t>
            </w:r>
          </w:p>
        </w:tc>
      </w:tr>
      <w:tr w:rsidR="00BD1C57" w:rsidRPr="009114DF" w:rsidTr="00E019EA">
        <w:trPr>
          <w:trHeight w:val="397"/>
        </w:trPr>
        <w:tc>
          <w:tcPr>
            <w:tcW w:w="838" w:type="pct"/>
            <w:vMerge w:val="restar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2</w:t>
            </w:r>
            <w:r w:rsidR="00835B10" w:rsidRPr="009114DF">
              <w:rPr>
                <w:rFonts w:ascii="Times New Roman" w:eastAsia="Times New Roman" w:hAnsi="Times New Roman"/>
                <w:sz w:val="24"/>
                <w:szCs w:val="24"/>
                <w:lang w:eastAsia="ru-RU"/>
              </w:rPr>
              <w:t>-я</w:t>
            </w:r>
          </w:p>
        </w:tc>
        <w:tc>
          <w:tcPr>
            <w:tcW w:w="665"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42" w:type="pct"/>
            <w:vAlign w:val="center"/>
          </w:tcPr>
          <w:p w:rsidR="005E435D"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745" w:type="pct"/>
            <w:vAlign w:val="center"/>
          </w:tcPr>
          <w:p w:rsidR="005E435D"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00BD74EC" w:rsidRPr="009114DF">
              <w:rPr>
                <w:rFonts w:ascii="Times New Roman" w:eastAsia="Times New Roman" w:hAnsi="Times New Roman"/>
                <w:sz w:val="24"/>
                <w:szCs w:val="24"/>
                <w:lang w:eastAsia="ru-RU"/>
              </w:rPr>
              <w:t>2</w:t>
            </w:r>
          </w:p>
        </w:tc>
        <w:tc>
          <w:tcPr>
            <w:tcW w:w="746" w:type="pct"/>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p>
        </w:tc>
        <w:tc>
          <w:tcPr>
            <w:tcW w:w="658" w:type="pct"/>
            <w:vAlign w:val="center"/>
          </w:tcPr>
          <w:p w:rsidR="005E435D"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06" w:type="pct"/>
            <w:vAlign w:val="center"/>
          </w:tcPr>
          <w:p w:rsidR="005E435D"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Pr="009114DF">
              <w:rPr>
                <w:rFonts w:ascii="Times New Roman" w:eastAsia="Times New Roman" w:hAnsi="Times New Roman"/>
                <w:sz w:val="24"/>
                <w:szCs w:val="24"/>
                <w:lang w:eastAsia="ru-RU"/>
              </w:rPr>
              <w:t>3</w:t>
            </w:r>
          </w:p>
        </w:tc>
      </w:tr>
      <w:tr w:rsidR="00BD1C57" w:rsidRPr="009114DF" w:rsidTr="00E019EA">
        <w:trPr>
          <w:trHeight w:val="397"/>
        </w:trPr>
        <w:tc>
          <w:tcPr>
            <w:tcW w:w="838" w:type="pct"/>
            <w:vMerge/>
            <w:vAlign w:val="center"/>
          </w:tcPr>
          <w:p w:rsidR="00F46BC6" w:rsidRPr="009114DF" w:rsidRDefault="00F46BC6" w:rsidP="00F71B34">
            <w:pPr>
              <w:spacing w:after="0" w:line="360" w:lineRule="auto"/>
              <w:ind w:firstLine="49"/>
              <w:jc w:val="center"/>
              <w:rPr>
                <w:rFonts w:ascii="Times New Roman" w:eastAsia="Times New Roman" w:hAnsi="Times New Roman"/>
                <w:sz w:val="24"/>
                <w:szCs w:val="24"/>
                <w:lang w:val="en-US" w:eastAsia="ru-RU"/>
              </w:rPr>
            </w:pPr>
          </w:p>
        </w:tc>
        <w:tc>
          <w:tcPr>
            <w:tcW w:w="665" w:type="pct"/>
            <w:shd w:val="clear" w:color="auto" w:fill="F2F2F2"/>
            <w:vAlign w:val="center"/>
          </w:tcPr>
          <w:p w:rsidR="00F46BC6"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42" w:type="pct"/>
            <w:shd w:val="clear" w:color="auto" w:fill="F2F2F2"/>
            <w:vAlign w:val="center"/>
          </w:tcPr>
          <w:p w:rsidR="00F46BC6"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45" w:type="pct"/>
            <w:shd w:val="clear" w:color="auto" w:fill="F2F2F2"/>
            <w:vAlign w:val="center"/>
          </w:tcPr>
          <w:p w:rsidR="00F46BC6"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9</w:t>
            </w:r>
          </w:p>
        </w:tc>
        <w:tc>
          <w:tcPr>
            <w:tcW w:w="746" w:type="pct"/>
            <w:shd w:val="clear" w:color="auto" w:fill="F2F2F2"/>
            <w:vAlign w:val="center"/>
          </w:tcPr>
          <w:p w:rsidR="00F46BC6"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c>
          <w:tcPr>
            <w:tcW w:w="658" w:type="pct"/>
            <w:shd w:val="clear" w:color="auto" w:fill="F2F2F2"/>
            <w:vAlign w:val="center"/>
          </w:tcPr>
          <w:p w:rsidR="00F46BC6"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06" w:type="pct"/>
            <w:shd w:val="clear" w:color="auto" w:fill="F2F2F2"/>
            <w:vAlign w:val="center"/>
          </w:tcPr>
          <w:p w:rsidR="00F46BC6"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Pr="009114DF">
              <w:rPr>
                <w:rFonts w:ascii="Times New Roman" w:eastAsia="Times New Roman" w:hAnsi="Times New Roman"/>
                <w:sz w:val="24"/>
                <w:szCs w:val="24"/>
                <w:lang w:eastAsia="ru-RU"/>
              </w:rPr>
              <w:t>3</w:t>
            </w:r>
          </w:p>
        </w:tc>
      </w:tr>
      <w:tr w:rsidR="00BD1C57" w:rsidRPr="009114DF" w:rsidTr="00E019EA">
        <w:trPr>
          <w:trHeight w:val="397"/>
        </w:trPr>
        <w:tc>
          <w:tcPr>
            <w:tcW w:w="838" w:type="pct"/>
            <w:vMerge w:val="restar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3</w:t>
            </w:r>
            <w:r w:rsidR="00835B10" w:rsidRPr="009114DF">
              <w:rPr>
                <w:rFonts w:ascii="Times New Roman" w:eastAsia="Times New Roman" w:hAnsi="Times New Roman"/>
                <w:sz w:val="24"/>
                <w:szCs w:val="24"/>
                <w:lang w:eastAsia="ru-RU"/>
              </w:rPr>
              <w:t>-я</w:t>
            </w:r>
          </w:p>
        </w:tc>
        <w:tc>
          <w:tcPr>
            <w:tcW w:w="665"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42" w:type="pct"/>
            <w:vAlign w:val="center"/>
          </w:tcPr>
          <w:p w:rsidR="005E435D"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w:t>
            </w:r>
          </w:p>
        </w:tc>
        <w:tc>
          <w:tcPr>
            <w:tcW w:w="745" w:type="pct"/>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18</w:t>
            </w:r>
          </w:p>
        </w:tc>
        <w:tc>
          <w:tcPr>
            <w:tcW w:w="746" w:type="pct"/>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6</w:t>
            </w:r>
          </w:p>
        </w:tc>
        <w:tc>
          <w:tcPr>
            <w:tcW w:w="658" w:type="pct"/>
            <w:vAlign w:val="center"/>
          </w:tcPr>
          <w:p w:rsidR="005E435D"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06" w:type="pct"/>
            <w:vAlign w:val="center"/>
          </w:tcPr>
          <w:p w:rsidR="005E435D" w:rsidRPr="009114DF" w:rsidRDefault="00DC554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26</w:t>
            </w:r>
          </w:p>
        </w:tc>
      </w:tr>
      <w:tr w:rsidR="00BD1C57" w:rsidRPr="009114DF" w:rsidTr="00E019EA">
        <w:trPr>
          <w:trHeight w:val="397"/>
        </w:trPr>
        <w:tc>
          <w:tcPr>
            <w:tcW w:w="838" w:type="pct"/>
            <w:vMerge/>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p>
        </w:tc>
        <w:tc>
          <w:tcPr>
            <w:tcW w:w="665" w:type="pct"/>
            <w:shd w:val="clear" w:color="auto" w:fill="F2F2F2"/>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42" w:type="pct"/>
            <w:shd w:val="clear" w:color="auto" w:fill="F2F2F2"/>
            <w:vAlign w:val="center"/>
          </w:tcPr>
          <w:p w:rsidR="005E435D"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45" w:type="pct"/>
            <w:shd w:val="clear" w:color="auto" w:fill="F2F2F2"/>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10</w:t>
            </w:r>
          </w:p>
        </w:tc>
        <w:tc>
          <w:tcPr>
            <w:tcW w:w="746" w:type="pct"/>
            <w:shd w:val="clear" w:color="auto" w:fill="F2F2F2"/>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6</w:t>
            </w:r>
          </w:p>
        </w:tc>
        <w:tc>
          <w:tcPr>
            <w:tcW w:w="658" w:type="pct"/>
            <w:shd w:val="clear" w:color="auto" w:fill="F2F2F2"/>
            <w:vAlign w:val="center"/>
          </w:tcPr>
          <w:p w:rsidR="005E435D"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606" w:type="pct"/>
            <w:shd w:val="clear" w:color="auto" w:fill="F2F2F2"/>
            <w:vAlign w:val="center"/>
          </w:tcPr>
          <w:p w:rsidR="005E435D"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17</w:t>
            </w:r>
          </w:p>
        </w:tc>
      </w:tr>
      <w:tr w:rsidR="00BD1C57" w:rsidRPr="009114DF" w:rsidTr="00E019EA">
        <w:trPr>
          <w:trHeight w:val="397"/>
        </w:trPr>
        <w:tc>
          <w:tcPr>
            <w:tcW w:w="838" w:type="pct"/>
            <w:vMerge w:val="restar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Всего</w:t>
            </w:r>
          </w:p>
        </w:tc>
        <w:tc>
          <w:tcPr>
            <w:tcW w:w="665"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742"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w:t>
            </w:r>
          </w:p>
        </w:tc>
        <w:tc>
          <w:tcPr>
            <w:tcW w:w="745" w:type="pct"/>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33</w:t>
            </w:r>
          </w:p>
        </w:tc>
        <w:tc>
          <w:tcPr>
            <w:tcW w:w="746" w:type="pct"/>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8</w:t>
            </w:r>
          </w:p>
        </w:tc>
        <w:tc>
          <w:tcPr>
            <w:tcW w:w="658" w:type="pct"/>
            <w:vAlign w:val="center"/>
          </w:tcPr>
          <w:p w:rsidR="005E435D" w:rsidRPr="009114DF" w:rsidRDefault="004E5D58"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06"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44</w:t>
            </w:r>
          </w:p>
        </w:tc>
      </w:tr>
      <w:tr w:rsidR="00DD3F99" w:rsidRPr="009114DF" w:rsidTr="00E019EA">
        <w:trPr>
          <w:trHeight w:val="397"/>
        </w:trPr>
        <w:tc>
          <w:tcPr>
            <w:tcW w:w="838" w:type="pct"/>
            <w:vMerge/>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p>
        </w:tc>
        <w:tc>
          <w:tcPr>
            <w:tcW w:w="665" w:type="pct"/>
            <w:shd w:val="clear" w:color="auto" w:fill="F2F2F2"/>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742" w:type="pct"/>
            <w:shd w:val="clear" w:color="auto" w:fill="F2F2F2"/>
            <w:vAlign w:val="center"/>
          </w:tcPr>
          <w:p w:rsidR="005E435D" w:rsidRPr="009114DF" w:rsidRDefault="00F46BC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745" w:type="pct"/>
            <w:shd w:val="clear" w:color="auto" w:fill="F2F2F2"/>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23</w:t>
            </w:r>
          </w:p>
        </w:tc>
        <w:tc>
          <w:tcPr>
            <w:tcW w:w="746" w:type="pct"/>
            <w:shd w:val="clear" w:color="auto" w:fill="F2F2F2"/>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00BD74EC" w:rsidRPr="009114DF">
              <w:rPr>
                <w:rFonts w:ascii="Times New Roman" w:eastAsia="Times New Roman" w:hAnsi="Times New Roman"/>
                <w:sz w:val="24"/>
                <w:szCs w:val="24"/>
                <w:lang w:eastAsia="ru-RU"/>
              </w:rPr>
              <w:t>1</w:t>
            </w:r>
          </w:p>
        </w:tc>
        <w:tc>
          <w:tcPr>
            <w:tcW w:w="658" w:type="pct"/>
            <w:shd w:val="clear" w:color="auto" w:fill="F2F2F2"/>
            <w:vAlign w:val="center"/>
          </w:tcPr>
          <w:p w:rsidR="005E435D" w:rsidRPr="009114DF" w:rsidRDefault="004E5D58"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606" w:type="pct"/>
            <w:shd w:val="clear" w:color="auto" w:fill="F2F2F2"/>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35</w:t>
            </w:r>
          </w:p>
        </w:tc>
      </w:tr>
    </w:tbl>
    <w:p w:rsidR="0062726F" w:rsidRPr="009114DF" w:rsidRDefault="0062726F" w:rsidP="00F71B34">
      <w:pPr>
        <w:spacing w:after="0" w:line="360" w:lineRule="auto"/>
        <w:ind w:firstLine="567"/>
        <w:jc w:val="both"/>
        <w:rPr>
          <w:rFonts w:ascii="Times New Roman" w:eastAsia="Times New Roman" w:hAnsi="Times New Roman"/>
          <w:spacing w:val="-3"/>
          <w:sz w:val="24"/>
          <w:szCs w:val="28"/>
          <w:lang w:eastAsia="ru-RU"/>
        </w:rPr>
      </w:pPr>
    </w:p>
    <w:p w:rsidR="007C2C06" w:rsidRPr="009114DF" w:rsidRDefault="00742BD1" w:rsidP="00F71B34">
      <w:pPr>
        <w:suppressAutoHyphens/>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pacing w:val="40"/>
          <w:sz w:val="28"/>
          <w:szCs w:val="28"/>
          <w:lang w:eastAsia="ru-RU"/>
        </w:rPr>
        <w:t>Таблица</w:t>
      </w:r>
      <w:r w:rsidRPr="009114DF">
        <w:rPr>
          <w:rFonts w:ascii="Times New Roman" w:eastAsia="Times New Roman" w:hAnsi="Times New Roman"/>
          <w:sz w:val="28"/>
          <w:szCs w:val="28"/>
          <w:lang w:eastAsia="ru-RU"/>
        </w:rPr>
        <w:t xml:space="preserve"> </w:t>
      </w:r>
      <w:r w:rsidR="007C2C06" w:rsidRPr="009114DF">
        <w:rPr>
          <w:rFonts w:ascii="Times New Roman" w:eastAsia="Times New Roman" w:hAnsi="Times New Roman"/>
          <w:sz w:val="28"/>
          <w:szCs w:val="28"/>
          <w:lang w:eastAsia="ru-RU"/>
        </w:rPr>
        <w:t>6</w:t>
      </w:r>
      <w:r w:rsidR="00CD2EDC" w:rsidRPr="009114DF">
        <w:rPr>
          <w:rFonts w:ascii="Times New Roman" w:eastAsia="Times New Roman" w:hAnsi="Times New Roman"/>
          <w:sz w:val="28"/>
          <w:szCs w:val="28"/>
          <w:lang w:eastAsia="ru-RU"/>
        </w:rPr>
        <w:t xml:space="preserve"> – </w:t>
      </w:r>
      <w:r w:rsidR="006F3814" w:rsidRPr="009114DF">
        <w:rPr>
          <w:rFonts w:ascii="Times New Roman" w:eastAsia="Times New Roman" w:hAnsi="Times New Roman"/>
          <w:sz w:val="28"/>
          <w:szCs w:val="28"/>
          <w:lang w:eastAsia="ru-RU"/>
        </w:rPr>
        <w:t xml:space="preserve">Степень </w:t>
      </w:r>
      <w:r w:rsidR="007C2C06" w:rsidRPr="009114DF">
        <w:rPr>
          <w:rFonts w:ascii="Times New Roman" w:eastAsia="Times New Roman" w:hAnsi="Times New Roman"/>
          <w:sz w:val="28"/>
          <w:szCs w:val="28"/>
          <w:lang w:eastAsia="ru-RU"/>
        </w:rPr>
        <w:t xml:space="preserve">ФК </w:t>
      </w:r>
      <w:r w:rsidR="006F3814" w:rsidRPr="009114DF">
        <w:rPr>
          <w:rFonts w:ascii="Times New Roman" w:eastAsia="Times New Roman" w:hAnsi="Times New Roman"/>
          <w:sz w:val="28"/>
          <w:szCs w:val="28"/>
          <w:lang w:eastAsia="ru-RU"/>
        </w:rPr>
        <w:t xml:space="preserve">в зависимости </w:t>
      </w:r>
      <w:r w:rsidR="007C2C06" w:rsidRPr="009114DF">
        <w:rPr>
          <w:rFonts w:ascii="Times New Roman" w:eastAsia="Times New Roman" w:hAnsi="Times New Roman"/>
          <w:sz w:val="28"/>
          <w:szCs w:val="28"/>
          <w:lang w:eastAsia="ru-RU"/>
        </w:rPr>
        <w:t xml:space="preserve">от </w:t>
      </w:r>
      <w:r w:rsidR="006F3814" w:rsidRPr="009114DF">
        <w:rPr>
          <w:rFonts w:ascii="Times New Roman" w:eastAsia="Times New Roman" w:hAnsi="Times New Roman"/>
          <w:sz w:val="28"/>
          <w:szCs w:val="28"/>
          <w:lang w:eastAsia="ru-RU"/>
        </w:rPr>
        <w:t xml:space="preserve">рентгенологической </w:t>
      </w:r>
      <w:r w:rsidR="007C2C06" w:rsidRPr="009114DF">
        <w:rPr>
          <w:rFonts w:ascii="Times New Roman" w:eastAsia="Times New Roman" w:hAnsi="Times New Roman"/>
          <w:sz w:val="28"/>
          <w:szCs w:val="28"/>
          <w:lang w:eastAsia="ru-RU"/>
        </w:rPr>
        <w:t>стадии РА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1351"/>
        <w:gridCol w:w="1080"/>
        <w:gridCol w:w="1209"/>
        <w:gridCol w:w="1166"/>
        <w:gridCol w:w="1201"/>
        <w:gridCol w:w="1053"/>
      </w:tblGrid>
      <w:tr w:rsidR="00E019EA" w:rsidRPr="009114DF" w:rsidTr="00E019EA">
        <w:trPr>
          <w:trHeight w:val="397"/>
        </w:trPr>
        <w:tc>
          <w:tcPr>
            <w:tcW w:w="1438" w:type="pct"/>
            <w:vMerge w:val="restart"/>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eastAsia="ru-RU"/>
              </w:rPr>
              <w:t>Рентгенологическая с</w:t>
            </w:r>
            <w:r w:rsidRPr="009114DF">
              <w:rPr>
                <w:rFonts w:ascii="Times New Roman" w:eastAsia="Times New Roman" w:hAnsi="Times New Roman"/>
                <w:sz w:val="24"/>
                <w:szCs w:val="24"/>
                <w:lang w:val="en-US" w:eastAsia="ru-RU"/>
              </w:rPr>
              <w:t>тадия</w:t>
            </w:r>
          </w:p>
        </w:tc>
        <w:tc>
          <w:tcPr>
            <w:tcW w:w="681" w:type="pct"/>
            <w:vMerge w:val="restart"/>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Группа больных</w:t>
            </w:r>
          </w:p>
        </w:tc>
        <w:tc>
          <w:tcPr>
            <w:tcW w:w="2349" w:type="pct"/>
            <w:gridSpan w:val="4"/>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Степень ФК</w:t>
            </w:r>
          </w:p>
        </w:tc>
        <w:tc>
          <w:tcPr>
            <w:tcW w:w="531" w:type="pct"/>
            <w:vMerge w:val="restart"/>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Всего</w:t>
            </w:r>
          </w:p>
        </w:tc>
      </w:tr>
      <w:tr w:rsidR="00E019EA" w:rsidRPr="009114DF" w:rsidTr="00E019EA">
        <w:trPr>
          <w:trHeight w:val="397"/>
        </w:trPr>
        <w:tc>
          <w:tcPr>
            <w:tcW w:w="1438" w:type="pct"/>
            <w:vMerge/>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p>
        </w:tc>
        <w:tc>
          <w:tcPr>
            <w:tcW w:w="681" w:type="pct"/>
            <w:vMerge/>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p>
        </w:tc>
        <w:tc>
          <w:tcPr>
            <w:tcW w:w="545"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w:t>
            </w:r>
          </w:p>
        </w:tc>
        <w:tc>
          <w:tcPr>
            <w:tcW w:w="610"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w:t>
            </w:r>
          </w:p>
        </w:tc>
        <w:tc>
          <w:tcPr>
            <w:tcW w:w="588"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III</w:t>
            </w:r>
          </w:p>
        </w:tc>
        <w:tc>
          <w:tcPr>
            <w:tcW w:w="606" w:type="pct"/>
            <w:shd w:val="clear" w:color="auto" w:fill="F2F2F2"/>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IV</w:t>
            </w:r>
          </w:p>
        </w:tc>
        <w:tc>
          <w:tcPr>
            <w:tcW w:w="531" w:type="pct"/>
            <w:vMerge/>
            <w:vAlign w:val="center"/>
          </w:tcPr>
          <w:p w:rsidR="00667CD6" w:rsidRPr="009114DF" w:rsidRDefault="00667CD6" w:rsidP="00F71B34">
            <w:pPr>
              <w:spacing w:after="0" w:line="360" w:lineRule="auto"/>
              <w:ind w:firstLine="49"/>
              <w:jc w:val="center"/>
              <w:rPr>
                <w:rFonts w:ascii="Times New Roman" w:eastAsia="Times New Roman" w:hAnsi="Times New Roman"/>
                <w:sz w:val="24"/>
                <w:szCs w:val="24"/>
                <w:lang w:val="en-US" w:eastAsia="ru-RU"/>
              </w:rPr>
            </w:pPr>
          </w:p>
        </w:tc>
      </w:tr>
      <w:tr w:rsidR="00E019EA" w:rsidRPr="009114DF" w:rsidTr="00E019EA">
        <w:trPr>
          <w:trHeight w:val="397"/>
        </w:trPr>
        <w:tc>
          <w:tcPr>
            <w:tcW w:w="1438" w:type="pct"/>
            <w:vMerge w:val="restar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w:t>
            </w:r>
          </w:p>
        </w:tc>
        <w:tc>
          <w:tcPr>
            <w:tcW w:w="681"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545"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610" w:type="pct"/>
            <w:vAlign w:val="center"/>
          </w:tcPr>
          <w:p w:rsidR="005E435D" w:rsidRPr="009114DF" w:rsidRDefault="004E5D58"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588" w:type="pct"/>
            <w:vAlign w:val="center"/>
          </w:tcPr>
          <w:p w:rsidR="005E435D" w:rsidRPr="009114DF" w:rsidRDefault="004E5D58"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06" w:type="pct"/>
            <w:vAlign w:val="center"/>
          </w:tcPr>
          <w:p w:rsidR="005E435D" w:rsidRPr="009114DF" w:rsidRDefault="004E5D58"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31"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p>
        </w:tc>
      </w:tr>
      <w:tr w:rsidR="00E019EA" w:rsidRPr="009114DF" w:rsidTr="00E019EA">
        <w:trPr>
          <w:trHeight w:val="397"/>
        </w:trPr>
        <w:tc>
          <w:tcPr>
            <w:tcW w:w="1438" w:type="pct"/>
            <w:vMerge/>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p>
        </w:tc>
        <w:tc>
          <w:tcPr>
            <w:tcW w:w="681" w:type="pct"/>
            <w:shd w:val="clear" w:color="auto" w:fill="F2F2F2"/>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545" w:type="pct"/>
            <w:shd w:val="clear" w:color="auto" w:fill="F2F2F2"/>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0" w:type="pct"/>
            <w:shd w:val="clear" w:color="auto" w:fill="F2F2F2"/>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c>
          <w:tcPr>
            <w:tcW w:w="588" w:type="pct"/>
            <w:shd w:val="clear" w:color="auto" w:fill="F2F2F2"/>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606" w:type="pct"/>
            <w:shd w:val="clear" w:color="auto" w:fill="F2F2F2"/>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31"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r>
      <w:tr w:rsidR="00E019EA" w:rsidRPr="009114DF" w:rsidTr="00E019EA">
        <w:trPr>
          <w:trHeight w:val="397"/>
        </w:trPr>
        <w:tc>
          <w:tcPr>
            <w:tcW w:w="1438" w:type="pct"/>
            <w:vMerge w:val="restar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w:t>
            </w:r>
          </w:p>
        </w:tc>
        <w:tc>
          <w:tcPr>
            <w:tcW w:w="681"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545"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w:t>
            </w:r>
          </w:p>
        </w:tc>
        <w:tc>
          <w:tcPr>
            <w:tcW w:w="610"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Pr="009114DF">
              <w:rPr>
                <w:rFonts w:ascii="Times New Roman" w:eastAsia="Times New Roman" w:hAnsi="Times New Roman"/>
                <w:sz w:val="24"/>
                <w:szCs w:val="24"/>
                <w:lang w:eastAsia="ru-RU"/>
              </w:rPr>
              <w:t>3</w:t>
            </w:r>
          </w:p>
        </w:tc>
        <w:tc>
          <w:tcPr>
            <w:tcW w:w="588"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p>
        </w:tc>
        <w:tc>
          <w:tcPr>
            <w:tcW w:w="606" w:type="pct"/>
            <w:vAlign w:val="center"/>
          </w:tcPr>
          <w:p w:rsidR="005E435D" w:rsidRPr="009114DF" w:rsidRDefault="004E5D58"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31"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16</w:t>
            </w:r>
          </w:p>
        </w:tc>
      </w:tr>
      <w:tr w:rsidR="00E019EA" w:rsidRPr="009114DF" w:rsidTr="00E019EA">
        <w:trPr>
          <w:trHeight w:val="397"/>
        </w:trPr>
        <w:tc>
          <w:tcPr>
            <w:tcW w:w="1438" w:type="pct"/>
            <w:vMerge/>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p>
        </w:tc>
        <w:tc>
          <w:tcPr>
            <w:tcW w:w="681" w:type="pct"/>
            <w:shd w:val="clear" w:color="auto" w:fill="F2F2F2"/>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545" w:type="pct"/>
            <w:shd w:val="clear" w:color="auto" w:fill="F2F2F2"/>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0"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7</w:t>
            </w:r>
          </w:p>
        </w:tc>
        <w:tc>
          <w:tcPr>
            <w:tcW w:w="588"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5</w:t>
            </w:r>
          </w:p>
        </w:tc>
        <w:tc>
          <w:tcPr>
            <w:tcW w:w="606" w:type="pct"/>
            <w:shd w:val="clear" w:color="auto" w:fill="F2F2F2"/>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31"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12</w:t>
            </w:r>
          </w:p>
        </w:tc>
      </w:tr>
      <w:tr w:rsidR="00E019EA" w:rsidRPr="009114DF" w:rsidTr="00E019EA">
        <w:trPr>
          <w:trHeight w:val="397"/>
        </w:trPr>
        <w:tc>
          <w:tcPr>
            <w:tcW w:w="1438" w:type="pct"/>
            <w:vMerge w:val="restar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III</w:t>
            </w:r>
          </w:p>
        </w:tc>
        <w:tc>
          <w:tcPr>
            <w:tcW w:w="681"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545"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610" w:type="pct"/>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Pr="009114DF">
              <w:rPr>
                <w:rFonts w:ascii="Times New Roman" w:eastAsia="Times New Roman" w:hAnsi="Times New Roman"/>
                <w:sz w:val="24"/>
                <w:szCs w:val="24"/>
                <w:lang w:eastAsia="ru-RU"/>
              </w:rPr>
              <w:t>5</w:t>
            </w:r>
          </w:p>
        </w:tc>
        <w:tc>
          <w:tcPr>
            <w:tcW w:w="588" w:type="pct"/>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w:t>
            </w:r>
          </w:p>
        </w:tc>
        <w:tc>
          <w:tcPr>
            <w:tcW w:w="606" w:type="pct"/>
            <w:vAlign w:val="center"/>
          </w:tcPr>
          <w:p w:rsidR="005E435D" w:rsidRPr="009114DF" w:rsidRDefault="004E5D58"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31" w:type="pct"/>
            <w:vAlign w:val="center"/>
          </w:tcPr>
          <w:p w:rsidR="005E435D" w:rsidRPr="009114DF" w:rsidRDefault="00DD3F99"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18</w:t>
            </w:r>
          </w:p>
        </w:tc>
      </w:tr>
      <w:tr w:rsidR="00E019EA" w:rsidRPr="009114DF" w:rsidTr="00E019EA">
        <w:trPr>
          <w:trHeight w:val="397"/>
        </w:trPr>
        <w:tc>
          <w:tcPr>
            <w:tcW w:w="1438" w:type="pct"/>
            <w:vMerge/>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p>
        </w:tc>
        <w:tc>
          <w:tcPr>
            <w:tcW w:w="681" w:type="pct"/>
            <w:shd w:val="clear" w:color="auto" w:fill="F2F2F2"/>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545"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610" w:type="pct"/>
            <w:shd w:val="clear" w:color="auto" w:fill="F2F2F2"/>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9</w:t>
            </w:r>
          </w:p>
        </w:tc>
        <w:tc>
          <w:tcPr>
            <w:tcW w:w="588" w:type="pct"/>
            <w:shd w:val="clear" w:color="auto" w:fill="F2F2F2"/>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6</w:t>
            </w:r>
          </w:p>
        </w:tc>
        <w:tc>
          <w:tcPr>
            <w:tcW w:w="606" w:type="pct"/>
            <w:shd w:val="clear" w:color="auto" w:fill="F2F2F2"/>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531"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16</w:t>
            </w:r>
          </w:p>
        </w:tc>
      </w:tr>
      <w:tr w:rsidR="00E019EA" w:rsidRPr="009114DF" w:rsidTr="00E019EA">
        <w:trPr>
          <w:trHeight w:val="397"/>
        </w:trPr>
        <w:tc>
          <w:tcPr>
            <w:tcW w:w="1438" w:type="pct"/>
            <w:vMerge w:val="restar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IV</w:t>
            </w:r>
          </w:p>
        </w:tc>
        <w:tc>
          <w:tcPr>
            <w:tcW w:w="681"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545" w:type="pct"/>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1</w:t>
            </w:r>
          </w:p>
        </w:tc>
        <w:tc>
          <w:tcPr>
            <w:tcW w:w="610" w:type="pct"/>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c>
          <w:tcPr>
            <w:tcW w:w="588" w:type="pct"/>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w:t>
            </w:r>
          </w:p>
        </w:tc>
        <w:tc>
          <w:tcPr>
            <w:tcW w:w="606" w:type="pct"/>
            <w:vAlign w:val="center"/>
          </w:tcPr>
          <w:p w:rsidR="005E435D" w:rsidRPr="009114DF" w:rsidRDefault="004E5D58"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31" w:type="pct"/>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9</w:t>
            </w:r>
          </w:p>
        </w:tc>
      </w:tr>
      <w:tr w:rsidR="00E019EA" w:rsidRPr="009114DF" w:rsidTr="00E019EA">
        <w:trPr>
          <w:trHeight w:val="397"/>
        </w:trPr>
        <w:tc>
          <w:tcPr>
            <w:tcW w:w="1438" w:type="pct"/>
            <w:vMerge/>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p>
        </w:tc>
        <w:tc>
          <w:tcPr>
            <w:tcW w:w="681" w:type="pct"/>
            <w:shd w:val="clear" w:color="auto" w:fill="F2F2F2"/>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545" w:type="pct"/>
            <w:shd w:val="clear" w:color="auto" w:fill="F2F2F2"/>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0"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w:t>
            </w:r>
          </w:p>
        </w:tc>
        <w:tc>
          <w:tcPr>
            <w:tcW w:w="588"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606" w:type="pct"/>
            <w:shd w:val="clear" w:color="auto" w:fill="F2F2F2"/>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531"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w:t>
            </w:r>
          </w:p>
        </w:tc>
      </w:tr>
      <w:tr w:rsidR="00E019EA" w:rsidRPr="009114DF" w:rsidTr="00E019EA">
        <w:trPr>
          <w:trHeight w:val="397"/>
        </w:trPr>
        <w:tc>
          <w:tcPr>
            <w:tcW w:w="1438" w:type="pct"/>
            <w:vMerge w:val="restar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Всего</w:t>
            </w:r>
          </w:p>
        </w:tc>
        <w:tc>
          <w:tcPr>
            <w:tcW w:w="681" w:type="pct"/>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545" w:type="pct"/>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w:t>
            </w:r>
          </w:p>
        </w:tc>
        <w:tc>
          <w:tcPr>
            <w:tcW w:w="610" w:type="pct"/>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33</w:t>
            </w:r>
          </w:p>
        </w:tc>
        <w:tc>
          <w:tcPr>
            <w:tcW w:w="588" w:type="pct"/>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8</w:t>
            </w:r>
          </w:p>
        </w:tc>
        <w:tc>
          <w:tcPr>
            <w:tcW w:w="606" w:type="pct"/>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0</w:t>
            </w:r>
          </w:p>
        </w:tc>
        <w:tc>
          <w:tcPr>
            <w:tcW w:w="531" w:type="pct"/>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44</w:t>
            </w:r>
          </w:p>
        </w:tc>
      </w:tr>
      <w:tr w:rsidR="00E019EA" w:rsidRPr="009114DF" w:rsidTr="00E019EA">
        <w:trPr>
          <w:trHeight w:val="397"/>
        </w:trPr>
        <w:tc>
          <w:tcPr>
            <w:tcW w:w="1438" w:type="pct"/>
            <w:vMerge/>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p>
        </w:tc>
        <w:tc>
          <w:tcPr>
            <w:tcW w:w="681" w:type="pct"/>
            <w:shd w:val="clear" w:color="auto" w:fill="F2F2F2"/>
            <w:vAlign w:val="center"/>
          </w:tcPr>
          <w:p w:rsidR="005E435D" w:rsidRPr="009114DF" w:rsidRDefault="005E435D"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2</w:t>
            </w:r>
          </w:p>
        </w:tc>
        <w:tc>
          <w:tcPr>
            <w:tcW w:w="545" w:type="pct"/>
            <w:shd w:val="clear" w:color="auto" w:fill="F2F2F2"/>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0</w:t>
            </w:r>
          </w:p>
        </w:tc>
        <w:tc>
          <w:tcPr>
            <w:tcW w:w="610" w:type="pct"/>
            <w:shd w:val="clear" w:color="auto" w:fill="F2F2F2"/>
            <w:vAlign w:val="center"/>
          </w:tcPr>
          <w:p w:rsidR="005E435D" w:rsidRPr="009114DF" w:rsidRDefault="00BD74E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23</w:t>
            </w:r>
          </w:p>
        </w:tc>
        <w:tc>
          <w:tcPr>
            <w:tcW w:w="588"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val="en-US" w:eastAsia="ru-RU"/>
              </w:rPr>
              <w:t>1</w:t>
            </w:r>
            <w:r w:rsidR="00BD74EC" w:rsidRPr="009114DF">
              <w:rPr>
                <w:rFonts w:ascii="Times New Roman" w:eastAsia="Times New Roman" w:hAnsi="Times New Roman"/>
                <w:sz w:val="24"/>
                <w:szCs w:val="24"/>
                <w:lang w:eastAsia="ru-RU"/>
              </w:rPr>
              <w:t>1</w:t>
            </w:r>
          </w:p>
        </w:tc>
        <w:tc>
          <w:tcPr>
            <w:tcW w:w="606" w:type="pct"/>
            <w:shd w:val="clear" w:color="auto" w:fill="F2F2F2"/>
            <w:vAlign w:val="center"/>
          </w:tcPr>
          <w:p w:rsidR="005E435D" w:rsidRPr="009114DF" w:rsidRDefault="00331B47" w:rsidP="00F71B34">
            <w:pPr>
              <w:spacing w:after="0" w:line="360" w:lineRule="auto"/>
              <w:ind w:firstLine="49"/>
              <w:jc w:val="center"/>
              <w:rPr>
                <w:rFonts w:ascii="Times New Roman" w:eastAsia="Times New Roman" w:hAnsi="Times New Roman"/>
                <w:sz w:val="24"/>
                <w:szCs w:val="24"/>
                <w:lang w:val="en-US" w:eastAsia="ru-RU"/>
              </w:rPr>
            </w:pPr>
            <w:r w:rsidRPr="009114DF">
              <w:rPr>
                <w:rFonts w:ascii="Times New Roman" w:eastAsia="Times New Roman" w:hAnsi="Times New Roman"/>
                <w:sz w:val="24"/>
                <w:szCs w:val="24"/>
                <w:lang w:val="en-US" w:eastAsia="ru-RU"/>
              </w:rPr>
              <w:t>1</w:t>
            </w:r>
          </w:p>
        </w:tc>
        <w:tc>
          <w:tcPr>
            <w:tcW w:w="531" w:type="pct"/>
            <w:shd w:val="clear" w:color="auto" w:fill="F2F2F2"/>
            <w:vAlign w:val="center"/>
          </w:tcPr>
          <w:p w:rsidR="005E435D" w:rsidRPr="009114DF" w:rsidRDefault="00893BFC" w:rsidP="00F71B34">
            <w:pPr>
              <w:spacing w:after="0" w:line="360" w:lineRule="auto"/>
              <w:ind w:firstLine="49"/>
              <w:jc w:val="center"/>
              <w:rPr>
                <w:rFonts w:ascii="Times New Roman" w:eastAsia="Times New Roman" w:hAnsi="Times New Roman"/>
                <w:sz w:val="24"/>
                <w:szCs w:val="24"/>
                <w:lang w:eastAsia="ru-RU"/>
              </w:rPr>
            </w:pPr>
            <w:r w:rsidRPr="009114DF">
              <w:rPr>
                <w:rFonts w:ascii="Times New Roman" w:eastAsia="Times New Roman" w:hAnsi="Times New Roman"/>
                <w:sz w:val="24"/>
                <w:szCs w:val="24"/>
                <w:lang w:eastAsia="ru-RU"/>
              </w:rPr>
              <w:t>35</w:t>
            </w:r>
          </w:p>
        </w:tc>
      </w:tr>
    </w:tbl>
    <w:p w:rsidR="004B61AE" w:rsidRPr="009114DF" w:rsidRDefault="004B61AE" w:rsidP="004B61AE">
      <w:pPr>
        <w:spacing w:after="0" w:line="360" w:lineRule="auto"/>
        <w:ind w:firstLine="567"/>
        <w:jc w:val="both"/>
        <w:rPr>
          <w:rFonts w:ascii="Times New Roman" w:eastAsia="Times New Roman" w:hAnsi="Times New Roman"/>
          <w:spacing w:val="-3"/>
          <w:szCs w:val="28"/>
          <w:lang w:eastAsia="ru-RU"/>
        </w:rPr>
      </w:pPr>
    </w:p>
    <w:p w:rsidR="006D112D" w:rsidRPr="009114DF" w:rsidRDefault="004B61AE" w:rsidP="00E15AC7">
      <w:pPr>
        <w:suppressAutoHyphens/>
        <w:spacing w:after="0" w:line="360" w:lineRule="auto"/>
        <w:ind w:firstLine="567"/>
        <w:jc w:val="both"/>
        <w:rPr>
          <w:rFonts w:ascii="Times New Roman" w:eastAsia="Times New Roman" w:hAnsi="Times New Roman"/>
          <w:spacing w:val="-3"/>
          <w:sz w:val="28"/>
          <w:szCs w:val="28"/>
          <w:lang w:eastAsia="ru-RU"/>
        </w:rPr>
      </w:pPr>
      <w:r w:rsidRPr="009114DF">
        <w:rPr>
          <w:rFonts w:ascii="Times New Roman" w:eastAsia="Times New Roman" w:hAnsi="Times New Roman"/>
          <w:spacing w:val="-3"/>
          <w:sz w:val="28"/>
          <w:szCs w:val="28"/>
          <w:lang w:eastAsia="ru-RU"/>
        </w:rPr>
        <w:t>При I рентгенологической стадии РА высокий ФК (III</w:t>
      </w:r>
      <w:r w:rsidR="00835B10" w:rsidRPr="009114DF">
        <w:rPr>
          <w:rFonts w:ascii="Times New Roman" w:eastAsia="Times New Roman" w:hAnsi="Times New Roman"/>
          <w:spacing w:val="-3"/>
          <w:sz w:val="28"/>
          <w:szCs w:val="28"/>
          <w:lang w:eastAsia="ru-RU"/>
        </w:rPr>
        <w:t>–</w:t>
      </w:r>
      <w:r w:rsidRPr="009114DF">
        <w:rPr>
          <w:rFonts w:ascii="Times New Roman" w:eastAsia="Times New Roman" w:hAnsi="Times New Roman"/>
          <w:spacing w:val="-3"/>
          <w:sz w:val="28"/>
          <w:szCs w:val="28"/>
          <w:lang w:eastAsia="ru-RU"/>
        </w:rPr>
        <w:t>IV класс) не зарегистрирован. При III стадии заболевания большинство больных теряло трудоспособность: больные, имевшие II–I</w:t>
      </w:r>
      <w:r w:rsidRPr="009114DF">
        <w:rPr>
          <w:rFonts w:ascii="Times New Roman" w:eastAsia="Times New Roman" w:hAnsi="Times New Roman"/>
          <w:spacing w:val="-3"/>
          <w:sz w:val="28"/>
          <w:szCs w:val="28"/>
          <w:lang w:val="en-US" w:eastAsia="ru-RU"/>
        </w:rPr>
        <w:t>II</w:t>
      </w:r>
      <w:r w:rsidRPr="009114DF">
        <w:rPr>
          <w:rFonts w:ascii="Times New Roman" w:eastAsia="Times New Roman" w:hAnsi="Times New Roman"/>
          <w:spacing w:val="-3"/>
          <w:sz w:val="28"/>
          <w:szCs w:val="28"/>
          <w:lang w:eastAsia="ru-RU"/>
        </w:rPr>
        <w:t xml:space="preserve"> ФК, составляли 100% (18 из</w:t>
      </w:r>
      <w:r w:rsidR="00835B10" w:rsidRPr="009114DF">
        <w:rPr>
          <w:rFonts w:ascii="Times New Roman" w:eastAsia="Times New Roman" w:hAnsi="Times New Roman"/>
          <w:spacing w:val="-3"/>
          <w:sz w:val="28"/>
          <w:szCs w:val="28"/>
          <w:lang w:eastAsia="ru-RU"/>
        </w:rPr>
        <w:br/>
      </w:r>
      <w:r w:rsidRPr="009114DF">
        <w:rPr>
          <w:rFonts w:ascii="Times New Roman" w:eastAsia="Times New Roman" w:hAnsi="Times New Roman"/>
          <w:spacing w:val="-3"/>
          <w:sz w:val="28"/>
          <w:szCs w:val="28"/>
          <w:lang w:eastAsia="ru-RU"/>
        </w:rPr>
        <w:t>18 больных) в группе 1 и 93,7 % (15 из 16 пациентов) в группе 2. Только</w:t>
      </w:r>
      <w:r w:rsidR="00835B10" w:rsidRPr="009114DF">
        <w:rPr>
          <w:rFonts w:ascii="Times New Roman" w:eastAsia="Times New Roman" w:hAnsi="Times New Roman"/>
          <w:spacing w:val="-3"/>
          <w:sz w:val="28"/>
          <w:szCs w:val="28"/>
          <w:lang w:eastAsia="ru-RU"/>
        </w:rPr>
        <w:br/>
      </w:r>
      <w:r w:rsidRPr="009114DF">
        <w:rPr>
          <w:rFonts w:ascii="Times New Roman" w:eastAsia="Times New Roman" w:hAnsi="Times New Roman"/>
          <w:spacing w:val="-3"/>
          <w:sz w:val="28"/>
          <w:szCs w:val="28"/>
          <w:lang w:eastAsia="ru-RU"/>
        </w:rPr>
        <w:t xml:space="preserve">1 больной полностью сохранил трудоспособность при </w:t>
      </w:r>
      <w:r w:rsidRPr="009114DF">
        <w:rPr>
          <w:rFonts w:ascii="Times New Roman" w:eastAsia="Times New Roman" w:hAnsi="Times New Roman"/>
          <w:spacing w:val="-3"/>
          <w:sz w:val="28"/>
          <w:szCs w:val="28"/>
          <w:lang w:val="en-US" w:eastAsia="ru-RU"/>
        </w:rPr>
        <w:t>IV</w:t>
      </w:r>
      <w:r w:rsidR="00E15AC7" w:rsidRPr="009114DF">
        <w:rPr>
          <w:rFonts w:ascii="Times New Roman" w:eastAsia="Times New Roman" w:hAnsi="Times New Roman"/>
          <w:spacing w:val="-3"/>
          <w:sz w:val="28"/>
          <w:szCs w:val="28"/>
          <w:lang w:eastAsia="ru-RU"/>
        </w:rPr>
        <w:t xml:space="preserve"> рентгенологической стадии.</w:t>
      </w:r>
    </w:p>
    <w:p w:rsidR="007C2C06" w:rsidRPr="009114DF" w:rsidRDefault="007C2C06" w:rsidP="00F71B34">
      <w:pPr>
        <w:spacing w:after="0" w:line="360" w:lineRule="auto"/>
        <w:ind w:firstLine="567"/>
        <w:jc w:val="center"/>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lastRenderedPageBreak/>
        <w:t xml:space="preserve">Сопутствующие заболевания у больных </w:t>
      </w:r>
      <w:r w:rsidR="00835B10" w:rsidRPr="009114DF">
        <w:rPr>
          <w:rFonts w:ascii="Times New Roman" w:eastAsia="Times New Roman" w:hAnsi="Times New Roman"/>
          <w:b/>
          <w:sz w:val="28"/>
          <w:szCs w:val="28"/>
          <w:lang w:eastAsia="ru-RU"/>
        </w:rPr>
        <w:t>ревматоидным артритом</w:t>
      </w:r>
      <w:r w:rsidR="00835B10" w:rsidRPr="009114DF">
        <w:rPr>
          <w:rFonts w:ascii="Times New Roman" w:eastAsia="Times New Roman" w:hAnsi="Times New Roman"/>
          <w:b/>
          <w:sz w:val="28"/>
          <w:szCs w:val="28"/>
          <w:lang w:eastAsia="ru-RU"/>
        </w:rPr>
        <w:br/>
      </w:r>
      <w:r w:rsidRPr="009114DF">
        <w:rPr>
          <w:rFonts w:ascii="Times New Roman" w:eastAsia="Times New Roman" w:hAnsi="Times New Roman"/>
          <w:b/>
          <w:sz w:val="28"/>
          <w:szCs w:val="28"/>
          <w:lang w:eastAsia="ru-RU"/>
        </w:rPr>
        <w:t>к началу исследования</w:t>
      </w:r>
    </w:p>
    <w:p w:rsidR="0011783C" w:rsidRPr="009114DF" w:rsidRDefault="0011783C" w:rsidP="00F71B34">
      <w:pPr>
        <w:spacing w:after="0" w:line="360" w:lineRule="auto"/>
        <w:ind w:firstLine="567"/>
        <w:jc w:val="center"/>
        <w:rPr>
          <w:rFonts w:ascii="Times New Roman" w:eastAsia="Times New Roman" w:hAnsi="Times New Roman"/>
          <w:b/>
          <w:sz w:val="28"/>
          <w:szCs w:val="28"/>
          <w:lang w:eastAsia="ru-RU"/>
        </w:rPr>
      </w:pPr>
    </w:p>
    <w:p w:rsidR="007C2C06"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ab/>
        <w:t xml:space="preserve">Патология почек к началу исследования выявлена у </w:t>
      </w:r>
      <w:r w:rsidR="008E466E" w:rsidRPr="009114DF">
        <w:rPr>
          <w:rFonts w:ascii="Times New Roman" w:eastAsia="Times New Roman" w:hAnsi="Times New Roman"/>
          <w:sz w:val="28"/>
          <w:szCs w:val="28"/>
          <w:lang w:eastAsia="ru-RU"/>
        </w:rPr>
        <w:t>6 пациентов в г</w:t>
      </w:r>
      <w:r w:rsidR="00DE6691" w:rsidRPr="009114DF">
        <w:rPr>
          <w:rFonts w:ascii="Times New Roman" w:eastAsia="Times New Roman" w:hAnsi="Times New Roman"/>
          <w:sz w:val="28"/>
          <w:szCs w:val="28"/>
          <w:lang w:eastAsia="ru-RU"/>
        </w:rPr>
        <w:t>руппе 1 и у 5</w:t>
      </w:r>
      <w:r w:rsidR="008E466E" w:rsidRPr="009114DF">
        <w:rPr>
          <w:rFonts w:ascii="Times New Roman" w:eastAsia="Times New Roman" w:hAnsi="Times New Roman"/>
          <w:sz w:val="28"/>
          <w:szCs w:val="28"/>
          <w:lang w:eastAsia="ru-RU"/>
        </w:rPr>
        <w:t xml:space="preserve"> пациентов в группе 2</w:t>
      </w:r>
      <w:r w:rsidRPr="009114DF">
        <w:rPr>
          <w:rFonts w:ascii="Times New Roman" w:eastAsia="Times New Roman" w:hAnsi="Times New Roman"/>
          <w:sz w:val="28"/>
          <w:szCs w:val="28"/>
          <w:lang w:eastAsia="ru-RU"/>
        </w:rPr>
        <w:t>. Для диагностики патологии почек использовались общий анализ мочи, проба Нечипоренко, проба Реберга (из суточного количества мочи), проводилось ультразвуковое исследование почек. Патологию почек, проявляющуюся протеинурией, изменениями мочевого осадка (лейкоци</w:t>
      </w:r>
      <w:proofErr w:type="gramStart"/>
      <w:r w:rsidRPr="009114DF">
        <w:rPr>
          <w:rFonts w:ascii="Times New Roman" w:eastAsia="Times New Roman" w:hAnsi="Times New Roman"/>
          <w:sz w:val="28"/>
          <w:szCs w:val="28"/>
          <w:lang w:eastAsia="ru-RU"/>
        </w:rPr>
        <w:t>т-</w:t>
      </w:r>
      <w:proofErr w:type="gramEnd"/>
      <w:r w:rsidRPr="009114DF">
        <w:rPr>
          <w:rFonts w:ascii="Times New Roman" w:eastAsia="Times New Roman" w:hAnsi="Times New Roman"/>
          <w:sz w:val="28"/>
          <w:szCs w:val="28"/>
          <w:lang w:eastAsia="ru-RU"/>
        </w:rPr>
        <w:t>, эритроцитурия), уменьшением функциональной способности почек по лабораторным и инструментальным данным</w:t>
      </w:r>
      <w:r w:rsidR="00835B10"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при отсутствии морфологическ</w:t>
      </w:r>
      <w:r w:rsidR="00431D3F" w:rsidRPr="009114DF">
        <w:rPr>
          <w:rFonts w:ascii="Times New Roman" w:eastAsia="Times New Roman" w:hAnsi="Times New Roman"/>
          <w:sz w:val="28"/>
          <w:szCs w:val="28"/>
          <w:lang w:eastAsia="ru-RU"/>
        </w:rPr>
        <w:t>ого исследования почечной ткани</w:t>
      </w:r>
      <w:r w:rsidRPr="009114DF">
        <w:rPr>
          <w:rFonts w:ascii="Times New Roman" w:eastAsia="Times New Roman" w:hAnsi="Times New Roman"/>
          <w:sz w:val="28"/>
          <w:szCs w:val="28"/>
          <w:lang w:eastAsia="ru-RU"/>
        </w:rPr>
        <w:t xml:space="preserve"> расценивали как нефропатию.</w:t>
      </w:r>
    </w:p>
    <w:p w:rsidR="000A6D90"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Поражение </w:t>
      </w:r>
      <w:proofErr w:type="gramStart"/>
      <w:r w:rsidRPr="009114DF">
        <w:rPr>
          <w:rFonts w:ascii="Times New Roman" w:eastAsia="Times New Roman" w:hAnsi="Times New Roman"/>
          <w:sz w:val="28"/>
          <w:szCs w:val="28"/>
          <w:lang w:eastAsia="ru-RU"/>
        </w:rPr>
        <w:t>сердечно-сосудистой</w:t>
      </w:r>
      <w:proofErr w:type="gramEnd"/>
      <w:r w:rsidRPr="009114DF">
        <w:rPr>
          <w:rFonts w:ascii="Times New Roman" w:eastAsia="Times New Roman" w:hAnsi="Times New Roman"/>
          <w:sz w:val="28"/>
          <w:szCs w:val="28"/>
          <w:lang w:eastAsia="ru-RU"/>
        </w:rPr>
        <w:t xml:space="preserve"> системы выявлялось на основании изучения анамнеза, клинико-инструментального обследования, включающего в себя электрокардиографию и эхокардиографию</w:t>
      </w:r>
      <w:r w:rsidR="008E466E" w:rsidRPr="009114DF">
        <w:rPr>
          <w:rFonts w:ascii="Times New Roman" w:eastAsia="Times New Roman" w:hAnsi="Times New Roman"/>
          <w:sz w:val="28"/>
          <w:szCs w:val="28"/>
          <w:lang w:eastAsia="ru-RU"/>
        </w:rPr>
        <w:t xml:space="preserve"> </w:t>
      </w:r>
      <w:r w:rsidR="00431D3F" w:rsidRPr="009114DF">
        <w:rPr>
          <w:rFonts w:ascii="Times New Roman" w:eastAsia="Times New Roman" w:hAnsi="Times New Roman"/>
          <w:sz w:val="28"/>
          <w:szCs w:val="28"/>
          <w:lang w:eastAsia="ru-RU"/>
        </w:rPr>
        <w:t>(</w:t>
      </w:r>
      <w:r w:rsidR="008E466E" w:rsidRPr="009114DF">
        <w:rPr>
          <w:rFonts w:ascii="Times New Roman" w:eastAsia="Times New Roman" w:hAnsi="Times New Roman"/>
          <w:sz w:val="28"/>
          <w:szCs w:val="28"/>
          <w:lang w:eastAsia="ru-RU"/>
        </w:rPr>
        <w:t>при необходимости</w:t>
      </w:r>
      <w:r w:rsidR="00431D3F"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На начально</w:t>
      </w:r>
      <w:r w:rsidR="008E466E" w:rsidRPr="009114DF">
        <w:rPr>
          <w:rFonts w:ascii="Times New Roman" w:eastAsia="Times New Roman" w:hAnsi="Times New Roman"/>
          <w:sz w:val="28"/>
          <w:szCs w:val="28"/>
          <w:lang w:eastAsia="ru-RU"/>
        </w:rPr>
        <w:t>м этапе исследования у 4</w:t>
      </w:r>
      <w:r w:rsidRPr="009114DF">
        <w:rPr>
          <w:rFonts w:ascii="Times New Roman" w:eastAsia="Times New Roman" w:hAnsi="Times New Roman"/>
          <w:sz w:val="28"/>
          <w:szCs w:val="28"/>
          <w:lang w:eastAsia="ru-RU"/>
        </w:rPr>
        <w:t xml:space="preserve"> больных</w:t>
      </w:r>
      <w:r w:rsidR="008E466E" w:rsidRPr="009114DF">
        <w:rPr>
          <w:rFonts w:ascii="Times New Roman" w:eastAsia="Times New Roman" w:hAnsi="Times New Roman"/>
          <w:sz w:val="28"/>
          <w:szCs w:val="28"/>
          <w:lang w:eastAsia="ru-RU"/>
        </w:rPr>
        <w:t xml:space="preserve"> в группе 1 и у 3 больных в  группе 2</w:t>
      </w:r>
      <w:r w:rsidRPr="009114DF">
        <w:rPr>
          <w:rFonts w:ascii="Times New Roman" w:eastAsia="Times New Roman" w:hAnsi="Times New Roman"/>
          <w:sz w:val="28"/>
          <w:szCs w:val="28"/>
          <w:lang w:eastAsia="ru-RU"/>
        </w:rPr>
        <w:t xml:space="preserve"> </w:t>
      </w:r>
      <w:proofErr w:type="gramStart"/>
      <w:r w:rsidRPr="009114DF">
        <w:rPr>
          <w:rFonts w:ascii="Times New Roman" w:eastAsia="Times New Roman" w:hAnsi="Times New Roman"/>
          <w:sz w:val="28"/>
          <w:szCs w:val="28"/>
          <w:lang w:eastAsia="ru-RU"/>
        </w:rPr>
        <w:t>диагностирована</w:t>
      </w:r>
      <w:proofErr w:type="gramEnd"/>
      <w:r w:rsidRPr="009114DF">
        <w:rPr>
          <w:rFonts w:ascii="Times New Roman" w:eastAsia="Times New Roman" w:hAnsi="Times New Roman"/>
          <w:sz w:val="28"/>
          <w:szCs w:val="28"/>
          <w:lang w:eastAsia="ru-RU"/>
        </w:rPr>
        <w:t xml:space="preserve"> ИБС. Гипер</w:t>
      </w:r>
      <w:r w:rsidR="00DE6691" w:rsidRPr="009114DF">
        <w:rPr>
          <w:rFonts w:ascii="Times New Roman" w:eastAsia="Times New Roman" w:hAnsi="Times New Roman"/>
          <w:sz w:val="28"/>
          <w:szCs w:val="28"/>
          <w:lang w:eastAsia="ru-RU"/>
        </w:rPr>
        <w:t>тоническая болезнь выявлена у</w:t>
      </w:r>
      <w:r w:rsidR="00835B10" w:rsidRPr="009114DF">
        <w:rPr>
          <w:rFonts w:ascii="Times New Roman" w:eastAsia="Times New Roman" w:hAnsi="Times New Roman"/>
          <w:sz w:val="28"/>
          <w:szCs w:val="28"/>
          <w:lang w:eastAsia="ru-RU"/>
        </w:rPr>
        <w:br/>
      </w:r>
      <w:r w:rsidR="00DE6691" w:rsidRPr="009114DF">
        <w:rPr>
          <w:rFonts w:ascii="Times New Roman" w:eastAsia="Times New Roman" w:hAnsi="Times New Roman"/>
          <w:sz w:val="28"/>
          <w:szCs w:val="28"/>
          <w:lang w:eastAsia="ru-RU"/>
        </w:rPr>
        <w:t>18 пациентов в группе 1 и у 20</w:t>
      </w:r>
      <w:r w:rsidR="000A6D90" w:rsidRPr="009114DF">
        <w:rPr>
          <w:rFonts w:ascii="Times New Roman" w:eastAsia="Times New Roman" w:hAnsi="Times New Roman"/>
          <w:sz w:val="28"/>
          <w:szCs w:val="28"/>
          <w:lang w:eastAsia="ru-RU"/>
        </w:rPr>
        <w:t xml:space="preserve"> </w:t>
      </w:r>
      <w:r w:rsidR="00CD2EDC" w:rsidRPr="009114DF">
        <w:rPr>
          <w:rFonts w:ascii="Times New Roman" w:eastAsia="Times New Roman" w:hAnsi="Times New Roman"/>
          <w:sz w:val="28"/>
          <w:szCs w:val="28"/>
          <w:lang w:eastAsia="ru-RU"/>
        </w:rPr>
        <w:t xml:space="preserve"> – </w:t>
      </w:r>
      <w:r w:rsidR="000A6D90" w:rsidRPr="009114DF">
        <w:rPr>
          <w:rFonts w:ascii="Times New Roman" w:eastAsia="Times New Roman" w:hAnsi="Times New Roman"/>
          <w:sz w:val="28"/>
          <w:szCs w:val="28"/>
          <w:lang w:eastAsia="ru-RU"/>
        </w:rPr>
        <w:t>в группе 2.</w:t>
      </w:r>
    </w:p>
    <w:p w:rsidR="009A3840" w:rsidRPr="009114DF" w:rsidRDefault="007C2C06" w:rsidP="009A3840">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ab/>
        <w:t xml:space="preserve"> Наибольший удельный вес в группе сопутствующих заболеваний занимает патология верхних отделов желудочно-кишечного тракта, для диагностики которой использовалась эзофагогастродуоденоскопия: </w:t>
      </w:r>
      <w:r w:rsidR="00A50795" w:rsidRPr="009114DF">
        <w:rPr>
          <w:rFonts w:ascii="Times New Roman" w:eastAsia="Times New Roman" w:hAnsi="Times New Roman"/>
          <w:sz w:val="28"/>
          <w:szCs w:val="28"/>
          <w:lang w:eastAsia="ru-RU"/>
        </w:rPr>
        <w:t xml:space="preserve">хронический гастрит выявлен у </w:t>
      </w:r>
      <w:r w:rsidR="00DE6691" w:rsidRPr="009114DF">
        <w:rPr>
          <w:rFonts w:ascii="Times New Roman" w:eastAsia="Times New Roman" w:hAnsi="Times New Roman"/>
          <w:sz w:val="28"/>
          <w:szCs w:val="28"/>
          <w:lang w:eastAsia="ru-RU"/>
        </w:rPr>
        <w:t>31</w:t>
      </w:r>
      <w:r w:rsidRPr="009114DF">
        <w:rPr>
          <w:rFonts w:ascii="Times New Roman" w:eastAsia="Times New Roman" w:hAnsi="Times New Roman"/>
          <w:sz w:val="28"/>
          <w:szCs w:val="28"/>
          <w:lang w:eastAsia="ru-RU"/>
        </w:rPr>
        <w:t xml:space="preserve"> больн</w:t>
      </w:r>
      <w:r w:rsidR="00DE6691" w:rsidRPr="009114DF">
        <w:rPr>
          <w:rFonts w:ascii="Times New Roman" w:eastAsia="Times New Roman" w:hAnsi="Times New Roman"/>
          <w:sz w:val="28"/>
          <w:szCs w:val="28"/>
          <w:lang w:eastAsia="ru-RU"/>
        </w:rPr>
        <w:t>ого в группе 1 и у 22 пациентов в группе 2. У 2</w:t>
      </w:r>
      <w:r w:rsidR="000A6D90" w:rsidRPr="009114DF">
        <w:rPr>
          <w:rFonts w:ascii="Times New Roman" w:eastAsia="Times New Roman" w:hAnsi="Times New Roman"/>
          <w:sz w:val="28"/>
          <w:szCs w:val="28"/>
          <w:lang w:eastAsia="ru-RU"/>
        </w:rPr>
        <w:t xml:space="preserve"> больных в группе 2</w:t>
      </w:r>
      <w:r w:rsidRPr="009114DF">
        <w:rPr>
          <w:rFonts w:ascii="Times New Roman" w:eastAsia="Times New Roman" w:hAnsi="Times New Roman"/>
          <w:sz w:val="28"/>
          <w:szCs w:val="28"/>
          <w:lang w:eastAsia="ru-RU"/>
        </w:rPr>
        <w:t xml:space="preserve"> </w:t>
      </w:r>
      <w:r w:rsidR="000A6D90" w:rsidRPr="009114DF">
        <w:rPr>
          <w:rFonts w:ascii="Times New Roman" w:eastAsia="Times New Roman" w:hAnsi="Times New Roman"/>
          <w:sz w:val="28"/>
          <w:szCs w:val="28"/>
          <w:lang w:eastAsia="ru-RU"/>
        </w:rPr>
        <w:t xml:space="preserve">диагностирована </w:t>
      </w:r>
      <w:r w:rsidRPr="009114DF">
        <w:rPr>
          <w:rFonts w:ascii="Times New Roman" w:eastAsia="Times New Roman" w:hAnsi="Times New Roman"/>
          <w:sz w:val="28"/>
          <w:szCs w:val="28"/>
          <w:lang w:eastAsia="ru-RU"/>
        </w:rPr>
        <w:t>язвенная болезнь желудка и</w:t>
      </w:r>
      <w:r w:rsidR="00DE6691" w:rsidRPr="009114DF">
        <w:rPr>
          <w:rFonts w:ascii="Times New Roman" w:eastAsia="Times New Roman" w:hAnsi="Times New Roman"/>
          <w:sz w:val="28"/>
          <w:szCs w:val="28"/>
          <w:lang w:eastAsia="ru-RU"/>
        </w:rPr>
        <w:t>/или</w:t>
      </w:r>
      <w:r w:rsidR="004A1DF9" w:rsidRPr="009114DF">
        <w:rPr>
          <w:rFonts w:ascii="Times New Roman" w:eastAsia="Times New Roman" w:hAnsi="Times New Roman"/>
          <w:sz w:val="28"/>
          <w:szCs w:val="28"/>
          <w:lang w:eastAsia="ru-RU"/>
        </w:rPr>
        <w:t xml:space="preserve"> двенадцатиперстной кишки.</w:t>
      </w:r>
    </w:p>
    <w:p w:rsidR="00A23B5F" w:rsidRPr="009114DF" w:rsidRDefault="007C2C06" w:rsidP="00A23B5F">
      <w:pPr>
        <w:numPr>
          <w:ilvl w:val="1"/>
          <w:numId w:val="4"/>
        </w:numPr>
        <w:spacing w:before="120" w:after="0" w:line="360" w:lineRule="auto"/>
        <w:ind w:left="1134" w:hanging="567"/>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 xml:space="preserve">Методы </w:t>
      </w:r>
      <w:r w:rsidR="00360591" w:rsidRPr="009114DF">
        <w:rPr>
          <w:rFonts w:ascii="Times New Roman" w:eastAsia="Times New Roman" w:hAnsi="Times New Roman"/>
          <w:b/>
          <w:sz w:val="28"/>
          <w:szCs w:val="28"/>
          <w:lang w:eastAsia="ru-RU"/>
        </w:rPr>
        <w:t>обследования больных</w:t>
      </w:r>
    </w:p>
    <w:p w:rsidR="0011783C" w:rsidRPr="009114DF" w:rsidRDefault="0011783C" w:rsidP="0011783C">
      <w:pPr>
        <w:spacing w:before="120" w:after="0" w:line="360" w:lineRule="auto"/>
        <w:ind w:left="1134"/>
        <w:jc w:val="both"/>
        <w:rPr>
          <w:rFonts w:ascii="Times New Roman" w:eastAsia="Times New Roman" w:hAnsi="Times New Roman"/>
          <w:b/>
          <w:sz w:val="6"/>
          <w:szCs w:val="28"/>
          <w:lang w:eastAsia="ru-RU"/>
        </w:rPr>
      </w:pPr>
    </w:p>
    <w:p w:rsidR="00E15AC7" w:rsidRPr="009114DF" w:rsidRDefault="00360591" w:rsidP="00A23B5F">
      <w:pPr>
        <w:spacing w:before="120" w:after="0" w:line="360" w:lineRule="auto"/>
        <w:ind w:firstLine="360"/>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Для вы</w:t>
      </w:r>
      <w:r w:rsidR="00661388" w:rsidRPr="009114DF">
        <w:rPr>
          <w:rFonts w:ascii="Times New Roman" w:eastAsia="Times New Roman" w:hAnsi="Times New Roman"/>
          <w:sz w:val="28"/>
          <w:szCs w:val="28"/>
          <w:lang w:eastAsia="ru-RU"/>
        </w:rPr>
        <w:t>полнения поставленных задач был</w:t>
      </w:r>
      <w:r w:rsidR="00835B10" w:rsidRPr="009114DF">
        <w:rPr>
          <w:rFonts w:ascii="Times New Roman" w:eastAsia="Times New Roman" w:hAnsi="Times New Roman"/>
          <w:sz w:val="28"/>
          <w:szCs w:val="28"/>
          <w:lang w:eastAsia="ru-RU"/>
        </w:rPr>
        <w:t>и</w:t>
      </w:r>
      <w:r w:rsidR="00661388" w:rsidRPr="009114DF">
        <w:rPr>
          <w:rFonts w:ascii="Times New Roman" w:eastAsia="Times New Roman" w:hAnsi="Times New Roman"/>
          <w:sz w:val="28"/>
          <w:szCs w:val="28"/>
          <w:lang w:eastAsia="ru-RU"/>
        </w:rPr>
        <w:t xml:space="preserve"> проведен</w:t>
      </w:r>
      <w:r w:rsidR="00835B10" w:rsidRPr="009114DF">
        <w:rPr>
          <w:rFonts w:ascii="Times New Roman" w:eastAsia="Times New Roman" w:hAnsi="Times New Roman"/>
          <w:sz w:val="28"/>
          <w:szCs w:val="28"/>
          <w:lang w:eastAsia="ru-RU"/>
        </w:rPr>
        <w:t>ы</w:t>
      </w:r>
      <w:r w:rsidR="00F02388"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специальное клиническое </w:t>
      </w:r>
      <w:r w:rsidR="00661388" w:rsidRPr="009114DF">
        <w:rPr>
          <w:rFonts w:ascii="Times New Roman" w:eastAsia="Times New Roman" w:hAnsi="Times New Roman"/>
          <w:sz w:val="28"/>
          <w:szCs w:val="28"/>
          <w:lang w:eastAsia="ru-RU"/>
        </w:rPr>
        <w:t>и инструментальное обследования, а также</w:t>
      </w:r>
      <w:r w:rsidR="00557FC7" w:rsidRPr="009114DF">
        <w:rPr>
          <w:rFonts w:ascii="Times New Roman" w:eastAsia="Times New Roman" w:hAnsi="Times New Roman"/>
          <w:sz w:val="28"/>
          <w:szCs w:val="28"/>
          <w:lang w:eastAsia="ru-RU"/>
        </w:rPr>
        <w:t xml:space="preserve"> оценка КЖ женщин в постменопаузе с диагнозом РА.</w:t>
      </w:r>
    </w:p>
    <w:p w:rsidR="0011783C" w:rsidRPr="009114DF" w:rsidRDefault="0011783C" w:rsidP="00A23B5F">
      <w:pPr>
        <w:spacing w:before="120" w:after="0" w:line="360" w:lineRule="auto"/>
        <w:ind w:firstLine="360"/>
        <w:jc w:val="both"/>
        <w:rPr>
          <w:rFonts w:ascii="Times New Roman" w:eastAsia="Times New Roman" w:hAnsi="Times New Roman"/>
          <w:b/>
          <w:sz w:val="28"/>
          <w:szCs w:val="28"/>
          <w:lang w:eastAsia="ru-RU"/>
        </w:rPr>
      </w:pPr>
    </w:p>
    <w:p w:rsidR="007C2C06" w:rsidRPr="009114DF" w:rsidRDefault="00E15D8A" w:rsidP="00E15D8A">
      <w:pPr>
        <w:spacing w:after="0" w:line="360" w:lineRule="auto"/>
        <w:ind w:left="357"/>
        <w:jc w:val="both"/>
        <w:rPr>
          <w:rFonts w:ascii="Times New Roman" w:eastAsia="Times New Roman" w:hAnsi="Times New Roman"/>
          <w:b/>
          <w:sz w:val="28"/>
          <w:szCs w:val="28"/>
          <w:lang w:eastAsia="ru-RU"/>
        </w:rPr>
      </w:pPr>
      <w:r w:rsidRPr="009114DF">
        <w:rPr>
          <w:sz w:val="28"/>
          <w:szCs w:val="28"/>
        </w:rPr>
        <w:lastRenderedPageBreak/>
        <w:t xml:space="preserve">▪ </w:t>
      </w:r>
      <w:r w:rsidR="007C2C06" w:rsidRPr="009114DF">
        <w:rPr>
          <w:rFonts w:ascii="Times New Roman" w:eastAsia="Times New Roman" w:hAnsi="Times New Roman"/>
          <w:b/>
          <w:sz w:val="28"/>
          <w:szCs w:val="28"/>
          <w:lang w:eastAsia="ru-RU"/>
        </w:rPr>
        <w:t>Специальное клиническое обследование</w:t>
      </w:r>
      <w:r w:rsidR="00661388" w:rsidRPr="009114DF">
        <w:rPr>
          <w:rFonts w:ascii="Times New Roman" w:eastAsia="Times New Roman" w:hAnsi="Times New Roman"/>
          <w:b/>
          <w:sz w:val="28"/>
          <w:szCs w:val="28"/>
          <w:lang w:eastAsia="ru-RU"/>
        </w:rPr>
        <w:t xml:space="preserve"> больных РА</w:t>
      </w:r>
    </w:p>
    <w:p w:rsidR="00B223DF" w:rsidRPr="009114DF" w:rsidRDefault="00B223DF" w:rsidP="00F71B34">
      <w:pPr>
        <w:spacing w:after="0" w:line="360" w:lineRule="auto"/>
        <w:ind w:firstLine="567"/>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Антропометрические параметры</w:t>
      </w:r>
      <w:r w:rsidR="00404230" w:rsidRPr="009114DF">
        <w:rPr>
          <w:rFonts w:ascii="Times New Roman" w:eastAsia="Times New Roman" w:hAnsi="Times New Roman"/>
          <w:sz w:val="28"/>
          <w:szCs w:val="28"/>
          <w:lang w:eastAsia="ru-RU"/>
        </w:rPr>
        <w:t>:</w:t>
      </w:r>
    </w:p>
    <w:p w:rsidR="00B223DF" w:rsidRPr="009114DF" w:rsidRDefault="003A04AE" w:rsidP="00E15D8A">
      <w:pPr>
        <w:numPr>
          <w:ilvl w:val="0"/>
          <w:numId w:val="2"/>
        </w:numPr>
        <w:spacing w:after="0" w:line="360" w:lineRule="auto"/>
        <w:ind w:firstLine="709"/>
        <w:jc w:val="both"/>
        <w:rPr>
          <w:rFonts w:ascii="Times New Roman" w:eastAsia="Times New Roman" w:hAnsi="Times New Roman"/>
          <w:sz w:val="28"/>
          <w:szCs w:val="28"/>
          <w:lang w:val="ru" w:eastAsia="ru-RU"/>
        </w:rPr>
      </w:pPr>
      <w:r w:rsidRPr="009114DF">
        <w:rPr>
          <w:rFonts w:ascii="Times New Roman" w:eastAsia="Times New Roman" w:hAnsi="Times New Roman"/>
          <w:sz w:val="28"/>
          <w:szCs w:val="28"/>
          <w:lang w:val="ru" w:eastAsia="ru-RU"/>
        </w:rPr>
        <w:t>м</w:t>
      </w:r>
      <w:r w:rsidR="00431D3F" w:rsidRPr="009114DF">
        <w:rPr>
          <w:rFonts w:ascii="Times New Roman" w:eastAsia="Times New Roman" w:hAnsi="Times New Roman"/>
          <w:sz w:val="28"/>
          <w:szCs w:val="28"/>
          <w:lang w:val="ru" w:eastAsia="ru-RU"/>
        </w:rPr>
        <w:t>асса</w:t>
      </w:r>
      <w:r w:rsidR="00B223DF" w:rsidRPr="009114DF">
        <w:rPr>
          <w:rFonts w:ascii="Times New Roman" w:eastAsia="Times New Roman" w:hAnsi="Times New Roman"/>
          <w:sz w:val="28"/>
          <w:szCs w:val="28"/>
          <w:lang w:val="ru" w:eastAsia="ru-RU"/>
        </w:rPr>
        <w:t xml:space="preserve"> тела (</w:t>
      </w:r>
      <w:proofErr w:type="gramStart"/>
      <w:r w:rsidR="00B223DF" w:rsidRPr="009114DF">
        <w:rPr>
          <w:rFonts w:ascii="Times New Roman" w:eastAsia="Times New Roman" w:hAnsi="Times New Roman"/>
          <w:sz w:val="28"/>
          <w:szCs w:val="28"/>
          <w:lang w:val="ru" w:eastAsia="ru-RU"/>
        </w:rPr>
        <w:t>кг</w:t>
      </w:r>
      <w:proofErr w:type="gramEnd"/>
      <w:r w:rsidR="00B223DF" w:rsidRPr="009114DF">
        <w:rPr>
          <w:rFonts w:ascii="Times New Roman" w:eastAsia="Times New Roman" w:hAnsi="Times New Roman"/>
          <w:sz w:val="28"/>
          <w:szCs w:val="28"/>
          <w:lang w:val="ru" w:eastAsia="ru-RU"/>
        </w:rPr>
        <w:t>)</w:t>
      </w:r>
      <w:r w:rsidR="00431D3F" w:rsidRPr="009114DF">
        <w:rPr>
          <w:rFonts w:ascii="Times New Roman" w:eastAsia="Times New Roman" w:hAnsi="Times New Roman"/>
          <w:sz w:val="28"/>
          <w:szCs w:val="28"/>
          <w:lang w:val="ru" w:eastAsia="ru-RU"/>
        </w:rPr>
        <w:t>,</w:t>
      </w:r>
      <w:r w:rsidR="00B223DF" w:rsidRPr="009114DF">
        <w:rPr>
          <w:rFonts w:ascii="Times New Roman" w:eastAsia="Times New Roman" w:hAnsi="Times New Roman"/>
          <w:sz w:val="28"/>
          <w:szCs w:val="28"/>
          <w:lang w:val="ru" w:eastAsia="ru-RU"/>
        </w:rPr>
        <w:t xml:space="preserve"> измеряли с помощью электронных медицинских весов с точностью до 0</w:t>
      </w:r>
      <w:r w:rsidRPr="009114DF">
        <w:rPr>
          <w:rFonts w:ascii="Times New Roman" w:eastAsia="Times New Roman" w:hAnsi="Times New Roman"/>
          <w:sz w:val="28"/>
          <w:szCs w:val="28"/>
          <w:lang w:val="ru" w:eastAsia="ru-RU"/>
        </w:rPr>
        <w:t>,1 кг;</w:t>
      </w:r>
    </w:p>
    <w:p w:rsidR="003A04AE" w:rsidRPr="009114DF" w:rsidRDefault="003A04AE" w:rsidP="00E15D8A">
      <w:pPr>
        <w:numPr>
          <w:ilvl w:val="0"/>
          <w:numId w:val="2"/>
        </w:numPr>
        <w:spacing w:after="0" w:line="360" w:lineRule="auto"/>
        <w:ind w:firstLine="709"/>
        <w:jc w:val="both"/>
        <w:rPr>
          <w:rFonts w:ascii="Times New Roman" w:eastAsia="Times New Roman" w:hAnsi="Times New Roman"/>
          <w:sz w:val="28"/>
          <w:szCs w:val="28"/>
          <w:lang w:val="ru" w:eastAsia="ru-RU"/>
        </w:rPr>
      </w:pPr>
      <w:r w:rsidRPr="009114DF">
        <w:rPr>
          <w:rFonts w:ascii="Times New Roman" w:eastAsia="Times New Roman" w:hAnsi="Times New Roman"/>
          <w:sz w:val="28"/>
          <w:szCs w:val="28"/>
          <w:lang w:val="ru" w:eastAsia="ru-RU"/>
        </w:rPr>
        <w:t>рост (м)</w:t>
      </w:r>
      <w:r w:rsidR="00431D3F" w:rsidRPr="009114DF">
        <w:rPr>
          <w:rFonts w:ascii="Times New Roman" w:eastAsia="Times New Roman" w:hAnsi="Times New Roman"/>
          <w:sz w:val="28"/>
          <w:szCs w:val="28"/>
          <w:lang w:val="ru" w:eastAsia="ru-RU"/>
        </w:rPr>
        <w:t>,</w:t>
      </w:r>
      <w:r w:rsidRPr="009114DF">
        <w:rPr>
          <w:rFonts w:ascii="Times New Roman" w:eastAsia="Times New Roman" w:hAnsi="Times New Roman"/>
          <w:sz w:val="28"/>
          <w:szCs w:val="28"/>
          <w:lang w:val="ru" w:eastAsia="ru-RU"/>
        </w:rPr>
        <w:t xml:space="preserve"> измеряли с помощью стандартного медицинского </w:t>
      </w:r>
      <w:r w:rsidR="001E37A7" w:rsidRPr="009114DF">
        <w:rPr>
          <w:rFonts w:ascii="Times New Roman" w:eastAsia="Times New Roman" w:hAnsi="Times New Roman"/>
          <w:sz w:val="28"/>
          <w:szCs w:val="28"/>
          <w:lang w:val="ru" w:eastAsia="ru-RU"/>
        </w:rPr>
        <w:t>ростомера с точностью до 0,01 м;</w:t>
      </w:r>
    </w:p>
    <w:p w:rsidR="001E37A7" w:rsidRPr="009114DF" w:rsidRDefault="00431D3F" w:rsidP="00E15D8A">
      <w:pPr>
        <w:numPr>
          <w:ilvl w:val="0"/>
          <w:numId w:val="2"/>
        </w:numPr>
        <w:spacing w:after="0" w:line="360" w:lineRule="auto"/>
        <w:ind w:firstLine="709"/>
        <w:jc w:val="both"/>
        <w:rPr>
          <w:rFonts w:ascii="Times New Roman" w:eastAsia="Times New Roman" w:hAnsi="Times New Roman"/>
          <w:sz w:val="28"/>
          <w:szCs w:val="28"/>
          <w:lang w:val="ru" w:eastAsia="ru-RU"/>
        </w:rPr>
      </w:pPr>
      <w:r w:rsidRPr="009114DF">
        <w:rPr>
          <w:rFonts w:ascii="Times New Roman" w:eastAsia="Times New Roman" w:hAnsi="Times New Roman"/>
          <w:sz w:val="28"/>
          <w:szCs w:val="28"/>
          <w:lang w:val="ru" w:eastAsia="ru-RU"/>
        </w:rPr>
        <w:t>ИМТ,</w:t>
      </w:r>
      <w:r w:rsidR="003A04AE" w:rsidRPr="009114DF">
        <w:rPr>
          <w:rFonts w:ascii="Times New Roman" w:eastAsia="Times New Roman" w:hAnsi="Times New Roman"/>
          <w:sz w:val="28"/>
          <w:szCs w:val="28"/>
          <w:lang w:val="ru" w:eastAsia="ru-RU"/>
        </w:rPr>
        <w:t xml:space="preserve"> рассчитывали как отношение массы тела (кг) к росту (м</w:t>
      </w:r>
      <w:proofErr w:type="gramStart"/>
      <w:r w:rsidR="003A04AE" w:rsidRPr="009114DF">
        <w:rPr>
          <w:rFonts w:ascii="Times New Roman" w:eastAsia="Times New Roman" w:hAnsi="Times New Roman"/>
          <w:sz w:val="28"/>
          <w:szCs w:val="28"/>
          <w:vertAlign w:val="superscript"/>
          <w:lang w:val="ru" w:eastAsia="ru-RU"/>
        </w:rPr>
        <w:t>2</w:t>
      </w:r>
      <w:proofErr w:type="gramEnd"/>
      <w:r w:rsidR="003A04AE" w:rsidRPr="009114DF">
        <w:rPr>
          <w:rFonts w:ascii="Times New Roman" w:eastAsia="Times New Roman" w:hAnsi="Times New Roman"/>
          <w:sz w:val="28"/>
          <w:szCs w:val="28"/>
          <w:lang w:val="ru" w:eastAsia="ru-RU"/>
        </w:rPr>
        <w:t>). ИМТ менее 18,5 кг/м оценивал</w:t>
      </w:r>
      <w:r w:rsidR="00B74106" w:rsidRPr="009114DF">
        <w:rPr>
          <w:rFonts w:ascii="Times New Roman" w:eastAsia="Times New Roman" w:hAnsi="Times New Roman"/>
          <w:sz w:val="28"/>
          <w:szCs w:val="28"/>
          <w:lang w:val="ru" w:eastAsia="ru-RU"/>
        </w:rPr>
        <w:t>и</w:t>
      </w:r>
      <w:r w:rsidR="003A04AE" w:rsidRPr="009114DF">
        <w:rPr>
          <w:rFonts w:ascii="Times New Roman" w:eastAsia="Times New Roman" w:hAnsi="Times New Roman"/>
          <w:sz w:val="28"/>
          <w:szCs w:val="28"/>
          <w:lang w:val="ru" w:eastAsia="ru-RU"/>
        </w:rPr>
        <w:t xml:space="preserve"> как снижение массы тела, от 18,5 до</w:t>
      </w:r>
      <w:r w:rsidR="00E15D8A" w:rsidRPr="009114DF">
        <w:rPr>
          <w:rFonts w:ascii="Times New Roman" w:eastAsia="Times New Roman" w:hAnsi="Times New Roman"/>
          <w:sz w:val="28"/>
          <w:szCs w:val="28"/>
          <w:lang w:val="ru" w:eastAsia="ru-RU"/>
        </w:rPr>
        <w:br/>
      </w:r>
      <w:r w:rsidR="003A04AE" w:rsidRPr="009114DF">
        <w:rPr>
          <w:rFonts w:ascii="Times New Roman" w:eastAsia="Times New Roman" w:hAnsi="Times New Roman"/>
          <w:sz w:val="28"/>
          <w:szCs w:val="28"/>
          <w:lang w:val="ru" w:eastAsia="ru-RU"/>
        </w:rPr>
        <w:t>24,9 кг/м</w:t>
      </w:r>
      <w:proofErr w:type="gramStart"/>
      <w:r w:rsidR="003A04AE" w:rsidRPr="009114DF">
        <w:rPr>
          <w:rFonts w:ascii="Times New Roman" w:eastAsia="Times New Roman" w:hAnsi="Times New Roman"/>
          <w:sz w:val="28"/>
          <w:szCs w:val="28"/>
          <w:vertAlign w:val="superscript"/>
          <w:lang w:val="ru" w:eastAsia="ru-RU"/>
        </w:rPr>
        <w:t>2</w:t>
      </w:r>
      <w:proofErr w:type="gramEnd"/>
      <w:r w:rsidR="003A04AE" w:rsidRPr="009114DF">
        <w:rPr>
          <w:rFonts w:ascii="Times New Roman" w:eastAsia="Times New Roman" w:hAnsi="Times New Roman"/>
          <w:sz w:val="28"/>
          <w:szCs w:val="28"/>
          <w:vertAlign w:val="superscript"/>
          <w:lang w:val="ru" w:eastAsia="ru-RU"/>
        </w:rPr>
        <w:t xml:space="preserve"> </w:t>
      </w:r>
      <w:r w:rsidR="00B74106" w:rsidRPr="009114DF">
        <w:rPr>
          <w:rFonts w:ascii="Times New Roman" w:eastAsia="Times New Roman" w:hAnsi="Times New Roman"/>
          <w:sz w:val="28"/>
          <w:szCs w:val="28"/>
          <w:lang w:val="ru" w:eastAsia="ru-RU"/>
        </w:rPr>
        <w:t xml:space="preserve">‒ </w:t>
      </w:r>
      <w:r w:rsidR="003A04AE" w:rsidRPr="009114DF">
        <w:rPr>
          <w:rFonts w:ascii="Times New Roman" w:eastAsia="Times New Roman" w:hAnsi="Times New Roman"/>
          <w:sz w:val="28"/>
          <w:szCs w:val="28"/>
          <w:lang w:val="ru" w:eastAsia="ru-RU"/>
        </w:rPr>
        <w:t xml:space="preserve">признак гармоничной физической конституции, </w:t>
      </w:r>
      <w:r w:rsidR="00B74106" w:rsidRPr="009114DF">
        <w:rPr>
          <w:rFonts w:ascii="Times New Roman" w:eastAsia="Times New Roman" w:hAnsi="Times New Roman"/>
          <w:sz w:val="28"/>
          <w:szCs w:val="28"/>
          <w:lang w:val="ru" w:eastAsia="ru-RU"/>
        </w:rPr>
        <w:t xml:space="preserve">от </w:t>
      </w:r>
      <w:r w:rsidR="003A04AE" w:rsidRPr="009114DF">
        <w:rPr>
          <w:rFonts w:ascii="Times New Roman" w:eastAsia="Times New Roman" w:hAnsi="Times New Roman"/>
          <w:sz w:val="28"/>
          <w:szCs w:val="28"/>
          <w:lang w:val="ru" w:eastAsia="ru-RU"/>
        </w:rPr>
        <w:t>25</w:t>
      </w:r>
      <w:r w:rsidR="00B74106" w:rsidRPr="009114DF">
        <w:rPr>
          <w:rFonts w:ascii="Times New Roman" w:eastAsia="Times New Roman" w:hAnsi="Times New Roman"/>
          <w:sz w:val="28"/>
          <w:szCs w:val="28"/>
          <w:lang w:val="ru" w:eastAsia="ru-RU"/>
        </w:rPr>
        <w:t xml:space="preserve"> до</w:t>
      </w:r>
      <w:r w:rsidR="00E15D8A" w:rsidRPr="009114DF">
        <w:rPr>
          <w:rFonts w:ascii="Times New Roman" w:eastAsia="Times New Roman" w:hAnsi="Times New Roman"/>
          <w:sz w:val="28"/>
          <w:szCs w:val="28"/>
          <w:lang w:val="ru" w:eastAsia="ru-RU"/>
        </w:rPr>
        <w:br/>
      </w:r>
      <w:r w:rsidR="003A04AE" w:rsidRPr="009114DF">
        <w:rPr>
          <w:rFonts w:ascii="Times New Roman" w:eastAsia="Times New Roman" w:hAnsi="Times New Roman"/>
          <w:sz w:val="28"/>
          <w:szCs w:val="28"/>
          <w:lang w:val="ru" w:eastAsia="ru-RU"/>
        </w:rPr>
        <w:t>29,9 кг/м</w:t>
      </w:r>
      <w:r w:rsidR="003A04AE" w:rsidRPr="009114DF">
        <w:rPr>
          <w:rFonts w:ascii="Times New Roman" w:eastAsia="Times New Roman" w:hAnsi="Times New Roman"/>
          <w:sz w:val="28"/>
          <w:szCs w:val="28"/>
          <w:vertAlign w:val="superscript"/>
          <w:lang w:val="ru" w:eastAsia="ru-RU"/>
        </w:rPr>
        <w:t>2</w:t>
      </w:r>
      <w:r w:rsidR="00B74106" w:rsidRPr="009114DF">
        <w:rPr>
          <w:rFonts w:ascii="Times New Roman" w:eastAsia="Times New Roman" w:hAnsi="Times New Roman"/>
          <w:sz w:val="28"/>
          <w:szCs w:val="28"/>
          <w:lang w:val="ru" w:eastAsia="ru-RU"/>
        </w:rPr>
        <w:t xml:space="preserve"> ‒ избыточная</w:t>
      </w:r>
      <w:r w:rsidR="003A04AE" w:rsidRPr="009114DF">
        <w:rPr>
          <w:rFonts w:ascii="Times New Roman" w:eastAsia="Times New Roman" w:hAnsi="Times New Roman"/>
          <w:sz w:val="28"/>
          <w:szCs w:val="28"/>
          <w:lang w:val="ru" w:eastAsia="ru-RU"/>
        </w:rPr>
        <w:t xml:space="preserve"> масс</w:t>
      </w:r>
      <w:r w:rsidR="00B74106" w:rsidRPr="009114DF">
        <w:rPr>
          <w:rFonts w:ascii="Times New Roman" w:eastAsia="Times New Roman" w:hAnsi="Times New Roman"/>
          <w:sz w:val="28"/>
          <w:szCs w:val="28"/>
          <w:lang w:val="ru" w:eastAsia="ru-RU"/>
        </w:rPr>
        <w:t xml:space="preserve">а тела, от </w:t>
      </w:r>
      <w:r w:rsidR="003A04AE" w:rsidRPr="009114DF">
        <w:rPr>
          <w:rFonts w:ascii="Times New Roman" w:eastAsia="Times New Roman" w:hAnsi="Times New Roman"/>
          <w:sz w:val="28"/>
          <w:szCs w:val="28"/>
          <w:lang w:val="ru" w:eastAsia="ru-RU"/>
        </w:rPr>
        <w:t>30</w:t>
      </w:r>
      <w:r w:rsidR="00B74106" w:rsidRPr="009114DF">
        <w:rPr>
          <w:rFonts w:ascii="Times New Roman" w:eastAsia="Times New Roman" w:hAnsi="Times New Roman"/>
          <w:sz w:val="28"/>
          <w:szCs w:val="28"/>
          <w:lang w:val="ru" w:eastAsia="ru-RU"/>
        </w:rPr>
        <w:t xml:space="preserve"> до </w:t>
      </w:r>
      <w:r w:rsidR="003A04AE" w:rsidRPr="009114DF">
        <w:rPr>
          <w:rFonts w:ascii="Times New Roman" w:eastAsia="Times New Roman" w:hAnsi="Times New Roman"/>
          <w:sz w:val="28"/>
          <w:szCs w:val="28"/>
          <w:lang w:val="ru" w:eastAsia="ru-RU"/>
        </w:rPr>
        <w:t>34,9 кг/м</w:t>
      </w:r>
      <w:r w:rsidR="00B74106" w:rsidRPr="009114DF">
        <w:rPr>
          <w:rFonts w:ascii="Times New Roman" w:eastAsia="Times New Roman" w:hAnsi="Times New Roman"/>
          <w:sz w:val="28"/>
          <w:szCs w:val="28"/>
          <w:vertAlign w:val="superscript"/>
          <w:lang w:val="ru" w:eastAsia="ru-RU"/>
        </w:rPr>
        <w:t xml:space="preserve">2 </w:t>
      </w:r>
      <w:r w:rsidR="00B74106" w:rsidRPr="009114DF">
        <w:rPr>
          <w:rFonts w:ascii="Times New Roman" w:eastAsia="Times New Roman" w:hAnsi="Times New Roman"/>
          <w:sz w:val="28"/>
          <w:szCs w:val="28"/>
          <w:lang w:val="ru" w:eastAsia="ru-RU"/>
        </w:rPr>
        <w:t>‒</w:t>
      </w:r>
      <w:r w:rsidR="00B74106" w:rsidRPr="009114DF">
        <w:rPr>
          <w:rFonts w:ascii="Times New Roman" w:eastAsia="Times New Roman" w:hAnsi="Times New Roman"/>
          <w:sz w:val="28"/>
          <w:szCs w:val="28"/>
          <w:vertAlign w:val="superscript"/>
          <w:lang w:val="ru" w:eastAsia="ru-RU"/>
        </w:rPr>
        <w:t xml:space="preserve"> </w:t>
      </w:r>
      <w:r w:rsidR="003A04AE" w:rsidRPr="009114DF">
        <w:rPr>
          <w:rFonts w:ascii="Times New Roman" w:eastAsia="Times New Roman" w:hAnsi="Times New Roman"/>
          <w:sz w:val="28"/>
          <w:szCs w:val="28"/>
          <w:lang w:val="ru" w:eastAsia="ru-RU"/>
        </w:rPr>
        <w:t xml:space="preserve">ожирение  I степени, </w:t>
      </w:r>
      <w:r w:rsidR="00B74106" w:rsidRPr="009114DF">
        <w:rPr>
          <w:rFonts w:ascii="Times New Roman" w:eastAsia="Times New Roman" w:hAnsi="Times New Roman"/>
          <w:sz w:val="28"/>
          <w:szCs w:val="28"/>
          <w:lang w:val="ru" w:eastAsia="ru-RU"/>
        </w:rPr>
        <w:t xml:space="preserve">от 35 до </w:t>
      </w:r>
      <w:r w:rsidR="003A04AE" w:rsidRPr="009114DF">
        <w:rPr>
          <w:rFonts w:ascii="Times New Roman" w:eastAsia="Times New Roman" w:hAnsi="Times New Roman"/>
          <w:sz w:val="28"/>
          <w:szCs w:val="28"/>
          <w:lang w:val="ru" w:eastAsia="ru-RU"/>
        </w:rPr>
        <w:t>39,9 кг/м</w:t>
      </w:r>
      <w:r w:rsidR="003A04AE" w:rsidRPr="009114DF">
        <w:rPr>
          <w:rFonts w:ascii="Times New Roman" w:eastAsia="Times New Roman" w:hAnsi="Times New Roman"/>
          <w:sz w:val="28"/>
          <w:szCs w:val="28"/>
          <w:vertAlign w:val="superscript"/>
          <w:lang w:val="ru" w:eastAsia="ru-RU"/>
        </w:rPr>
        <w:t>2</w:t>
      </w:r>
      <w:r w:rsidR="00CD2EDC" w:rsidRPr="009114DF">
        <w:rPr>
          <w:rFonts w:ascii="Times New Roman" w:eastAsia="Times New Roman" w:hAnsi="Times New Roman"/>
          <w:sz w:val="28"/>
          <w:szCs w:val="28"/>
          <w:lang w:val="ru" w:eastAsia="ru-RU"/>
        </w:rPr>
        <w:t xml:space="preserve"> – </w:t>
      </w:r>
      <w:r w:rsidR="003A04AE" w:rsidRPr="009114DF">
        <w:rPr>
          <w:rFonts w:ascii="Times New Roman" w:eastAsia="Times New Roman" w:hAnsi="Times New Roman"/>
          <w:sz w:val="28"/>
          <w:szCs w:val="28"/>
          <w:lang w:val="ru" w:eastAsia="ru-RU"/>
        </w:rPr>
        <w:t xml:space="preserve">ожирение II степени, </w:t>
      </w:r>
      <w:r w:rsidR="00B74106" w:rsidRPr="009114DF">
        <w:rPr>
          <w:rFonts w:ascii="Times New Roman" w:eastAsia="Times New Roman" w:hAnsi="Times New Roman"/>
          <w:sz w:val="28"/>
          <w:szCs w:val="28"/>
          <w:lang w:val="ru" w:eastAsia="ru-RU"/>
        </w:rPr>
        <w:t>более</w:t>
      </w:r>
      <w:r w:rsidR="003A04AE" w:rsidRPr="009114DF">
        <w:rPr>
          <w:rFonts w:ascii="Times New Roman" w:eastAsia="Times New Roman" w:hAnsi="Times New Roman"/>
          <w:sz w:val="28"/>
          <w:szCs w:val="28"/>
          <w:lang w:val="ru" w:eastAsia="ru-RU"/>
        </w:rPr>
        <w:t xml:space="preserve"> 40 кг/м</w:t>
      </w:r>
      <w:r w:rsidR="003A04AE" w:rsidRPr="009114DF">
        <w:rPr>
          <w:rFonts w:ascii="Times New Roman" w:eastAsia="Times New Roman" w:hAnsi="Times New Roman"/>
          <w:sz w:val="28"/>
          <w:szCs w:val="28"/>
          <w:vertAlign w:val="superscript"/>
          <w:lang w:val="ru" w:eastAsia="ru-RU"/>
        </w:rPr>
        <w:t>2</w:t>
      </w:r>
      <w:r w:rsidR="00CD2EDC" w:rsidRPr="009114DF">
        <w:rPr>
          <w:rFonts w:ascii="Times New Roman" w:eastAsia="Times New Roman" w:hAnsi="Times New Roman"/>
          <w:sz w:val="28"/>
          <w:szCs w:val="28"/>
          <w:lang w:val="ru" w:eastAsia="ru-RU"/>
        </w:rPr>
        <w:t xml:space="preserve"> – </w:t>
      </w:r>
      <w:r w:rsidR="00B74106" w:rsidRPr="009114DF">
        <w:rPr>
          <w:rFonts w:ascii="Times New Roman" w:eastAsia="Times New Roman" w:hAnsi="Times New Roman"/>
          <w:sz w:val="28"/>
          <w:szCs w:val="28"/>
          <w:lang w:val="ru" w:eastAsia="ru-RU"/>
        </w:rPr>
        <w:t>ожирение</w:t>
      </w:r>
      <w:r w:rsidR="00E15D8A" w:rsidRPr="009114DF">
        <w:rPr>
          <w:rFonts w:ascii="Times New Roman" w:eastAsia="Times New Roman" w:hAnsi="Times New Roman"/>
          <w:sz w:val="28"/>
          <w:szCs w:val="28"/>
          <w:lang w:val="ru" w:eastAsia="ru-RU"/>
        </w:rPr>
        <w:br/>
      </w:r>
      <w:r w:rsidR="00A2664D" w:rsidRPr="009114DF">
        <w:rPr>
          <w:rFonts w:ascii="Times New Roman" w:eastAsia="Times New Roman" w:hAnsi="Times New Roman"/>
          <w:sz w:val="28"/>
          <w:szCs w:val="28"/>
          <w:lang w:val="ru" w:eastAsia="ru-RU"/>
        </w:rPr>
        <w:t xml:space="preserve">III степени </w:t>
      </w:r>
      <w:r w:rsidR="007308E8" w:rsidRPr="009114DF">
        <w:rPr>
          <w:rFonts w:ascii="Times New Roman" w:eastAsia="Times New Roman" w:hAnsi="Times New Roman"/>
          <w:sz w:val="28"/>
          <w:szCs w:val="28"/>
          <w:lang w:val="ru" w:eastAsia="ru-RU"/>
        </w:rPr>
        <w:t>[74</w:t>
      </w:r>
      <w:r w:rsidR="001E37A7" w:rsidRPr="009114DF">
        <w:rPr>
          <w:rFonts w:ascii="Times New Roman" w:eastAsia="Times New Roman" w:hAnsi="Times New Roman"/>
          <w:sz w:val="28"/>
          <w:szCs w:val="28"/>
          <w:lang w:val="ru" w:eastAsia="ru-RU"/>
        </w:rPr>
        <w:t>]</w:t>
      </w:r>
      <w:r w:rsidR="00E15D8A" w:rsidRPr="009114DF">
        <w:rPr>
          <w:rFonts w:ascii="Times New Roman" w:eastAsia="Times New Roman" w:hAnsi="Times New Roman"/>
          <w:sz w:val="28"/>
          <w:szCs w:val="28"/>
          <w:lang w:val="ru" w:eastAsia="ru-RU"/>
        </w:rPr>
        <w:t>.</w:t>
      </w:r>
    </w:p>
    <w:p w:rsidR="00661388"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Определение степени активности</w:t>
      </w:r>
      <w:r w:rsidRPr="009114DF">
        <w:rPr>
          <w:rFonts w:ascii="Times New Roman" w:eastAsia="Times New Roman" w:hAnsi="Times New Roman"/>
          <w:b/>
          <w:sz w:val="28"/>
          <w:szCs w:val="28"/>
          <w:lang w:eastAsia="ru-RU"/>
        </w:rPr>
        <w:t xml:space="preserve"> </w:t>
      </w:r>
    </w:p>
    <w:p w:rsidR="007C2C06"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 настоящее время, наиболее инфор</w:t>
      </w:r>
      <w:r w:rsidR="00431D3F" w:rsidRPr="009114DF">
        <w:rPr>
          <w:rFonts w:ascii="Times New Roman" w:eastAsia="Times New Roman" w:hAnsi="Times New Roman"/>
          <w:sz w:val="28"/>
          <w:szCs w:val="28"/>
          <w:lang w:eastAsia="ru-RU"/>
        </w:rPr>
        <w:t>мативным показателем, оценивающи</w:t>
      </w:r>
      <w:r w:rsidRPr="009114DF">
        <w:rPr>
          <w:rFonts w:ascii="Times New Roman" w:eastAsia="Times New Roman" w:hAnsi="Times New Roman"/>
          <w:sz w:val="28"/>
          <w:szCs w:val="28"/>
          <w:lang w:eastAsia="ru-RU"/>
        </w:rPr>
        <w:t xml:space="preserve">м активность заболевания, является индекс </w:t>
      </w:r>
      <w:r w:rsidRPr="009114DF">
        <w:rPr>
          <w:rFonts w:ascii="Times New Roman" w:eastAsia="Times New Roman" w:hAnsi="Times New Roman"/>
          <w:sz w:val="28"/>
          <w:szCs w:val="28"/>
          <w:lang w:val="en-US" w:eastAsia="ru-RU"/>
        </w:rPr>
        <w:t>DAS</w:t>
      </w:r>
      <w:r w:rsidRPr="009114DF">
        <w:rPr>
          <w:rFonts w:ascii="Times New Roman" w:eastAsia="Times New Roman" w:hAnsi="Times New Roman"/>
          <w:sz w:val="28"/>
          <w:szCs w:val="28"/>
          <w:lang w:eastAsia="ru-RU"/>
        </w:rPr>
        <w:t>28, который рассчитывается</w:t>
      </w:r>
      <w:r w:rsidR="00431D3F" w:rsidRPr="009114DF">
        <w:rPr>
          <w:rFonts w:ascii="Times New Roman" w:eastAsia="Times New Roman" w:hAnsi="Times New Roman"/>
          <w:sz w:val="28"/>
          <w:szCs w:val="28"/>
          <w:lang w:eastAsia="ru-RU"/>
        </w:rPr>
        <w:t xml:space="preserve"> по следующей формуле</w:t>
      </w:r>
      <w:r w:rsidRPr="009114DF">
        <w:rPr>
          <w:rFonts w:ascii="Times New Roman" w:eastAsia="Times New Roman" w:hAnsi="Times New Roman"/>
          <w:sz w:val="28"/>
          <w:szCs w:val="28"/>
          <w:lang w:eastAsia="ru-RU"/>
        </w:rPr>
        <w:t>:</w:t>
      </w:r>
    </w:p>
    <w:p w:rsidR="007C2C06" w:rsidRPr="009114DF" w:rsidRDefault="007C2C06" w:rsidP="00E15D8A">
      <w:pPr>
        <w:spacing w:before="80" w:after="80" w:line="360" w:lineRule="auto"/>
        <w:jc w:val="center"/>
        <w:rPr>
          <w:rFonts w:ascii="Times New Roman" w:eastAsia="Times New Roman" w:hAnsi="Times New Roman"/>
          <w:sz w:val="28"/>
          <w:szCs w:val="28"/>
          <w:lang w:eastAsia="ru-RU"/>
        </w:rPr>
      </w:pPr>
      <w:r w:rsidRPr="009114DF">
        <w:rPr>
          <w:rFonts w:ascii="Times New Roman" w:eastAsia="Times New Roman" w:hAnsi="Times New Roman"/>
          <w:sz w:val="28"/>
          <w:szCs w:val="28"/>
          <w:lang w:val="en-US" w:eastAsia="ru-RU"/>
        </w:rPr>
        <w:t>DAS</w:t>
      </w:r>
      <w:r w:rsidRPr="009114DF">
        <w:rPr>
          <w:rFonts w:ascii="Times New Roman" w:eastAsia="Times New Roman" w:hAnsi="Times New Roman"/>
          <w:sz w:val="28"/>
          <w:szCs w:val="28"/>
          <w:lang w:eastAsia="ru-RU"/>
        </w:rPr>
        <w:t>28 – 4 (4 параметра) =0</w:t>
      </w:r>
      <w:proofErr w:type="gramStart"/>
      <w:r w:rsidRPr="009114DF">
        <w:rPr>
          <w:rFonts w:ascii="Times New Roman" w:eastAsia="Times New Roman" w:hAnsi="Times New Roman"/>
          <w:sz w:val="28"/>
          <w:szCs w:val="28"/>
          <w:lang w:eastAsia="ru-RU"/>
        </w:rPr>
        <w:t>,56</w:t>
      </w:r>
      <w:proofErr w:type="gramEnd"/>
      <w:r w:rsidRPr="009114DF">
        <w:rPr>
          <w:rFonts w:ascii="Times New Roman" w:eastAsia="Times New Roman" w:hAnsi="Times New Roman"/>
          <w:sz w:val="28"/>
          <w:szCs w:val="28"/>
          <w:lang w:eastAsia="ru-RU"/>
        </w:rPr>
        <w:t xml:space="preserve"> </w:t>
      </w:r>
      <w:r w:rsidR="00E15D8A"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sqrt</w:t>
      </w:r>
      <w:r w:rsidRPr="009114DF">
        <w:rPr>
          <w:rFonts w:ascii="Times New Roman" w:eastAsia="Times New Roman" w:hAnsi="Times New Roman"/>
          <w:sz w:val="28"/>
          <w:szCs w:val="28"/>
          <w:lang w:eastAsia="ru-RU"/>
        </w:rPr>
        <w:t xml:space="preserve"> (ЧБС28) + 0,28 х </w:t>
      </w:r>
      <w:r w:rsidRPr="009114DF">
        <w:rPr>
          <w:rFonts w:ascii="Times New Roman" w:eastAsia="Times New Roman" w:hAnsi="Times New Roman"/>
          <w:sz w:val="28"/>
          <w:szCs w:val="28"/>
          <w:lang w:val="en-US" w:eastAsia="ru-RU"/>
        </w:rPr>
        <w:t>sqrt</w:t>
      </w:r>
      <w:r w:rsidRPr="009114DF">
        <w:rPr>
          <w:rFonts w:ascii="Times New Roman" w:eastAsia="Times New Roman" w:hAnsi="Times New Roman"/>
          <w:sz w:val="28"/>
          <w:szCs w:val="28"/>
          <w:lang w:eastAsia="ru-RU"/>
        </w:rPr>
        <w:t xml:space="preserve"> (ЧПС28) +0,70 </w:t>
      </w:r>
      <w:r w:rsidR="00E15D8A" w:rsidRPr="009114DF">
        <w:rPr>
          <w:rFonts w:ascii="Times New Roman" w:eastAsia="Times New Roman" w:hAnsi="Times New Roman"/>
          <w:sz w:val="28"/>
          <w:szCs w:val="28"/>
          <w:lang w:eastAsia="ru-RU"/>
        </w:rPr>
        <w:t>×</w:t>
      </w:r>
      <w:r w:rsidR="00E15D8A" w:rsidRPr="009114DF">
        <w:rPr>
          <w:rFonts w:ascii="Times New Roman" w:eastAsia="Times New Roman" w:hAnsi="Times New Roman"/>
          <w:sz w:val="28"/>
          <w:szCs w:val="28"/>
          <w:lang w:eastAsia="ru-RU"/>
        </w:rPr>
        <w:br/>
        <w:t xml:space="preserve">× </w:t>
      </w:r>
      <w:r w:rsidRPr="009114DF">
        <w:rPr>
          <w:rFonts w:ascii="Times New Roman" w:eastAsia="Times New Roman" w:hAnsi="Times New Roman"/>
          <w:sz w:val="28"/>
          <w:szCs w:val="28"/>
          <w:lang w:val="en-US" w:eastAsia="ru-RU"/>
        </w:rPr>
        <w:t>ln</w:t>
      </w:r>
      <w:r w:rsidRPr="009114DF">
        <w:rPr>
          <w:rFonts w:ascii="Times New Roman" w:eastAsia="Times New Roman" w:hAnsi="Times New Roman"/>
          <w:sz w:val="28"/>
          <w:szCs w:val="28"/>
          <w:lang w:eastAsia="ru-RU"/>
        </w:rPr>
        <w:t xml:space="preserve"> (СОЭ) + 0,014 ОСЗ,</w:t>
      </w:r>
    </w:p>
    <w:p w:rsidR="007C2C06" w:rsidRPr="009114DF" w:rsidRDefault="007C2C06" w:rsidP="00E15D8A">
      <w:pPr>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где </w:t>
      </w:r>
      <w:r w:rsidRPr="009114DF">
        <w:rPr>
          <w:rFonts w:ascii="Times New Roman" w:eastAsia="Times New Roman" w:hAnsi="Times New Roman"/>
          <w:sz w:val="28"/>
          <w:szCs w:val="28"/>
          <w:lang w:val="en-US" w:eastAsia="ru-RU"/>
        </w:rPr>
        <w:t>sqrt</w:t>
      </w:r>
      <w:r w:rsidRPr="009114DF">
        <w:rPr>
          <w:rFonts w:ascii="Times New Roman" w:eastAsia="Times New Roman" w:hAnsi="Times New Roman"/>
          <w:sz w:val="28"/>
          <w:szCs w:val="28"/>
          <w:lang w:eastAsia="ru-RU"/>
        </w:rPr>
        <w:t xml:space="preserve"> – корень квадрат</w:t>
      </w:r>
      <w:r w:rsidR="007F2511" w:rsidRPr="009114DF">
        <w:rPr>
          <w:rFonts w:ascii="Times New Roman" w:eastAsia="Times New Roman" w:hAnsi="Times New Roman"/>
          <w:sz w:val="28"/>
          <w:szCs w:val="28"/>
          <w:lang w:eastAsia="ru-RU"/>
        </w:rPr>
        <w:t>ный</w:t>
      </w:r>
      <w:r w:rsidRPr="009114DF">
        <w:rPr>
          <w:rFonts w:ascii="Times New Roman" w:eastAsia="Times New Roman" w:hAnsi="Times New Roman"/>
          <w:sz w:val="28"/>
          <w:szCs w:val="28"/>
          <w:lang w:eastAsia="ru-RU"/>
        </w:rPr>
        <w:t xml:space="preserve">, СОЭ – скорость оседания эритроцитов (мм/ч) (методика по Панченко), </w:t>
      </w:r>
      <w:r w:rsidRPr="009114DF">
        <w:rPr>
          <w:rFonts w:ascii="Times New Roman" w:eastAsia="Times New Roman" w:hAnsi="Times New Roman"/>
          <w:sz w:val="28"/>
          <w:szCs w:val="28"/>
          <w:lang w:val="en-US" w:eastAsia="ru-RU"/>
        </w:rPr>
        <w:t>ln</w:t>
      </w:r>
      <w:r w:rsidRPr="009114DF">
        <w:rPr>
          <w:rFonts w:ascii="Times New Roman" w:eastAsia="Times New Roman" w:hAnsi="Times New Roman"/>
          <w:sz w:val="28"/>
          <w:szCs w:val="28"/>
          <w:lang w:eastAsia="ru-RU"/>
        </w:rPr>
        <w:t xml:space="preserve"> – натуральный логарифм, ЧБС – число болезненных суставов, ЧПС – число припухших суставов, ОСЗ – общее состояние здоровья или общая оценка активности </w:t>
      </w:r>
      <w:proofErr w:type="gramStart"/>
      <w:r w:rsidRPr="009114DF">
        <w:rPr>
          <w:rFonts w:ascii="Times New Roman" w:eastAsia="Times New Roman" w:hAnsi="Times New Roman"/>
          <w:sz w:val="28"/>
          <w:szCs w:val="28"/>
          <w:lang w:eastAsia="ru-RU"/>
        </w:rPr>
        <w:t>заболевания</w:t>
      </w:r>
      <w:proofErr w:type="gramEnd"/>
      <w:r w:rsidRPr="009114DF">
        <w:rPr>
          <w:rFonts w:ascii="Times New Roman" w:eastAsia="Times New Roman" w:hAnsi="Times New Roman"/>
          <w:sz w:val="28"/>
          <w:szCs w:val="28"/>
          <w:lang w:eastAsia="ru-RU"/>
        </w:rPr>
        <w:t xml:space="preserve"> по мнению пациента (100 мм визуальная аналоговая шкала – ВАШ). </w:t>
      </w:r>
    </w:p>
    <w:p w:rsidR="00661388"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ab/>
        <w:t xml:space="preserve">Значение индекса </w:t>
      </w:r>
      <w:r w:rsidRPr="009114DF">
        <w:rPr>
          <w:rFonts w:ascii="Times New Roman" w:eastAsia="Times New Roman" w:hAnsi="Times New Roman"/>
          <w:sz w:val="28"/>
          <w:szCs w:val="28"/>
          <w:lang w:val="en-US" w:eastAsia="ru-RU"/>
        </w:rPr>
        <w:t>DAS</w:t>
      </w:r>
      <w:r w:rsidRPr="009114DF">
        <w:rPr>
          <w:rFonts w:ascii="Times New Roman" w:eastAsia="Times New Roman" w:hAnsi="Times New Roman"/>
          <w:sz w:val="28"/>
          <w:szCs w:val="28"/>
          <w:lang w:eastAsia="ru-RU"/>
        </w:rPr>
        <w:t>2</w:t>
      </w:r>
      <w:r w:rsidR="00DA76F0" w:rsidRPr="009114DF">
        <w:rPr>
          <w:rFonts w:ascii="Times New Roman" w:eastAsia="Times New Roman" w:hAnsi="Times New Roman"/>
          <w:sz w:val="28"/>
          <w:szCs w:val="28"/>
          <w:lang w:eastAsia="ru-RU"/>
        </w:rPr>
        <w:t>8</w:t>
      </w:r>
      <w:r w:rsidR="00404230" w:rsidRPr="009114DF">
        <w:rPr>
          <w:rFonts w:ascii="Times New Roman" w:eastAsia="Times New Roman" w:hAnsi="Times New Roman"/>
          <w:sz w:val="28"/>
          <w:szCs w:val="28"/>
          <w:lang w:eastAsia="ru-RU"/>
        </w:rPr>
        <w:t xml:space="preserve"> </w:t>
      </w:r>
      <w:r w:rsidR="00431D3F" w:rsidRPr="009114DF">
        <w:rPr>
          <w:rFonts w:ascii="Times New Roman" w:eastAsia="Times New Roman" w:hAnsi="Times New Roman"/>
          <w:sz w:val="28"/>
          <w:szCs w:val="28"/>
          <w:lang w:eastAsia="ru-RU"/>
        </w:rPr>
        <w:t>&lt;3,2</w:t>
      </w:r>
      <w:r w:rsidR="00CA1ABF" w:rsidRPr="009114DF">
        <w:rPr>
          <w:rFonts w:ascii="Times New Roman" w:eastAsia="Times New Roman" w:hAnsi="Times New Roman"/>
          <w:sz w:val="28"/>
          <w:szCs w:val="28"/>
          <w:lang w:eastAsia="ru-RU"/>
        </w:rPr>
        <w:t xml:space="preserve"> соответствует низкой (1</w:t>
      </w:r>
      <w:r w:rsidR="00E15D8A" w:rsidRPr="009114DF">
        <w:rPr>
          <w:rFonts w:ascii="Times New Roman" w:eastAsia="Times New Roman" w:hAnsi="Times New Roman"/>
          <w:sz w:val="28"/>
          <w:szCs w:val="28"/>
          <w:lang w:eastAsia="ru-RU"/>
        </w:rPr>
        <w:t>-й</w:t>
      </w:r>
      <w:r w:rsidR="00CA1ABF"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степени активности, 3,2</w:t>
      </w:r>
      <w:r w:rsidR="00E15D8A"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5,1 – умеренной (2</w:t>
      </w:r>
      <w:r w:rsidR="00E15D8A" w:rsidRPr="009114DF">
        <w:rPr>
          <w:rFonts w:ascii="Times New Roman" w:eastAsia="Times New Roman" w:hAnsi="Times New Roman"/>
          <w:sz w:val="28"/>
          <w:szCs w:val="28"/>
          <w:lang w:eastAsia="ru-RU"/>
        </w:rPr>
        <w:t>-й</w:t>
      </w:r>
      <w:r w:rsidRPr="009114DF">
        <w:rPr>
          <w:rFonts w:ascii="Times New Roman" w:eastAsia="Times New Roman" w:hAnsi="Times New Roman"/>
          <w:sz w:val="28"/>
          <w:szCs w:val="28"/>
          <w:lang w:eastAsia="ru-RU"/>
        </w:rPr>
        <w:t>) степени</w:t>
      </w:r>
      <w:r w:rsidR="00E64C06" w:rsidRPr="009114DF">
        <w:rPr>
          <w:rFonts w:ascii="Times New Roman" w:eastAsia="Times New Roman" w:hAnsi="Times New Roman"/>
          <w:sz w:val="28"/>
          <w:szCs w:val="28"/>
          <w:lang w:eastAsia="ru-RU"/>
        </w:rPr>
        <w:t>, &gt;5,1 – высокой (3</w:t>
      </w:r>
      <w:r w:rsidR="00E15D8A" w:rsidRPr="009114DF">
        <w:rPr>
          <w:rFonts w:ascii="Times New Roman" w:eastAsia="Times New Roman" w:hAnsi="Times New Roman"/>
          <w:sz w:val="28"/>
          <w:szCs w:val="28"/>
          <w:lang w:eastAsia="ru-RU"/>
        </w:rPr>
        <w:t>-й</w:t>
      </w:r>
      <w:r w:rsidR="00E64C06" w:rsidRPr="009114DF">
        <w:rPr>
          <w:rFonts w:ascii="Times New Roman" w:eastAsia="Times New Roman" w:hAnsi="Times New Roman"/>
          <w:sz w:val="28"/>
          <w:szCs w:val="28"/>
          <w:lang w:eastAsia="ru-RU"/>
        </w:rPr>
        <w:t xml:space="preserve">) степени. </w:t>
      </w:r>
    </w:p>
    <w:p w:rsidR="00D80E82" w:rsidRPr="009114DF" w:rsidRDefault="00A23B5F" w:rsidP="00F71B34">
      <w:pPr>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Критерии эффективности терапии Европейской антиревматической лиги (</w:t>
      </w:r>
      <w:r w:rsidRPr="009114DF">
        <w:rPr>
          <w:rFonts w:ascii="Times New Roman" w:eastAsia="Times New Roman" w:hAnsi="Times New Roman"/>
          <w:sz w:val="28"/>
          <w:szCs w:val="28"/>
          <w:lang w:val="en-US" w:eastAsia="ru-RU"/>
        </w:rPr>
        <w:t>EULAR</w:t>
      </w:r>
      <w:r w:rsidRPr="009114DF">
        <w:rPr>
          <w:rFonts w:ascii="Times New Roman" w:eastAsia="Times New Roman" w:hAnsi="Times New Roman"/>
          <w:sz w:val="28"/>
          <w:szCs w:val="28"/>
          <w:lang w:eastAsia="ru-RU"/>
        </w:rPr>
        <w:t xml:space="preserve">) основаны на изменении индекса </w:t>
      </w:r>
      <w:r w:rsidRPr="009114DF">
        <w:rPr>
          <w:rFonts w:ascii="Times New Roman" w:eastAsia="Times New Roman" w:hAnsi="Times New Roman"/>
          <w:sz w:val="28"/>
          <w:szCs w:val="28"/>
          <w:lang w:val="en-US" w:eastAsia="ru-RU"/>
        </w:rPr>
        <w:t>DAS</w:t>
      </w:r>
      <w:r w:rsidRPr="009114DF">
        <w:rPr>
          <w:rFonts w:ascii="Times New Roman" w:eastAsia="Times New Roman" w:hAnsi="Times New Roman"/>
          <w:sz w:val="28"/>
          <w:szCs w:val="28"/>
          <w:lang w:eastAsia="ru-RU"/>
        </w:rPr>
        <w:t xml:space="preserve">28 до и после лечения. Так, хорошим эффектом терапии считается уменьшение индекса </w:t>
      </w:r>
      <w:r w:rsidRPr="009114DF">
        <w:rPr>
          <w:rFonts w:ascii="Times New Roman" w:eastAsia="Times New Roman" w:hAnsi="Times New Roman"/>
          <w:sz w:val="28"/>
          <w:szCs w:val="28"/>
          <w:lang w:val="en-US" w:eastAsia="ru-RU"/>
        </w:rPr>
        <w:t>DAS</w:t>
      </w:r>
      <w:r w:rsidRPr="009114DF">
        <w:rPr>
          <w:rFonts w:ascii="Times New Roman" w:eastAsia="Times New Roman" w:hAnsi="Times New Roman"/>
          <w:sz w:val="28"/>
          <w:szCs w:val="28"/>
          <w:lang w:eastAsia="ru-RU"/>
        </w:rPr>
        <w:t xml:space="preserve">28 по сравнению с исходным на 1,2, удовлетворительным эффектом - изменение DAS28 в </w:t>
      </w:r>
      <w:r w:rsidRPr="009114DF">
        <w:rPr>
          <w:rFonts w:ascii="Times New Roman" w:eastAsia="Times New Roman" w:hAnsi="Times New Roman"/>
          <w:sz w:val="28"/>
          <w:szCs w:val="28"/>
          <w:lang w:eastAsia="ru-RU"/>
        </w:rPr>
        <w:lastRenderedPageBreak/>
        <w:t xml:space="preserve">диапазоне от 0,6 до 1,2 и отсутствием эффекта – уменьшение </w:t>
      </w:r>
      <w:r w:rsidRPr="009114DF">
        <w:rPr>
          <w:rFonts w:ascii="Times New Roman" w:eastAsia="Times New Roman" w:hAnsi="Times New Roman"/>
          <w:sz w:val="28"/>
          <w:szCs w:val="28"/>
          <w:lang w:val="en-US" w:eastAsia="ru-RU"/>
        </w:rPr>
        <w:t>DAS</w:t>
      </w:r>
      <w:r w:rsidRPr="009114DF">
        <w:rPr>
          <w:rFonts w:ascii="Times New Roman" w:eastAsia="Times New Roman" w:hAnsi="Times New Roman"/>
          <w:sz w:val="28"/>
          <w:szCs w:val="28"/>
          <w:lang w:eastAsia="ru-RU"/>
        </w:rPr>
        <w:t>28 менее</w:t>
      </w:r>
      <w:proofErr w:type="gramStart"/>
      <w:r w:rsidRPr="009114DF">
        <w:rPr>
          <w:rFonts w:ascii="Times New Roman" w:eastAsia="Times New Roman" w:hAnsi="Times New Roman"/>
          <w:sz w:val="28"/>
          <w:szCs w:val="28"/>
          <w:lang w:eastAsia="ru-RU"/>
        </w:rPr>
        <w:t>,</w:t>
      </w:r>
      <w:proofErr w:type="gramEnd"/>
      <w:r w:rsidRPr="009114DF">
        <w:rPr>
          <w:rFonts w:ascii="Times New Roman" w:eastAsia="Times New Roman" w:hAnsi="Times New Roman"/>
          <w:sz w:val="28"/>
          <w:szCs w:val="28"/>
          <w:lang w:eastAsia="ru-RU"/>
        </w:rPr>
        <w:t xml:space="preserve"> чем на 0,6.</w:t>
      </w:r>
    </w:p>
    <w:p w:rsidR="007C2C06" w:rsidRPr="009114DF" w:rsidRDefault="00E15D8A" w:rsidP="00E15D8A">
      <w:pPr>
        <w:spacing w:after="0" w:line="360" w:lineRule="auto"/>
        <w:ind w:left="357"/>
        <w:jc w:val="both"/>
        <w:rPr>
          <w:rFonts w:ascii="Times New Roman" w:eastAsia="Times New Roman" w:hAnsi="Times New Roman"/>
          <w:b/>
          <w:sz w:val="28"/>
          <w:szCs w:val="28"/>
          <w:lang w:eastAsia="ru-RU"/>
        </w:rPr>
      </w:pPr>
      <w:r w:rsidRPr="009114DF">
        <w:rPr>
          <w:sz w:val="28"/>
          <w:szCs w:val="28"/>
        </w:rPr>
        <w:t xml:space="preserve">▪ </w:t>
      </w:r>
      <w:r w:rsidR="007C2C06" w:rsidRPr="009114DF">
        <w:rPr>
          <w:rFonts w:ascii="Times New Roman" w:eastAsia="Times New Roman" w:hAnsi="Times New Roman"/>
          <w:b/>
          <w:sz w:val="28"/>
          <w:szCs w:val="28"/>
          <w:lang w:eastAsia="ru-RU"/>
        </w:rPr>
        <w:t>Инструментальное обследование</w:t>
      </w:r>
      <w:r w:rsidR="00661388" w:rsidRPr="009114DF">
        <w:rPr>
          <w:rFonts w:ascii="Times New Roman" w:eastAsia="Times New Roman" w:hAnsi="Times New Roman"/>
          <w:b/>
          <w:sz w:val="28"/>
          <w:szCs w:val="28"/>
          <w:lang w:eastAsia="ru-RU"/>
        </w:rPr>
        <w:t xml:space="preserve"> больных РА</w:t>
      </w:r>
      <w:r w:rsidR="00FC60F7" w:rsidRPr="009114DF">
        <w:rPr>
          <w:rFonts w:ascii="Times New Roman" w:eastAsia="Times New Roman" w:hAnsi="Times New Roman"/>
          <w:b/>
          <w:sz w:val="28"/>
          <w:szCs w:val="28"/>
          <w:lang w:eastAsia="ru-RU"/>
        </w:rPr>
        <w:t xml:space="preserve">. </w:t>
      </w:r>
      <w:r w:rsidR="007C2C06" w:rsidRPr="009114DF">
        <w:rPr>
          <w:rFonts w:ascii="Times New Roman" w:eastAsia="Times New Roman" w:hAnsi="Times New Roman"/>
          <w:b/>
          <w:sz w:val="28"/>
          <w:szCs w:val="28"/>
          <w:lang w:eastAsia="ru-RU"/>
        </w:rPr>
        <w:t xml:space="preserve">Метод двухэнергетической </w:t>
      </w:r>
      <w:proofErr w:type="gramStart"/>
      <w:r w:rsidR="007C2C06" w:rsidRPr="009114DF">
        <w:rPr>
          <w:rFonts w:ascii="Times New Roman" w:eastAsia="Times New Roman" w:hAnsi="Times New Roman"/>
          <w:b/>
          <w:sz w:val="28"/>
          <w:szCs w:val="28"/>
          <w:lang w:eastAsia="ru-RU"/>
        </w:rPr>
        <w:t>рентгеновской</w:t>
      </w:r>
      <w:proofErr w:type="gramEnd"/>
      <w:r w:rsidR="007C2C06" w:rsidRPr="009114DF">
        <w:rPr>
          <w:rFonts w:ascii="Times New Roman" w:eastAsia="Times New Roman" w:hAnsi="Times New Roman"/>
          <w:b/>
          <w:sz w:val="28"/>
          <w:szCs w:val="28"/>
          <w:lang w:eastAsia="ru-RU"/>
        </w:rPr>
        <w:t xml:space="preserve"> абсорбциометрии проксимального отдела бедра</w:t>
      </w:r>
      <w:r w:rsidR="002A6308" w:rsidRPr="009114DF">
        <w:rPr>
          <w:rFonts w:ascii="Times New Roman" w:eastAsia="Times New Roman" w:hAnsi="Times New Roman"/>
          <w:b/>
          <w:sz w:val="28"/>
          <w:szCs w:val="28"/>
          <w:lang w:eastAsia="ru-RU"/>
        </w:rPr>
        <w:t xml:space="preserve"> и поясничного отдела позвоночника </w:t>
      </w:r>
    </w:p>
    <w:p w:rsidR="00AD02D1" w:rsidRPr="009114DF" w:rsidRDefault="00557FC7" w:rsidP="00E15D8A">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Для определения</w:t>
      </w:r>
      <w:r w:rsidR="007C2C06" w:rsidRPr="009114DF">
        <w:rPr>
          <w:rFonts w:ascii="Times New Roman" w:eastAsia="Times New Roman" w:hAnsi="Times New Roman"/>
          <w:sz w:val="28"/>
          <w:szCs w:val="28"/>
          <w:lang w:eastAsia="ru-RU"/>
        </w:rPr>
        <w:t xml:space="preserve"> состояния кости использов</w:t>
      </w:r>
      <w:r w:rsidR="002A6308" w:rsidRPr="009114DF">
        <w:rPr>
          <w:rFonts w:ascii="Times New Roman" w:eastAsia="Times New Roman" w:hAnsi="Times New Roman"/>
          <w:sz w:val="28"/>
          <w:szCs w:val="28"/>
          <w:lang w:eastAsia="ru-RU"/>
        </w:rPr>
        <w:t xml:space="preserve">ался стационарный рентгеновский </w:t>
      </w:r>
      <w:r w:rsidR="007C2C06" w:rsidRPr="009114DF">
        <w:rPr>
          <w:rFonts w:ascii="Times New Roman" w:eastAsia="Times New Roman" w:hAnsi="Times New Roman"/>
          <w:sz w:val="28"/>
          <w:szCs w:val="28"/>
          <w:lang w:eastAsia="ru-RU"/>
        </w:rPr>
        <w:t xml:space="preserve">двухэнергетический костный денситометр </w:t>
      </w:r>
      <w:r w:rsidR="00FC60F7" w:rsidRPr="009114DF">
        <w:rPr>
          <w:rFonts w:ascii="Times New Roman" w:eastAsia="Times New Roman" w:hAnsi="Times New Roman"/>
          <w:sz w:val="28"/>
          <w:szCs w:val="28"/>
          <w:lang w:val="en-US" w:eastAsia="ru-RU"/>
        </w:rPr>
        <w:t>Exce</w:t>
      </w:r>
      <w:r w:rsidR="007C2C06" w:rsidRPr="009114DF">
        <w:rPr>
          <w:rFonts w:ascii="Times New Roman" w:eastAsia="Times New Roman" w:hAnsi="Times New Roman"/>
          <w:sz w:val="28"/>
          <w:szCs w:val="28"/>
          <w:lang w:val="en-US" w:eastAsia="ru-RU"/>
        </w:rPr>
        <w:t>ll</w:t>
      </w:r>
      <w:r w:rsidR="007C2C06" w:rsidRPr="009114DF">
        <w:rPr>
          <w:rFonts w:ascii="Times New Roman" w:eastAsia="Times New Roman" w:hAnsi="Times New Roman"/>
          <w:sz w:val="28"/>
          <w:szCs w:val="28"/>
          <w:lang w:eastAsia="ru-RU"/>
        </w:rPr>
        <w:t xml:space="preserve"> </w:t>
      </w:r>
      <w:r w:rsidR="007C2C06" w:rsidRPr="009114DF">
        <w:rPr>
          <w:rFonts w:ascii="Times New Roman" w:eastAsia="Times New Roman" w:hAnsi="Times New Roman"/>
          <w:sz w:val="28"/>
          <w:szCs w:val="28"/>
          <w:lang w:val="en-US" w:eastAsia="ru-RU"/>
        </w:rPr>
        <w:t>XR</w:t>
      </w:r>
      <w:r w:rsidR="007C2C06" w:rsidRPr="009114DF">
        <w:rPr>
          <w:rFonts w:ascii="Times New Roman" w:eastAsia="Times New Roman" w:hAnsi="Times New Roman"/>
          <w:sz w:val="28"/>
          <w:szCs w:val="28"/>
          <w:lang w:eastAsia="ru-RU"/>
        </w:rPr>
        <w:t>-46 (</w:t>
      </w:r>
      <w:r w:rsidR="007C2C06" w:rsidRPr="009114DF">
        <w:rPr>
          <w:rFonts w:ascii="Times New Roman" w:eastAsia="Times New Roman" w:hAnsi="Times New Roman"/>
          <w:sz w:val="28"/>
          <w:szCs w:val="28"/>
          <w:lang w:val="en-US" w:eastAsia="ru-RU"/>
        </w:rPr>
        <w:t>Norland</w:t>
      </w:r>
      <w:r w:rsidR="007C2C06" w:rsidRPr="009114DF">
        <w:rPr>
          <w:rFonts w:ascii="Times New Roman" w:eastAsia="Times New Roman" w:hAnsi="Times New Roman"/>
          <w:sz w:val="28"/>
          <w:szCs w:val="28"/>
          <w:lang w:eastAsia="ru-RU"/>
        </w:rPr>
        <w:t xml:space="preserve">, </w:t>
      </w:r>
      <w:r w:rsidR="007C2C06" w:rsidRPr="009114DF">
        <w:rPr>
          <w:rFonts w:ascii="Times New Roman" w:eastAsia="Times New Roman" w:hAnsi="Times New Roman"/>
          <w:sz w:val="28"/>
          <w:szCs w:val="28"/>
          <w:lang w:val="en-US" w:eastAsia="ru-RU"/>
        </w:rPr>
        <w:t>USA</w:t>
      </w:r>
      <w:r w:rsidR="007C2C06" w:rsidRPr="009114DF">
        <w:rPr>
          <w:rFonts w:ascii="Times New Roman" w:eastAsia="Times New Roman" w:hAnsi="Times New Roman"/>
          <w:sz w:val="28"/>
          <w:szCs w:val="28"/>
          <w:lang w:eastAsia="ru-RU"/>
        </w:rPr>
        <w:t>). Оценивалась минеральная плотность кости (МПК) проксимального отдела бедренной кости</w:t>
      </w:r>
      <w:r w:rsidR="002A6308" w:rsidRPr="009114DF">
        <w:rPr>
          <w:rFonts w:ascii="Times New Roman" w:eastAsia="Times New Roman" w:hAnsi="Times New Roman"/>
          <w:sz w:val="28"/>
          <w:szCs w:val="28"/>
          <w:lang w:eastAsia="ru-RU"/>
        </w:rPr>
        <w:t xml:space="preserve"> и поясничного отдела позвоночника</w:t>
      </w:r>
      <w:r w:rsidR="007C2C06" w:rsidRPr="009114DF">
        <w:rPr>
          <w:rFonts w:ascii="Times New Roman" w:eastAsia="Times New Roman" w:hAnsi="Times New Roman"/>
          <w:sz w:val="28"/>
          <w:szCs w:val="28"/>
          <w:lang w:eastAsia="ru-RU"/>
        </w:rPr>
        <w:t xml:space="preserve">. </w:t>
      </w:r>
    </w:p>
    <w:p w:rsidR="007C2C06"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Принцип работы  денситометра </w:t>
      </w:r>
      <w:r w:rsidR="00FC60F7" w:rsidRPr="009114DF">
        <w:rPr>
          <w:rFonts w:ascii="Times New Roman" w:eastAsia="Times New Roman" w:hAnsi="Times New Roman"/>
          <w:sz w:val="28"/>
          <w:szCs w:val="28"/>
          <w:lang w:val="en-US" w:eastAsia="ru-RU"/>
        </w:rPr>
        <w:t>Exc</w:t>
      </w:r>
      <w:r w:rsidRPr="009114DF">
        <w:rPr>
          <w:rFonts w:ascii="Times New Roman" w:eastAsia="Times New Roman" w:hAnsi="Times New Roman"/>
          <w:sz w:val="28"/>
          <w:szCs w:val="28"/>
          <w:lang w:val="en-US" w:eastAsia="ru-RU"/>
        </w:rPr>
        <w:t>ell</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XR</w:t>
      </w:r>
      <w:r w:rsidRPr="009114DF">
        <w:rPr>
          <w:rFonts w:ascii="Times New Roman" w:eastAsia="Times New Roman" w:hAnsi="Times New Roman"/>
          <w:sz w:val="28"/>
          <w:szCs w:val="28"/>
          <w:lang w:eastAsia="ru-RU"/>
        </w:rPr>
        <w:t>-46 основан на прямолин</w:t>
      </w:r>
      <w:r w:rsidR="00B74106" w:rsidRPr="009114DF">
        <w:rPr>
          <w:rFonts w:ascii="Times New Roman" w:eastAsia="Times New Roman" w:hAnsi="Times New Roman"/>
          <w:sz w:val="28"/>
          <w:szCs w:val="28"/>
          <w:lang w:eastAsia="ru-RU"/>
        </w:rPr>
        <w:t>ейном сканировании с регистрацией</w:t>
      </w:r>
      <w:r w:rsidRPr="009114DF">
        <w:rPr>
          <w:rFonts w:ascii="Times New Roman" w:eastAsia="Times New Roman" w:hAnsi="Times New Roman"/>
          <w:sz w:val="28"/>
          <w:szCs w:val="28"/>
          <w:lang w:eastAsia="ru-RU"/>
        </w:rPr>
        <w:t xml:space="preserve"> величин поглощения рентгеновских лучей в каждом измеряемом участке кости. Создание двухуровневого спектра фотонов осуществляется за счет возникновения постоянного потока рентгеновского излучения. Приемная система – твердотельный детектор с двухканальным анализатором калькулирует результаты сканирования. Особенностями аппарата являются </w:t>
      </w:r>
      <w:proofErr w:type="gramStart"/>
      <w:r w:rsidRPr="009114DF">
        <w:rPr>
          <w:rFonts w:ascii="Times New Roman" w:eastAsia="Times New Roman" w:hAnsi="Times New Roman"/>
          <w:sz w:val="28"/>
          <w:szCs w:val="28"/>
          <w:lang w:eastAsia="ru-RU"/>
        </w:rPr>
        <w:t>автоматизированные</w:t>
      </w:r>
      <w:proofErr w:type="gramEnd"/>
      <w:r w:rsidRPr="009114DF">
        <w:rPr>
          <w:rFonts w:ascii="Times New Roman" w:eastAsia="Times New Roman" w:hAnsi="Times New Roman"/>
          <w:sz w:val="28"/>
          <w:szCs w:val="28"/>
          <w:lang w:eastAsia="ru-RU"/>
        </w:rPr>
        <w:t xml:space="preserve"> калибровка, позиционирование, определение и калькуляция результатов. В компьютерное обеспечение заложены базы нормативных показателей по полу, возрасту, рассчитанных на основе популяционных выборок.</w:t>
      </w:r>
    </w:p>
    <w:p w:rsidR="007C2C06" w:rsidRPr="009114DF" w:rsidRDefault="007C2C06" w:rsidP="00F71B34">
      <w:pPr>
        <w:spacing w:after="0" w:line="360" w:lineRule="auto"/>
        <w:ind w:firstLine="567"/>
        <w:jc w:val="both"/>
        <w:rPr>
          <w:rFonts w:ascii="Times New Roman" w:eastAsia="Times New Roman" w:hAnsi="Times New Roman"/>
          <w:sz w:val="28"/>
          <w:szCs w:val="28"/>
          <w:lang w:eastAsia="ru-RU"/>
        </w:rPr>
      </w:pPr>
      <w:proofErr w:type="gramStart"/>
      <w:r w:rsidRPr="009114DF">
        <w:rPr>
          <w:rFonts w:ascii="Times New Roman" w:eastAsia="Times New Roman" w:hAnsi="Times New Roman"/>
          <w:sz w:val="28"/>
          <w:szCs w:val="28"/>
          <w:lang w:eastAsia="ru-RU"/>
        </w:rPr>
        <w:t>Результаты исследования представлены в заключении в виде абсолютных величин: минерального содержания кости (ВМС) и МПК (</w:t>
      </w:r>
      <w:r w:rsidRPr="009114DF">
        <w:rPr>
          <w:rFonts w:ascii="Times New Roman" w:eastAsia="Times New Roman" w:hAnsi="Times New Roman"/>
          <w:sz w:val="28"/>
          <w:szCs w:val="28"/>
          <w:lang w:val="en-US" w:eastAsia="ru-RU"/>
        </w:rPr>
        <w:t>BMD</w:t>
      </w:r>
      <w:r w:rsidRPr="009114DF">
        <w:rPr>
          <w:rFonts w:ascii="Times New Roman" w:eastAsia="Times New Roman" w:hAnsi="Times New Roman"/>
          <w:sz w:val="28"/>
          <w:szCs w:val="28"/>
          <w:lang w:eastAsia="ru-RU"/>
        </w:rPr>
        <w:t>), для сравнительной оценки</w:t>
      </w:r>
      <w:r w:rsidR="00E15D8A"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 в виде стандартных отклонений от нормативных показателей, рассчитанных на основании популяционных выборок:</w:t>
      </w:r>
      <w:proofErr w:type="gramEnd"/>
      <w:r w:rsidRPr="009114DF">
        <w:rPr>
          <w:rFonts w:ascii="Times New Roman" w:eastAsia="Times New Roman" w:hAnsi="Times New Roman"/>
          <w:sz w:val="28"/>
          <w:szCs w:val="28"/>
          <w:lang w:eastAsia="ru-RU"/>
        </w:rPr>
        <w:t xml:space="preserve"> Т-критерий и </w:t>
      </w:r>
      <w:r w:rsidRPr="009114DF">
        <w:rPr>
          <w:rFonts w:ascii="Times New Roman" w:eastAsia="Times New Roman" w:hAnsi="Times New Roman"/>
          <w:sz w:val="28"/>
          <w:szCs w:val="28"/>
          <w:lang w:val="en-US" w:eastAsia="ru-RU"/>
        </w:rPr>
        <w:t>Z</w:t>
      </w:r>
      <w:r w:rsidR="00E15D8A"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критерий. </w:t>
      </w:r>
    </w:p>
    <w:p w:rsidR="007C2C06" w:rsidRPr="009114DF" w:rsidRDefault="007C2C06" w:rsidP="00F71B34">
      <w:pPr>
        <w:spacing w:after="0" w:line="36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Костный минеральный компонент (ВМС) – масса костной ткани – показывает количество минерализованной ткани при сканировании костей. ВМС определяется длиной сканирующего пути (</w:t>
      </w:r>
      <w:proofErr w:type="gramStart"/>
      <w:r w:rsidRPr="009114DF">
        <w:rPr>
          <w:rFonts w:ascii="Times New Roman" w:eastAsia="Times New Roman" w:hAnsi="Times New Roman"/>
          <w:sz w:val="28"/>
          <w:szCs w:val="28"/>
          <w:lang w:eastAsia="ru-RU"/>
        </w:rPr>
        <w:t>г</w:t>
      </w:r>
      <w:proofErr w:type="gramEnd"/>
      <w:r w:rsidRPr="009114DF">
        <w:rPr>
          <w:rFonts w:ascii="Times New Roman" w:eastAsia="Times New Roman" w:hAnsi="Times New Roman"/>
          <w:sz w:val="28"/>
          <w:szCs w:val="28"/>
          <w:lang w:eastAsia="ru-RU"/>
        </w:rPr>
        <w:t>/см). МПК (</w:t>
      </w:r>
      <w:r w:rsidRPr="009114DF">
        <w:rPr>
          <w:rFonts w:ascii="Times New Roman" w:eastAsia="Times New Roman" w:hAnsi="Times New Roman"/>
          <w:sz w:val="28"/>
          <w:szCs w:val="28"/>
          <w:lang w:val="en-US" w:eastAsia="ru-RU"/>
        </w:rPr>
        <w:t>BMD</w:t>
      </w:r>
      <w:r w:rsidRPr="009114DF">
        <w:rPr>
          <w:rFonts w:ascii="Times New Roman" w:eastAsia="Times New Roman" w:hAnsi="Times New Roman"/>
          <w:sz w:val="28"/>
          <w:szCs w:val="28"/>
          <w:lang w:eastAsia="ru-RU"/>
        </w:rPr>
        <w:t>) – количество минерализованной ткани в сканируемой площади, демонстрирующее степень изменения МПК, оценивающ</w:t>
      </w:r>
      <w:r w:rsidR="00E15D8A" w:rsidRPr="009114DF">
        <w:rPr>
          <w:rFonts w:ascii="Times New Roman" w:eastAsia="Times New Roman" w:hAnsi="Times New Roman"/>
          <w:sz w:val="28"/>
          <w:szCs w:val="28"/>
          <w:lang w:eastAsia="ru-RU"/>
        </w:rPr>
        <w:t>ее</w:t>
      </w:r>
      <w:r w:rsidRPr="009114DF">
        <w:rPr>
          <w:rFonts w:ascii="Times New Roman" w:eastAsia="Times New Roman" w:hAnsi="Times New Roman"/>
          <w:sz w:val="28"/>
          <w:szCs w:val="28"/>
          <w:lang w:eastAsia="ru-RU"/>
        </w:rPr>
        <w:t xml:space="preserve">ся по количеству гидроксиапатита на единицу </w:t>
      </w:r>
      <w:r w:rsidRPr="009114DF">
        <w:rPr>
          <w:rFonts w:ascii="Times New Roman" w:eastAsia="Times New Roman" w:hAnsi="Times New Roman"/>
          <w:sz w:val="28"/>
          <w:szCs w:val="28"/>
          <w:lang w:eastAsia="ru-RU"/>
        </w:rPr>
        <w:lastRenderedPageBreak/>
        <w:t xml:space="preserve">площади поперечного сечения </w:t>
      </w:r>
      <w:r w:rsidR="00E15D8A"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г/см</w:t>
      </w:r>
      <w:proofErr w:type="gramStart"/>
      <w:r w:rsidRPr="009114DF">
        <w:rPr>
          <w:rFonts w:ascii="Times New Roman" w:eastAsia="Times New Roman" w:hAnsi="Times New Roman"/>
          <w:sz w:val="28"/>
          <w:szCs w:val="28"/>
          <w:vertAlign w:val="superscript"/>
          <w:lang w:eastAsia="ru-RU"/>
        </w:rPr>
        <w:t>2</w:t>
      </w:r>
      <w:proofErr w:type="gramEnd"/>
      <w:r w:rsidR="00E15D8A" w:rsidRPr="009114DF">
        <w:rPr>
          <w:rFonts w:ascii="Times New Roman" w:eastAsia="Times New Roman" w:hAnsi="Times New Roman"/>
          <w:sz w:val="28"/>
          <w:szCs w:val="28"/>
          <w:lang w:eastAsia="ru-RU"/>
        </w:rPr>
        <w:t>)</w:t>
      </w:r>
      <w:r w:rsidR="00404230"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 более приемлемый показатель для клинической практики. </w:t>
      </w:r>
      <w:r w:rsidR="002A6308" w:rsidRPr="009114DF">
        <w:rPr>
          <w:rFonts w:ascii="Times New Roman" w:eastAsia="Times New Roman" w:hAnsi="Times New Roman"/>
          <w:sz w:val="28"/>
          <w:szCs w:val="28"/>
          <w:lang w:eastAsia="ru-RU"/>
        </w:rPr>
        <w:t xml:space="preserve"> </w:t>
      </w:r>
      <w:proofErr w:type="gramStart"/>
      <w:r w:rsidRPr="009114DF">
        <w:rPr>
          <w:rFonts w:ascii="Times New Roman" w:eastAsia="Times New Roman" w:hAnsi="Times New Roman"/>
          <w:sz w:val="28"/>
          <w:szCs w:val="28"/>
          <w:lang w:val="en-US" w:eastAsia="ru-RU"/>
        </w:rPr>
        <w:t>Z</w:t>
      </w:r>
      <w:r w:rsidR="00E15D8A"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критерий показывает настоящее состояние костной системы у данного больного в сравнении с параметрами мужчин и женщин соответствующего возраста и представляет собой количество стандартных отклонений (</w:t>
      </w:r>
      <w:r w:rsidR="00A62DD3" w:rsidRPr="009114DF">
        <w:rPr>
          <w:rFonts w:ascii="Times New Roman" w:eastAsia="Times New Roman" w:hAnsi="Times New Roman"/>
          <w:sz w:val="28"/>
          <w:szCs w:val="28"/>
          <w:lang w:val="en-US" w:eastAsia="ru-RU"/>
        </w:rPr>
        <w:t>SD</w:t>
      </w:r>
      <w:r w:rsidRPr="009114DF">
        <w:rPr>
          <w:rFonts w:ascii="Times New Roman" w:eastAsia="Times New Roman" w:hAnsi="Times New Roman"/>
          <w:sz w:val="28"/>
          <w:szCs w:val="28"/>
          <w:lang w:eastAsia="ru-RU"/>
        </w:rPr>
        <w:t xml:space="preserve">) выше или ниже среднего </w:t>
      </w:r>
      <w:r w:rsidR="00FC60F7" w:rsidRPr="009114DF">
        <w:rPr>
          <w:rFonts w:ascii="Times New Roman" w:eastAsia="Times New Roman" w:hAnsi="Times New Roman"/>
          <w:sz w:val="28"/>
          <w:szCs w:val="28"/>
          <w:lang w:eastAsia="ru-RU"/>
        </w:rPr>
        <w:t>значения</w:t>
      </w:r>
      <w:r w:rsidRPr="009114DF">
        <w:rPr>
          <w:rFonts w:ascii="Times New Roman" w:eastAsia="Times New Roman" w:hAnsi="Times New Roman"/>
          <w:sz w:val="28"/>
          <w:szCs w:val="28"/>
          <w:lang w:eastAsia="ru-RU"/>
        </w:rPr>
        <w:t xml:space="preserve"> для лиц аналогичного возраста.</w:t>
      </w:r>
      <w:proofErr w:type="gramEnd"/>
      <w:r w:rsidRPr="009114DF">
        <w:rPr>
          <w:rFonts w:ascii="Times New Roman" w:eastAsia="Times New Roman" w:hAnsi="Times New Roman"/>
          <w:sz w:val="28"/>
          <w:szCs w:val="28"/>
          <w:lang w:eastAsia="ru-RU"/>
        </w:rPr>
        <w:t xml:space="preserve"> Показатель учитывает вариабельность показателей костной массы и плотности костной ткани среди здорового населения и их снижения с возрастом. </w:t>
      </w:r>
      <w:proofErr w:type="gramStart"/>
      <w:r w:rsidRPr="009114DF">
        <w:rPr>
          <w:rFonts w:ascii="Times New Roman" w:eastAsia="Times New Roman" w:hAnsi="Times New Roman"/>
          <w:sz w:val="28"/>
          <w:szCs w:val="28"/>
          <w:lang w:eastAsia="ru-RU"/>
        </w:rPr>
        <w:t>Средний</w:t>
      </w:r>
      <w:proofErr w:type="gramEnd"/>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Z</w:t>
      </w:r>
      <w:r w:rsidR="00E15D8A"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критерий для больных, </w:t>
      </w:r>
      <w:r w:rsidRPr="009114DF">
        <w:rPr>
          <w:rFonts w:ascii="Times New Roman" w:eastAsia="Times New Roman" w:hAnsi="Times New Roman"/>
          <w:sz w:val="28"/>
          <w:szCs w:val="28"/>
          <w:lang w:val="en-US" w:eastAsia="ru-RU"/>
        </w:rPr>
        <w:t>BMD</w:t>
      </w:r>
      <w:r w:rsidRPr="009114DF">
        <w:rPr>
          <w:rFonts w:ascii="Times New Roman" w:eastAsia="Times New Roman" w:hAnsi="Times New Roman"/>
          <w:sz w:val="28"/>
          <w:szCs w:val="28"/>
          <w:lang w:eastAsia="ru-RU"/>
        </w:rPr>
        <w:t xml:space="preserve"> которых достоверно ниже среднего показателя для других лиц такого же возраста, составляет -1.</w:t>
      </w:r>
    </w:p>
    <w:p w:rsidR="00AB633F" w:rsidRPr="009114DF" w:rsidRDefault="007C2C06" w:rsidP="00397325">
      <w:pPr>
        <w:spacing w:after="0" w:line="370" w:lineRule="auto"/>
        <w:ind w:firstLine="567"/>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Т-критерий предст</w:t>
      </w:r>
      <w:r w:rsidR="003B56F6" w:rsidRPr="009114DF">
        <w:rPr>
          <w:rFonts w:ascii="Times New Roman" w:eastAsia="Times New Roman" w:hAnsi="Times New Roman"/>
          <w:sz w:val="28"/>
          <w:szCs w:val="28"/>
          <w:lang w:eastAsia="ru-RU"/>
        </w:rPr>
        <w:t xml:space="preserve">авляет собой количество </w:t>
      </w:r>
      <w:r w:rsidR="00A62DD3" w:rsidRPr="009114DF">
        <w:rPr>
          <w:rFonts w:ascii="Times New Roman" w:eastAsia="Times New Roman" w:hAnsi="Times New Roman"/>
          <w:sz w:val="28"/>
          <w:szCs w:val="28"/>
          <w:lang w:val="en-US" w:eastAsia="ru-RU"/>
        </w:rPr>
        <w:t>SD</w:t>
      </w:r>
      <w:r w:rsidRPr="009114DF">
        <w:rPr>
          <w:rFonts w:ascii="Times New Roman" w:eastAsia="Times New Roman" w:hAnsi="Times New Roman"/>
          <w:sz w:val="28"/>
          <w:szCs w:val="28"/>
          <w:lang w:eastAsia="ru-RU"/>
        </w:rPr>
        <w:t xml:space="preserve"> МПК от референсного значения пиковой костной массы здоровых людей молодого возраста соответствующего пола.</w:t>
      </w:r>
      <w:r w:rsidR="002A6308" w:rsidRPr="009114DF">
        <w:rPr>
          <w:rFonts w:ascii="Times New Roman" w:eastAsia="Times New Roman" w:hAnsi="Times New Roman"/>
          <w:sz w:val="28"/>
          <w:szCs w:val="28"/>
          <w:lang w:eastAsia="ru-RU"/>
        </w:rPr>
        <w:t xml:space="preserve"> </w:t>
      </w:r>
      <w:proofErr w:type="gramStart"/>
      <w:r w:rsidR="002A6308" w:rsidRPr="009114DF">
        <w:rPr>
          <w:rFonts w:ascii="Times New Roman" w:eastAsia="Times New Roman" w:hAnsi="Times New Roman"/>
          <w:sz w:val="28"/>
          <w:szCs w:val="28"/>
          <w:lang w:eastAsia="ru-RU"/>
        </w:rPr>
        <w:t>Согласно рекомендациям Рабочей группы ВОЗ (1994)</w:t>
      </w:r>
      <w:r w:rsidR="00E15D8A" w:rsidRPr="009114DF">
        <w:rPr>
          <w:rFonts w:ascii="Times New Roman" w:eastAsia="Times New Roman" w:hAnsi="Times New Roman"/>
          <w:sz w:val="28"/>
          <w:szCs w:val="28"/>
          <w:lang w:eastAsia="ru-RU"/>
        </w:rPr>
        <w:t>,</w:t>
      </w:r>
      <w:r w:rsidR="002A6308" w:rsidRPr="009114DF">
        <w:rPr>
          <w:rFonts w:ascii="Times New Roman" w:eastAsia="Times New Roman" w:hAnsi="Times New Roman"/>
          <w:sz w:val="28"/>
          <w:szCs w:val="28"/>
          <w:lang w:eastAsia="ru-RU"/>
        </w:rPr>
        <w:t xml:space="preserve"> для оценки результатов денсит</w:t>
      </w:r>
      <w:r w:rsidR="003B56F6" w:rsidRPr="009114DF">
        <w:rPr>
          <w:rFonts w:ascii="Times New Roman" w:eastAsia="Times New Roman" w:hAnsi="Times New Roman"/>
          <w:sz w:val="28"/>
          <w:szCs w:val="28"/>
          <w:lang w:eastAsia="ru-RU"/>
        </w:rPr>
        <w:t xml:space="preserve">ометрии </w:t>
      </w:r>
      <w:r w:rsidR="008462C3" w:rsidRPr="009114DF">
        <w:rPr>
          <w:rFonts w:ascii="Times New Roman" w:eastAsia="Times New Roman" w:hAnsi="Times New Roman"/>
          <w:sz w:val="28"/>
          <w:szCs w:val="28"/>
          <w:lang w:eastAsia="ru-RU"/>
        </w:rPr>
        <w:t xml:space="preserve">у женщин в постменопаузе </w:t>
      </w:r>
      <w:r w:rsidR="003B56F6" w:rsidRPr="009114DF">
        <w:rPr>
          <w:rFonts w:ascii="Times New Roman" w:eastAsia="Times New Roman" w:hAnsi="Times New Roman"/>
          <w:sz w:val="28"/>
          <w:szCs w:val="28"/>
          <w:lang w:eastAsia="ru-RU"/>
        </w:rPr>
        <w:t>используется Т-критерий:</w:t>
      </w:r>
      <w:r w:rsidR="00AB633F" w:rsidRPr="009114DF">
        <w:rPr>
          <w:rFonts w:ascii="Times New Roman" w:hAnsi="Times New Roman"/>
          <w:sz w:val="28"/>
          <w:szCs w:val="28"/>
        </w:rPr>
        <w:t xml:space="preserve"> </w:t>
      </w:r>
      <w:r w:rsidR="008462C3" w:rsidRPr="009114DF">
        <w:rPr>
          <w:rFonts w:ascii="Times New Roman" w:eastAsia="Times New Roman" w:hAnsi="Times New Roman"/>
          <w:sz w:val="28"/>
          <w:szCs w:val="28"/>
          <w:lang w:eastAsia="ru-RU"/>
        </w:rPr>
        <w:t>н</w:t>
      </w:r>
      <w:r w:rsidR="00AB633F" w:rsidRPr="009114DF">
        <w:rPr>
          <w:rFonts w:ascii="Times New Roman" w:eastAsia="Times New Roman" w:hAnsi="Times New Roman"/>
          <w:sz w:val="28"/>
          <w:szCs w:val="28"/>
          <w:lang w:eastAsia="ru-RU"/>
        </w:rPr>
        <w:t>ормальная ми</w:t>
      </w:r>
      <w:r w:rsidR="003B56F6" w:rsidRPr="009114DF">
        <w:rPr>
          <w:rFonts w:ascii="Times New Roman" w:eastAsia="Times New Roman" w:hAnsi="Times New Roman"/>
          <w:sz w:val="28"/>
          <w:szCs w:val="28"/>
          <w:lang w:eastAsia="ru-RU"/>
        </w:rPr>
        <w:t>неральная пл</w:t>
      </w:r>
      <w:r w:rsidR="00B74106" w:rsidRPr="009114DF">
        <w:rPr>
          <w:rFonts w:ascii="Times New Roman" w:eastAsia="Times New Roman" w:hAnsi="Times New Roman"/>
          <w:sz w:val="28"/>
          <w:szCs w:val="28"/>
          <w:lang w:eastAsia="ru-RU"/>
        </w:rPr>
        <w:t>отность кости –</w:t>
      </w:r>
      <w:r w:rsidR="00E15D8A" w:rsidRPr="009114DF">
        <w:rPr>
          <w:rFonts w:ascii="Times New Roman" w:eastAsia="Times New Roman" w:hAnsi="Times New Roman"/>
          <w:sz w:val="28"/>
          <w:szCs w:val="28"/>
          <w:lang w:eastAsia="ru-RU"/>
        </w:rPr>
        <w:br/>
      </w:r>
      <w:r w:rsidR="00B74106" w:rsidRPr="009114DF">
        <w:rPr>
          <w:rFonts w:ascii="Times New Roman" w:eastAsia="Times New Roman" w:hAnsi="Times New Roman"/>
          <w:sz w:val="28"/>
          <w:szCs w:val="28"/>
          <w:lang w:eastAsia="ru-RU"/>
        </w:rPr>
        <w:t>Т-критерий  от 2,</w:t>
      </w:r>
      <w:r w:rsidR="003B56F6" w:rsidRPr="009114DF">
        <w:rPr>
          <w:rFonts w:ascii="Times New Roman" w:eastAsia="Times New Roman" w:hAnsi="Times New Roman"/>
          <w:sz w:val="28"/>
          <w:szCs w:val="28"/>
          <w:lang w:eastAsia="ru-RU"/>
        </w:rPr>
        <w:t xml:space="preserve">5 до -0,9 </w:t>
      </w:r>
      <w:r w:rsidR="00B74106" w:rsidRPr="009114DF">
        <w:rPr>
          <w:rFonts w:ascii="Times New Roman" w:eastAsia="Times New Roman" w:hAnsi="Times New Roman"/>
          <w:sz w:val="28"/>
          <w:szCs w:val="28"/>
          <w:lang w:val="en-US" w:eastAsia="ru-RU"/>
        </w:rPr>
        <w:t>SD</w:t>
      </w:r>
      <w:r w:rsidR="003B56F6" w:rsidRPr="009114DF">
        <w:rPr>
          <w:rFonts w:ascii="Times New Roman" w:eastAsia="Times New Roman" w:hAnsi="Times New Roman"/>
          <w:sz w:val="28"/>
          <w:szCs w:val="28"/>
          <w:lang w:eastAsia="ru-RU"/>
        </w:rPr>
        <w:t>,</w:t>
      </w:r>
      <w:r w:rsidR="00AB633F" w:rsidRPr="009114DF">
        <w:rPr>
          <w:rFonts w:ascii="Times New Roman" w:eastAsia="Times New Roman" w:hAnsi="Times New Roman"/>
          <w:sz w:val="28"/>
          <w:szCs w:val="28"/>
          <w:lang w:eastAsia="ru-RU"/>
        </w:rPr>
        <w:t xml:space="preserve">  </w:t>
      </w:r>
      <w:r w:rsidR="003B56F6" w:rsidRPr="009114DF">
        <w:rPr>
          <w:rFonts w:ascii="Times New Roman" w:eastAsia="Times New Roman" w:hAnsi="Times New Roman"/>
          <w:sz w:val="28"/>
          <w:szCs w:val="28"/>
          <w:lang w:eastAsia="ru-RU"/>
        </w:rPr>
        <w:t>о</w:t>
      </w:r>
      <w:r w:rsidR="00AB633F" w:rsidRPr="009114DF">
        <w:rPr>
          <w:rFonts w:ascii="Times New Roman" w:eastAsia="Times New Roman" w:hAnsi="Times New Roman"/>
          <w:sz w:val="28"/>
          <w:szCs w:val="28"/>
          <w:lang w:eastAsia="ru-RU"/>
        </w:rPr>
        <w:t xml:space="preserve">стеопения </w:t>
      </w:r>
      <w:r w:rsidR="00CD2EDC" w:rsidRPr="009114DF">
        <w:rPr>
          <w:rFonts w:ascii="Times New Roman" w:eastAsia="Times New Roman" w:hAnsi="Times New Roman"/>
          <w:sz w:val="28"/>
          <w:szCs w:val="28"/>
          <w:lang w:eastAsia="ru-RU"/>
        </w:rPr>
        <w:t xml:space="preserve"> – </w:t>
      </w:r>
      <w:r w:rsidR="003B56F6" w:rsidRPr="009114DF">
        <w:rPr>
          <w:rFonts w:ascii="Times New Roman" w:eastAsia="Times New Roman" w:hAnsi="Times New Roman"/>
          <w:sz w:val="28"/>
          <w:szCs w:val="28"/>
          <w:lang w:eastAsia="ru-RU"/>
        </w:rPr>
        <w:t xml:space="preserve"> от -1 до -2,5 </w:t>
      </w:r>
      <w:r w:rsidR="00B74106" w:rsidRPr="009114DF">
        <w:rPr>
          <w:rFonts w:ascii="Times New Roman" w:eastAsia="Times New Roman" w:hAnsi="Times New Roman"/>
          <w:sz w:val="28"/>
          <w:szCs w:val="28"/>
          <w:lang w:val="en-US" w:eastAsia="ru-RU"/>
        </w:rPr>
        <w:t>SD</w:t>
      </w:r>
      <w:r w:rsidR="003B56F6" w:rsidRPr="009114DF">
        <w:rPr>
          <w:rFonts w:ascii="Times New Roman" w:eastAsia="Times New Roman" w:hAnsi="Times New Roman"/>
          <w:sz w:val="28"/>
          <w:szCs w:val="28"/>
          <w:lang w:eastAsia="ru-RU"/>
        </w:rPr>
        <w:t>, о</w:t>
      </w:r>
      <w:r w:rsidR="00AB633F" w:rsidRPr="009114DF">
        <w:rPr>
          <w:rFonts w:ascii="Times New Roman" w:eastAsia="Times New Roman" w:hAnsi="Times New Roman"/>
          <w:sz w:val="28"/>
          <w:szCs w:val="28"/>
          <w:lang w:eastAsia="ru-RU"/>
        </w:rPr>
        <w:t>стеоп</w:t>
      </w:r>
      <w:r w:rsidR="003B56F6" w:rsidRPr="009114DF">
        <w:rPr>
          <w:rFonts w:ascii="Times New Roman" w:eastAsia="Times New Roman" w:hAnsi="Times New Roman"/>
          <w:sz w:val="28"/>
          <w:szCs w:val="28"/>
          <w:lang w:eastAsia="ru-RU"/>
        </w:rPr>
        <w:t>ороз</w:t>
      </w:r>
      <w:r w:rsidR="00CD2EDC" w:rsidRPr="009114DF">
        <w:rPr>
          <w:rFonts w:ascii="Times New Roman" w:eastAsia="Times New Roman" w:hAnsi="Times New Roman"/>
          <w:sz w:val="28"/>
          <w:szCs w:val="28"/>
          <w:lang w:eastAsia="ru-RU"/>
        </w:rPr>
        <w:t xml:space="preserve"> –</w:t>
      </w:r>
      <w:r w:rsidR="00E15D8A" w:rsidRPr="009114DF">
        <w:rPr>
          <w:rFonts w:ascii="Times New Roman" w:eastAsia="Times New Roman" w:hAnsi="Times New Roman"/>
          <w:sz w:val="28"/>
          <w:szCs w:val="28"/>
          <w:lang w:eastAsia="ru-RU"/>
        </w:rPr>
        <w:br/>
      </w:r>
      <w:r w:rsidR="003B56F6" w:rsidRPr="009114DF">
        <w:rPr>
          <w:rFonts w:ascii="Times New Roman" w:eastAsia="Times New Roman" w:hAnsi="Times New Roman"/>
          <w:sz w:val="28"/>
          <w:szCs w:val="28"/>
          <w:lang w:eastAsia="ru-RU"/>
        </w:rPr>
        <w:t xml:space="preserve">Т-критерий менее -2,5 </w:t>
      </w:r>
      <w:r w:rsidR="00B74106" w:rsidRPr="009114DF">
        <w:rPr>
          <w:rFonts w:ascii="Times New Roman" w:eastAsia="Times New Roman" w:hAnsi="Times New Roman"/>
          <w:sz w:val="28"/>
          <w:szCs w:val="28"/>
          <w:lang w:val="en-US" w:eastAsia="ru-RU"/>
        </w:rPr>
        <w:t>SD</w:t>
      </w:r>
      <w:r w:rsidR="003B56F6" w:rsidRPr="009114DF">
        <w:rPr>
          <w:rFonts w:ascii="Times New Roman" w:eastAsia="Times New Roman" w:hAnsi="Times New Roman"/>
          <w:sz w:val="28"/>
          <w:szCs w:val="28"/>
          <w:lang w:eastAsia="ru-RU"/>
        </w:rPr>
        <w:t>, т</w:t>
      </w:r>
      <w:r w:rsidR="00AB633F" w:rsidRPr="009114DF">
        <w:rPr>
          <w:rFonts w:ascii="Times New Roman" w:eastAsia="Times New Roman" w:hAnsi="Times New Roman"/>
          <w:sz w:val="28"/>
          <w:szCs w:val="28"/>
          <w:lang w:eastAsia="ru-RU"/>
        </w:rPr>
        <w:t>яжелый остеопороз</w:t>
      </w:r>
      <w:r w:rsidR="00CD2EDC" w:rsidRPr="009114DF">
        <w:rPr>
          <w:rFonts w:ascii="Times New Roman" w:eastAsia="Times New Roman" w:hAnsi="Times New Roman"/>
          <w:sz w:val="28"/>
          <w:szCs w:val="28"/>
          <w:lang w:eastAsia="ru-RU"/>
        </w:rPr>
        <w:t xml:space="preserve"> – </w:t>
      </w:r>
      <w:r w:rsidR="00AB633F" w:rsidRPr="009114DF">
        <w:rPr>
          <w:rFonts w:ascii="Times New Roman" w:eastAsia="Times New Roman" w:hAnsi="Times New Roman"/>
          <w:sz w:val="28"/>
          <w:szCs w:val="28"/>
          <w:lang w:eastAsia="ru-RU"/>
        </w:rPr>
        <w:t>при наличии Т-критери</w:t>
      </w:r>
      <w:r w:rsidR="00404230" w:rsidRPr="009114DF">
        <w:rPr>
          <w:rFonts w:ascii="Times New Roman" w:eastAsia="Times New Roman" w:hAnsi="Times New Roman"/>
          <w:sz w:val="28"/>
          <w:szCs w:val="28"/>
          <w:lang w:eastAsia="ru-RU"/>
        </w:rPr>
        <w:t>я</w:t>
      </w:r>
      <w:r w:rsidR="00AB633F" w:rsidRPr="009114DF">
        <w:rPr>
          <w:rFonts w:ascii="Times New Roman" w:eastAsia="Times New Roman" w:hAnsi="Times New Roman"/>
          <w:sz w:val="28"/>
          <w:szCs w:val="28"/>
          <w:lang w:eastAsia="ru-RU"/>
        </w:rPr>
        <w:t xml:space="preserve"> менее </w:t>
      </w:r>
      <w:r w:rsidR="003B56F6" w:rsidRPr="009114DF">
        <w:rPr>
          <w:rFonts w:ascii="Times New Roman" w:eastAsia="Times New Roman" w:hAnsi="Times New Roman"/>
          <w:sz w:val="28"/>
          <w:szCs w:val="28"/>
          <w:lang w:eastAsia="ru-RU"/>
        </w:rPr>
        <w:t xml:space="preserve">-2,5 </w:t>
      </w:r>
      <w:r w:rsidR="00A62DD3" w:rsidRPr="009114DF">
        <w:rPr>
          <w:rFonts w:ascii="Times New Roman" w:eastAsia="Times New Roman" w:hAnsi="Times New Roman"/>
          <w:sz w:val="28"/>
          <w:szCs w:val="28"/>
          <w:lang w:val="en-US" w:eastAsia="ru-RU"/>
        </w:rPr>
        <w:t>SD</w:t>
      </w:r>
      <w:r w:rsidR="00AB633F" w:rsidRPr="009114DF">
        <w:rPr>
          <w:rFonts w:ascii="Times New Roman" w:eastAsia="Times New Roman" w:hAnsi="Times New Roman"/>
          <w:sz w:val="28"/>
          <w:szCs w:val="28"/>
          <w:lang w:eastAsia="ru-RU"/>
        </w:rPr>
        <w:t xml:space="preserve"> и  перелома </w:t>
      </w:r>
      <w:r w:rsidR="003B56F6" w:rsidRPr="009114DF">
        <w:rPr>
          <w:rFonts w:ascii="Times New Roman" w:eastAsia="Times New Roman" w:hAnsi="Times New Roman"/>
          <w:sz w:val="28"/>
          <w:szCs w:val="28"/>
          <w:lang w:eastAsia="ru-RU"/>
        </w:rPr>
        <w:t>при минимальном уровне травмы</w:t>
      </w:r>
      <w:r w:rsidR="00AB633F" w:rsidRPr="009114DF">
        <w:rPr>
          <w:rFonts w:ascii="Times New Roman" w:eastAsia="Times New Roman" w:hAnsi="Times New Roman"/>
          <w:sz w:val="28"/>
          <w:szCs w:val="28"/>
          <w:lang w:eastAsia="ru-RU"/>
        </w:rPr>
        <w:t>.</w:t>
      </w:r>
      <w:proofErr w:type="gramEnd"/>
      <w:r w:rsidR="00AB633F" w:rsidRPr="009114DF">
        <w:rPr>
          <w:rFonts w:ascii="Times New Roman" w:eastAsia="Times New Roman" w:hAnsi="Times New Roman"/>
          <w:sz w:val="28"/>
          <w:szCs w:val="28"/>
          <w:lang w:eastAsia="ru-RU"/>
        </w:rPr>
        <w:t xml:space="preserve"> </w:t>
      </w:r>
      <w:r w:rsidR="00AD02D1" w:rsidRPr="009114DF">
        <w:rPr>
          <w:rFonts w:ascii="Times New Roman" w:eastAsia="Times New Roman" w:hAnsi="Times New Roman"/>
          <w:sz w:val="28"/>
          <w:szCs w:val="28"/>
          <w:lang w:eastAsia="ru-RU"/>
        </w:rPr>
        <w:t xml:space="preserve">Для оценки динамики МПК денситометрия проводилась </w:t>
      </w:r>
      <w:r w:rsidR="00E15D8A" w:rsidRPr="009114DF">
        <w:rPr>
          <w:rFonts w:ascii="Times New Roman" w:eastAsia="Times New Roman" w:hAnsi="Times New Roman"/>
          <w:sz w:val="28"/>
          <w:szCs w:val="28"/>
          <w:lang w:eastAsia="ru-RU"/>
        </w:rPr>
        <w:t>один</w:t>
      </w:r>
      <w:r w:rsidR="00AD02D1" w:rsidRPr="009114DF">
        <w:rPr>
          <w:rFonts w:ascii="Times New Roman" w:eastAsia="Times New Roman" w:hAnsi="Times New Roman"/>
          <w:sz w:val="28"/>
          <w:szCs w:val="28"/>
          <w:lang w:eastAsia="ru-RU"/>
        </w:rPr>
        <w:t xml:space="preserve"> раз в год в течение 4 лет.</w:t>
      </w:r>
    </w:p>
    <w:p w:rsidR="007C2C06" w:rsidRPr="009114DF" w:rsidRDefault="00E15D8A" w:rsidP="00397325">
      <w:pPr>
        <w:spacing w:before="120" w:after="0" w:line="370" w:lineRule="auto"/>
        <w:ind w:left="709"/>
        <w:rPr>
          <w:rFonts w:ascii="Times New Roman" w:eastAsia="Times New Roman" w:hAnsi="Times New Roman"/>
          <w:b/>
          <w:sz w:val="28"/>
          <w:szCs w:val="28"/>
          <w:lang w:eastAsia="ru-RU"/>
        </w:rPr>
      </w:pPr>
      <w:r w:rsidRPr="009114DF">
        <w:rPr>
          <w:sz w:val="28"/>
          <w:szCs w:val="28"/>
        </w:rPr>
        <w:t xml:space="preserve">▪ </w:t>
      </w:r>
      <w:r w:rsidR="003B56F6" w:rsidRPr="009114DF">
        <w:rPr>
          <w:rFonts w:ascii="Times New Roman" w:eastAsia="Times New Roman" w:hAnsi="Times New Roman"/>
          <w:b/>
          <w:sz w:val="28"/>
          <w:szCs w:val="28"/>
          <w:lang w:eastAsia="ru-RU"/>
        </w:rPr>
        <w:t>Оценка качества жизни</w:t>
      </w:r>
      <w:r w:rsidR="00121775" w:rsidRPr="009114DF">
        <w:rPr>
          <w:rFonts w:ascii="Times New Roman" w:eastAsia="Times New Roman" w:hAnsi="Times New Roman"/>
          <w:b/>
          <w:sz w:val="28"/>
          <w:szCs w:val="28"/>
          <w:lang w:eastAsia="ru-RU"/>
        </w:rPr>
        <w:t xml:space="preserve"> больных РА</w:t>
      </w:r>
    </w:p>
    <w:p w:rsidR="00E861FB" w:rsidRPr="009114DF" w:rsidRDefault="00E861FB" w:rsidP="00397325">
      <w:pPr>
        <w:autoSpaceDE w:val="0"/>
        <w:autoSpaceDN w:val="0"/>
        <w:spacing w:after="0" w:line="370" w:lineRule="auto"/>
        <w:ind w:firstLine="567"/>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Для оценки КЖ использовались </w:t>
      </w:r>
      <w:proofErr w:type="gramStart"/>
      <w:r w:rsidR="003B56F6" w:rsidRPr="009114DF">
        <w:rPr>
          <w:rFonts w:ascii="Times New Roman" w:hAnsi="Times New Roman"/>
          <w:kern w:val="2"/>
          <w:sz w:val="28"/>
          <w:szCs w:val="28"/>
          <w:lang w:eastAsia="ko-KR"/>
        </w:rPr>
        <w:t>общий</w:t>
      </w:r>
      <w:proofErr w:type="gramEnd"/>
      <w:r w:rsidR="003B56F6" w:rsidRPr="009114DF">
        <w:rPr>
          <w:rFonts w:ascii="Times New Roman" w:hAnsi="Times New Roman"/>
          <w:kern w:val="2"/>
          <w:sz w:val="28"/>
          <w:szCs w:val="28"/>
          <w:lang w:eastAsia="ko-KR"/>
        </w:rPr>
        <w:t xml:space="preserve"> опросник</w:t>
      </w:r>
      <w:r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val="en-US" w:eastAsia="ko-KR"/>
        </w:rPr>
        <w:t>EQ</w:t>
      </w:r>
      <w:r w:rsidRPr="009114DF">
        <w:rPr>
          <w:rFonts w:ascii="Times New Roman" w:hAnsi="Times New Roman"/>
          <w:kern w:val="2"/>
          <w:sz w:val="28"/>
          <w:szCs w:val="28"/>
          <w:lang w:eastAsia="ko-KR"/>
        </w:rPr>
        <w:t>-5</w:t>
      </w:r>
      <w:r w:rsidRPr="009114DF">
        <w:rPr>
          <w:rFonts w:ascii="Times New Roman" w:hAnsi="Times New Roman"/>
          <w:kern w:val="2"/>
          <w:sz w:val="28"/>
          <w:szCs w:val="28"/>
          <w:lang w:val="en-US" w:eastAsia="ko-KR"/>
        </w:rPr>
        <w:t>D</w:t>
      </w:r>
      <w:r w:rsidRPr="009114DF">
        <w:rPr>
          <w:rFonts w:ascii="Times New Roman" w:hAnsi="Times New Roman"/>
          <w:kern w:val="2"/>
          <w:sz w:val="28"/>
          <w:szCs w:val="28"/>
          <w:lang w:eastAsia="ko-KR"/>
        </w:rPr>
        <w:t xml:space="preserve"> и</w:t>
      </w:r>
      <w:r w:rsidR="003B56F6" w:rsidRPr="009114DF">
        <w:rPr>
          <w:rFonts w:ascii="Times New Roman" w:hAnsi="Times New Roman"/>
          <w:kern w:val="2"/>
          <w:sz w:val="28"/>
          <w:szCs w:val="28"/>
          <w:lang w:eastAsia="ko-KR"/>
        </w:rPr>
        <w:t xml:space="preserve"> </w:t>
      </w:r>
      <w:r w:rsidR="00F84453" w:rsidRPr="009114DF">
        <w:rPr>
          <w:rFonts w:ascii="Times New Roman" w:hAnsi="Times New Roman"/>
          <w:kern w:val="2"/>
          <w:sz w:val="28"/>
          <w:szCs w:val="28"/>
          <w:lang w:eastAsia="ko-KR"/>
        </w:rPr>
        <w:t>специальный опросник</w:t>
      </w:r>
      <w:r w:rsidR="003B56F6"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val="en-US" w:eastAsia="ko-KR"/>
        </w:rPr>
        <w:t>HAQ</w:t>
      </w:r>
      <w:r w:rsidRPr="009114DF">
        <w:rPr>
          <w:rFonts w:ascii="Times New Roman" w:hAnsi="Times New Roman"/>
          <w:kern w:val="2"/>
          <w:sz w:val="28"/>
          <w:szCs w:val="28"/>
          <w:lang w:eastAsia="ko-KR"/>
        </w:rPr>
        <w:t>. Все пациенты самостоятельно заполняли опросники</w:t>
      </w:r>
      <w:r w:rsidR="00F84453" w:rsidRPr="009114DF">
        <w:rPr>
          <w:rFonts w:ascii="Times New Roman" w:hAnsi="Times New Roman"/>
          <w:kern w:val="2"/>
          <w:sz w:val="28"/>
          <w:szCs w:val="28"/>
          <w:lang w:eastAsia="ko-KR"/>
        </w:rPr>
        <w:t>, получая при необходимости консультации.</w:t>
      </w:r>
      <w:r w:rsidRPr="009114DF">
        <w:rPr>
          <w:rFonts w:ascii="Times New Roman" w:hAnsi="Times New Roman"/>
          <w:kern w:val="2"/>
          <w:sz w:val="28"/>
          <w:szCs w:val="28"/>
          <w:lang w:eastAsia="ko-KR"/>
        </w:rPr>
        <w:t xml:space="preserve"> </w:t>
      </w:r>
    </w:p>
    <w:p w:rsidR="008147BB" w:rsidRPr="009114DF" w:rsidRDefault="00E861FB" w:rsidP="00397325">
      <w:pPr>
        <w:autoSpaceDE w:val="0"/>
        <w:autoSpaceDN w:val="0"/>
        <w:spacing w:after="0" w:line="370" w:lineRule="auto"/>
        <w:ind w:firstLine="567"/>
        <w:jc w:val="both"/>
        <w:rPr>
          <w:rFonts w:ascii="Times New Roman" w:hAnsi="Times New Roman"/>
          <w:kern w:val="2"/>
          <w:sz w:val="28"/>
          <w:szCs w:val="28"/>
          <w:lang w:eastAsia="ko-KR"/>
        </w:rPr>
      </w:pPr>
      <w:r w:rsidRPr="009114DF">
        <w:rPr>
          <w:rFonts w:ascii="Times New Roman" w:hAnsi="Times New Roman"/>
          <w:kern w:val="2"/>
          <w:sz w:val="28"/>
          <w:szCs w:val="28"/>
          <w:lang w:eastAsia="ko-KR"/>
        </w:rPr>
        <w:t xml:space="preserve">Опросник </w:t>
      </w:r>
      <w:r w:rsidRPr="009114DF">
        <w:rPr>
          <w:rFonts w:ascii="Times New Roman" w:hAnsi="Times New Roman"/>
          <w:kern w:val="2"/>
          <w:sz w:val="28"/>
          <w:szCs w:val="28"/>
          <w:lang w:val="en-US" w:eastAsia="ko-KR"/>
        </w:rPr>
        <w:t>EQ</w:t>
      </w:r>
      <w:r w:rsidRPr="009114DF">
        <w:rPr>
          <w:rFonts w:ascii="Times New Roman" w:hAnsi="Times New Roman"/>
          <w:kern w:val="2"/>
          <w:sz w:val="28"/>
          <w:szCs w:val="28"/>
          <w:lang w:eastAsia="ko-KR"/>
        </w:rPr>
        <w:t>-5</w:t>
      </w:r>
      <w:r w:rsidRPr="009114DF">
        <w:rPr>
          <w:rFonts w:ascii="Times New Roman" w:hAnsi="Times New Roman"/>
          <w:kern w:val="2"/>
          <w:sz w:val="28"/>
          <w:szCs w:val="28"/>
          <w:lang w:val="en-US" w:eastAsia="ko-KR"/>
        </w:rPr>
        <w:t>D</w:t>
      </w:r>
      <w:r w:rsidR="00F84453" w:rsidRPr="009114DF">
        <w:rPr>
          <w:rFonts w:ascii="Times New Roman" w:hAnsi="Times New Roman"/>
          <w:kern w:val="2"/>
          <w:sz w:val="28"/>
          <w:szCs w:val="28"/>
          <w:lang w:eastAsia="ko-KR"/>
        </w:rPr>
        <w:t xml:space="preserve"> </w:t>
      </w:r>
      <w:r w:rsidR="00CD2EDC" w:rsidRPr="009114DF">
        <w:rPr>
          <w:rFonts w:ascii="Times New Roman" w:hAnsi="Times New Roman"/>
          <w:kern w:val="2"/>
          <w:sz w:val="28"/>
          <w:szCs w:val="28"/>
          <w:lang w:eastAsia="ko-KR"/>
        </w:rPr>
        <w:t xml:space="preserve">– </w:t>
      </w:r>
      <w:r w:rsidR="00F84453" w:rsidRPr="009114DF">
        <w:rPr>
          <w:rFonts w:ascii="Times New Roman" w:hAnsi="Times New Roman"/>
          <w:kern w:val="2"/>
          <w:sz w:val="28"/>
          <w:szCs w:val="28"/>
          <w:lang w:eastAsia="ko-KR"/>
        </w:rPr>
        <w:t xml:space="preserve">это опросник общего характера, прост для заполнения и дает в ходе обработки собранных данных единый балл для оценки КЖ, представленный величинами от 0 до 1. Он широко используется в различных клинических ситуациях, в том числе при оценке КЖ больных ревматологического профиля. Опросник </w:t>
      </w:r>
      <w:r w:rsidRPr="009114DF">
        <w:rPr>
          <w:rFonts w:ascii="Times New Roman" w:hAnsi="Times New Roman"/>
          <w:kern w:val="2"/>
          <w:sz w:val="28"/>
          <w:szCs w:val="28"/>
          <w:lang w:eastAsia="ko-KR"/>
        </w:rPr>
        <w:t xml:space="preserve">состоит из </w:t>
      </w:r>
      <w:r w:rsidR="00E15D8A" w:rsidRPr="009114DF">
        <w:rPr>
          <w:rFonts w:ascii="Times New Roman" w:hAnsi="Times New Roman"/>
          <w:kern w:val="2"/>
          <w:sz w:val="28"/>
          <w:szCs w:val="28"/>
          <w:lang w:eastAsia="ko-KR"/>
        </w:rPr>
        <w:t>двух</w:t>
      </w:r>
      <w:r w:rsidRPr="009114DF">
        <w:rPr>
          <w:rFonts w:ascii="Times New Roman" w:hAnsi="Times New Roman"/>
          <w:kern w:val="2"/>
          <w:sz w:val="28"/>
          <w:szCs w:val="28"/>
          <w:lang w:eastAsia="ko-KR"/>
        </w:rPr>
        <w:t xml:space="preserve"> частей. Первая часть включает 5 компонентов, связанных с </w:t>
      </w:r>
      <w:r w:rsidR="00E15D8A" w:rsidRPr="009114DF">
        <w:rPr>
          <w:rFonts w:ascii="Times New Roman" w:hAnsi="Times New Roman"/>
          <w:kern w:val="2"/>
          <w:sz w:val="28"/>
          <w:szCs w:val="28"/>
          <w:lang w:eastAsia="ko-KR"/>
        </w:rPr>
        <w:t>так</w:t>
      </w:r>
      <w:r w:rsidRPr="009114DF">
        <w:rPr>
          <w:rFonts w:ascii="Times New Roman" w:hAnsi="Times New Roman"/>
          <w:kern w:val="2"/>
          <w:sz w:val="28"/>
          <w:szCs w:val="28"/>
          <w:lang w:eastAsia="ko-KR"/>
        </w:rPr>
        <w:t>ими аспектами жизни</w:t>
      </w:r>
      <w:r w:rsidR="00E15D8A" w:rsidRPr="009114DF">
        <w:rPr>
          <w:rFonts w:ascii="Times New Roman" w:hAnsi="Times New Roman"/>
          <w:kern w:val="2"/>
          <w:sz w:val="28"/>
          <w:szCs w:val="28"/>
          <w:lang w:eastAsia="ko-KR"/>
        </w:rPr>
        <w:t>, как</w:t>
      </w:r>
      <w:r w:rsidRPr="009114DF">
        <w:rPr>
          <w:rFonts w:ascii="Times New Roman" w:hAnsi="Times New Roman"/>
          <w:kern w:val="2"/>
          <w:sz w:val="28"/>
          <w:szCs w:val="28"/>
          <w:lang w:eastAsia="ko-KR"/>
        </w:rPr>
        <w:t xml:space="preserve">: подвижность, </w:t>
      </w:r>
      <w:r w:rsidRPr="009114DF">
        <w:rPr>
          <w:rFonts w:ascii="Times New Roman" w:hAnsi="Times New Roman"/>
          <w:kern w:val="2"/>
          <w:sz w:val="28"/>
          <w:szCs w:val="28"/>
          <w:lang w:eastAsia="ko-KR"/>
        </w:rPr>
        <w:lastRenderedPageBreak/>
        <w:t>самообслуживание, активность в повседневной жизни, боль/дискомфорт и беспокойство/депрессия. Каждый компонент разделен на три уровня в зависимости от степени выраженности проблемы. Результаты ответов исследуемых  представлены как в виде профиля «состояния здоровья» EQ</w:t>
      </w:r>
      <w:r w:rsidR="00E15D8A"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5</w:t>
      </w:r>
      <w:r w:rsidRPr="009114DF">
        <w:rPr>
          <w:rFonts w:ascii="Times New Roman" w:hAnsi="Times New Roman"/>
          <w:kern w:val="2"/>
          <w:sz w:val="28"/>
          <w:szCs w:val="28"/>
          <w:lang w:val="en-US" w:eastAsia="ko-KR"/>
        </w:rPr>
        <w:t>D</w:t>
      </w:r>
      <w:r w:rsidR="00E15D8A"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profilе, так и количественног</w:t>
      </w:r>
      <w:r w:rsidR="007B497D" w:rsidRPr="009114DF">
        <w:rPr>
          <w:rFonts w:ascii="Times New Roman" w:hAnsi="Times New Roman"/>
          <w:kern w:val="2"/>
          <w:sz w:val="28"/>
          <w:szCs w:val="28"/>
          <w:lang w:eastAsia="ko-KR"/>
        </w:rPr>
        <w:t>о показателя «индекса здоровья»</w:t>
      </w:r>
      <w:r w:rsidR="008147BB"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EQ</w:t>
      </w:r>
      <w:r w:rsidR="00E15D8A"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5</w:t>
      </w:r>
      <w:r w:rsidRPr="009114DF">
        <w:rPr>
          <w:rFonts w:ascii="Times New Roman" w:hAnsi="Times New Roman"/>
          <w:kern w:val="2"/>
          <w:sz w:val="28"/>
          <w:szCs w:val="28"/>
          <w:lang w:val="en-US" w:eastAsia="ko-KR"/>
        </w:rPr>
        <w:t>D</w:t>
      </w:r>
      <w:r w:rsidR="00E15D8A"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utility</w:t>
      </w:r>
      <w:r w:rsidR="009B496B" w:rsidRPr="009114DF">
        <w:rPr>
          <w:rFonts w:ascii="Times New Roman" w:hAnsi="Times New Roman"/>
          <w:kern w:val="2"/>
          <w:sz w:val="28"/>
          <w:szCs w:val="28"/>
          <w:lang w:eastAsia="ko-KR"/>
        </w:rPr>
        <w:t xml:space="preserve"> [</w:t>
      </w:r>
      <w:r w:rsidR="00895638" w:rsidRPr="009114DF">
        <w:rPr>
          <w:rFonts w:ascii="Times New Roman" w:hAnsi="Times New Roman"/>
          <w:kern w:val="2"/>
          <w:sz w:val="28"/>
          <w:szCs w:val="28"/>
          <w:lang w:eastAsia="ko-KR"/>
        </w:rPr>
        <w:t>3</w:t>
      </w:r>
      <w:r w:rsidR="00244126" w:rsidRPr="009114DF">
        <w:rPr>
          <w:rFonts w:ascii="Times New Roman" w:hAnsi="Times New Roman"/>
          <w:kern w:val="2"/>
          <w:sz w:val="28"/>
          <w:szCs w:val="28"/>
          <w:lang w:eastAsia="ko-KR"/>
        </w:rPr>
        <w:t>,</w:t>
      </w:r>
      <w:r w:rsidR="00E15D8A" w:rsidRPr="009114DF">
        <w:rPr>
          <w:rFonts w:ascii="Times New Roman" w:hAnsi="Times New Roman"/>
          <w:kern w:val="2"/>
          <w:sz w:val="28"/>
          <w:szCs w:val="28"/>
          <w:lang w:eastAsia="ko-KR"/>
        </w:rPr>
        <w:t xml:space="preserve"> </w:t>
      </w:r>
      <w:r w:rsidR="00E35148" w:rsidRPr="009114DF">
        <w:rPr>
          <w:rFonts w:ascii="Times New Roman" w:hAnsi="Times New Roman"/>
          <w:kern w:val="2"/>
          <w:sz w:val="28"/>
          <w:szCs w:val="28"/>
          <w:lang w:eastAsia="ko-KR"/>
        </w:rPr>
        <w:t>7</w:t>
      </w:r>
      <w:r w:rsidR="009B496B"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w:t>
      </w:r>
    </w:p>
    <w:p w:rsidR="00E861FB" w:rsidRPr="009114DF" w:rsidRDefault="00E861FB" w:rsidP="00397325">
      <w:pPr>
        <w:autoSpaceDE w:val="0"/>
        <w:autoSpaceDN w:val="0"/>
        <w:spacing w:after="0" w:line="370" w:lineRule="auto"/>
        <w:ind w:firstLine="567"/>
        <w:jc w:val="both"/>
        <w:rPr>
          <w:rFonts w:ascii="Times New Roman" w:hAnsi="Times New Roman"/>
          <w:kern w:val="2"/>
          <w:sz w:val="28"/>
          <w:szCs w:val="28"/>
          <w:lang w:eastAsia="ko-KR"/>
        </w:rPr>
      </w:pPr>
      <w:r w:rsidRPr="009114DF">
        <w:rPr>
          <w:rFonts w:ascii="Times New Roman" w:hAnsi="Times New Roman"/>
          <w:kern w:val="2"/>
          <w:sz w:val="28"/>
          <w:szCs w:val="28"/>
          <w:lang w:eastAsia="ko-KR"/>
        </w:rPr>
        <w:t>Вторая часть опросника представляет собой визуально</w:t>
      </w:r>
      <w:r w:rsidR="00E15D8A"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аналоговую шкалу (ВАШ), так называемый термометр здоровья. Это 20</w:t>
      </w:r>
      <w:r w:rsidR="00E15D8A"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сантиметровая вертикальная градуированная линейка, на которой 0 означает самое плохое</w:t>
      </w:r>
      <w:r w:rsidR="00E15D8A" w:rsidRPr="009114DF">
        <w:rPr>
          <w:rFonts w:ascii="Times New Roman" w:hAnsi="Times New Roman"/>
          <w:kern w:val="2"/>
          <w:sz w:val="28"/>
          <w:szCs w:val="28"/>
          <w:lang w:eastAsia="ko-KR"/>
        </w:rPr>
        <w:t xml:space="preserve"> состояние здоровья</w:t>
      </w:r>
      <w:r w:rsidRPr="009114DF">
        <w:rPr>
          <w:rFonts w:ascii="Times New Roman" w:hAnsi="Times New Roman"/>
          <w:kern w:val="2"/>
          <w:sz w:val="28"/>
          <w:szCs w:val="28"/>
          <w:lang w:eastAsia="ko-KR"/>
        </w:rPr>
        <w:t>, а 100 – самое хорошее. Обследуемый делает отметку на термометре в том месте, которое отражает состояние его здоровья на момент заполнения. Эта часть опросника представляет собой количественную оценку обще</w:t>
      </w:r>
      <w:r w:rsidR="007B497D" w:rsidRPr="009114DF">
        <w:rPr>
          <w:rFonts w:ascii="Times New Roman" w:hAnsi="Times New Roman"/>
          <w:kern w:val="2"/>
          <w:sz w:val="28"/>
          <w:szCs w:val="28"/>
          <w:lang w:eastAsia="ko-KR"/>
        </w:rPr>
        <w:t>го статуса здоровья. Оценивается</w:t>
      </w:r>
      <w:r w:rsidRPr="009114DF">
        <w:rPr>
          <w:rFonts w:ascii="Times New Roman" w:hAnsi="Times New Roman"/>
          <w:kern w:val="2"/>
          <w:sz w:val="28"/>
          <w:szCs w:val="28"/>
          <w:lang w:eastAsia="ko-KR"/>
        </w:rPr>
        <w:t xml:space="preserve"> минимальное клинически значимое изменение индекса EQ-5D до и после лечения: &lt;0,10 балла</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нет эффекта, 0,10</w:t>
      </w:r>
      <w:r w:rsidR="00E15D8A"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0,24</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минимальный эффект, 0,24</w:t>
      </w:r>
      <w:r w:rsidR="00E15D8A"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0,31</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удовлетворительный эффект,</w:t>
      </w:r>
      <w:r w:rsidR="00097064"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≥0,31 балл</w:t>
      </w:r>
      <w:r w:rsidR="00E15D8A" w:rsidRPr="009114DF">
        <w:rPr>
          <w:rFonts w:ascii="Times New Roman" w:hAnsi="Times New Roman"/>
          <w:kern w:val="2"/>
          <w:sz w:val="28"/>
          <w:szCs w:val="28"/>
          <w:lang w:eastAsia="ko-KR"/>
        </w:rPr>
        <w:t>а</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выраженный эффект</w:t>
      </w:r>
      <w:r w:rsidR="00CA1ABF" w:rsidRPr="009114DF">
        <w:rPr>
          <w:rFonts w:ascii="Times New Roman" w:hAnsi="Times New Roman"/>
          <w:kern w:val="2"/>
          <w:sz w:val="28"/>
          <w:szCs w:val="28"/>
          <w:lang w:eastAsia="ko-KR"/>
        </w:rPr>
        <w:t xml:space="preserve"> </w:t>
      </w:r>
      <w:r w:rsidR="00244126" w:rsidRPr="009114DF">
        <w:rPr>
          <w:rFonts w:ascii="Times New Roman" w:hAnsi="Times New Roman"/>
          <w:kern w:val="2"/>
          <w:sz w:val="28"/>
          <w:szCs w:val="28"/>
          <w:lang w:eastAsia="ko-KR"/>
        </w:rPr>
        <w:t>[2,</w:t>
      </w:r>
      <w:r w:rsidR="00E15D8A" w:rsidRPr="009114DF">
        <w:rPr>
          <w:rFonts w:ascii="Times New Roman" w:hAnsi="Times New Roman"/>
          <w:kern w:val="2"/>
          <w:sz w:val="28"/>
          <w:szCs w:val="28"/>
          <w:lang w:eastAsia="ko-KR"/>
        </w:rPr>
        <w:t xml:space="preserve"> </w:t>
      </w:r>
      <w:r w:rsidR="00E35148" w:rsidRPr="009114DF">
        <w:rPr>
          <w:rFonts w:ascii="Times New Roman" w:hAnsi="Times New Roman"/>
          <w:kern w:val="2"/>
          <w:sz w:val="28"/>
          <w:szCs w:val="28"/>
          <w:lang w:eastAsia="ko-KR"/>
        </w:rPr>
        <w:t>6</w:t>
      </w:r>
      <w:r w:rsidR="009B496B" w:rsidRPr="009114DF">
        <w:rPr>
          <w:rFonts w:ascii="Times New Roman" w:hAnsi="Times New Roman"/>
          <w:kern w:val="2"/>
          <w:sz w:val="28"/>
          <w:szCs w:val="28"/>
          <w:lang w:eastAsia="ko-KR"/>
        </w:rPr>
        <w:t xml:space="preserve">]. </w:t>
      </w:r>
    </w:p>
    <w:p w:rsidR="00D71286" w:rsidRPr="009114DF" w:rsidRDefault="007B497D" w:rsidP="009A3840">
      <w:pPr>
        <w:autoSpaceDE w:val="0"/>
        <w:autoSpaceDN w:val="0"/>
        <w:spacing w:after="0" w:line="370" w:lineRule="auto"/>
        <w:ind w:firstLine="567"/>
        <w:jc w:val="both"/>
        <w:rPr>
          <w:rFonts w:ascii="Times New Roman" w:hAnsi="Times New Roman"/>
          <w:kern w:val="2"/>
          <w:sz w:val="28"/>
          <w:szCs w:val="28"/>
          <w:lang w:eastAsia="ko-KR"/>
        </w:rPr>
      </w:pPr>
      <w:r w:rsidRPr="009114DF">
        <w:rPr>
          <w:rFonts w:ascii="Times New Roman" w:hAnsi="Times New Roman"/>
          <w:kern w:val="2"/>
          <w:sz w:val="28"/>
          <w:szCs w:val="28"/>
          <w:lang w:eastAsia="ko-KR"/>
        </w:rPr>
        <w:t>В стандарты обследования больных РА входит специальный опросник HAQ. Вопросы HAQ относятся к активности пациента в повседневной жизни. Опросник включает в себя подсч</w:t>
      </w:r>
      <w:r w:rsidR="00397325" w:rsidRPr="009114DF">
        <w:rPr>
          <w:rFonts w:ascii="Times New Roman" w:hAnsi="Times New Roman"/>
          <w:kern w:val="2"/>
          <w:sz w:val="28"/>
          <w:szCs w:val="28"/>
          <w:lang w:eastAsia="ko-KR"/>
        </w:rPr>
        <w:t>е</w:t>
      </w:r>
      <w:r w:rsidRPr="009114DF">
        <w:rPr>
          <w:rFonts w:ascii="Times New Roman" w:hAnsi="Times New Roman"/>
          <w:kern w:val="2"/>
          <w:sz w:val="28"/>
          <w:szCs w:val="28"/>
          <w:lang w:eastAsia="ko-KR"/>
        </w:rPr>
        <w:t>т индекса нарушения жизнедеятельности</w:t>
      </w:r>
      <w:r w:rsidR="00CA1ABF"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 (от 0 до 0,5 балл</w:t>
      </w:r>
      <w:r w:rsidR="00397325" w:rsidRPr="009114DF">
        <w:rPr>
          <w:rFonts w:ascii="Times New Roman" w:hAnsi="Times New Roman"/>
          <w:kern w:val="2"/>
          <w:sz w:val="28"/>
          <w:szCs w:val="28"/>
          <w:lang w:eastAsia="ko-KR"/>
        </w:rPr>
        <w:t>а</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нет функциональных нарушений, от 0,5 до 1,00 балл</w:t>
      </w:r>
      <w:r w:rsidR="00397325" w:rsidRPr="009114DF">
        <w:rPr>
          <w:rFonts w:ascii="Times New Roman" w:hAnsi="Times New Roman"/>
          <w:kern w:val="2"/>
          <w:sz w:val="28"/>
          <w:szCs w:val="28"/>
          <w:lang w:eastAsia="ko-KR"/>
        </w:rPr>
        <w:t>а</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минимальные, от 1,00 до 2,00 балл</w:t>
      </w:r>
      <w:r w:rsidR="00397325" w:rsidRPr="009114DF">
        <w:rPr>
          <w:rFonts w:ascii="Times New Roman" w:hAnsi="Times New Roman"/>
          <w:kern w:val="2"/>
          <w:sz w:val="28"/>
          <w:szCs w:val="28"/>
          <w:lang w:eastAsia="ko-KR"/>
        </w:rPr>
        <w:t>а</w:t>
      </w:r>
      <w:r w:rsidRPr="009114DF">
        <w:rPr>
          <w:rFonts w:ascii="Times New Roman" w:hAnsi="Times New Roman"/>
          <w:kern w:val="2"/>
          <w:sz w:val="28"/>
          <w:szCs w:val="28"/>
          <w:lang w:eastAsia="ko-KR"/>
        </w:rPr>
        <w:t xml:space="preserve"> – умеренные, </w:t>
      </w:r>
      <w:proofErr w:type="gramStart"/>
      <w:r w:rsidRPr="009114DF">
        <w:rPr>
          <w:rFonts w:ascii="Times New Roman" w:hAnsi="Times New Roman"/>
          <w:kern w:val="2"/>
          <w:sz w:val="28"/>
          <w:szCs w:val="28"/>
          <w:lang w:eastAsia="ko-KR"/>
        </w:rPr>
        <w:t>от</w:t>
      </w:r>
      <w:proofErr w:type="gramEnd"/>
      <w:r w:rsidRPr="009114DF">
        <w:rPr>
          <w:rFonts w:ascii="Times New Roman" w:hAnsi="Times New Roman"/>
          <w:kern w:val="2"/>
          <w:sz w:val="28"/>
          <w:szCs w:val="28"/>
          <w:lang w:eastAsia="ko-KR"/>
        </w:rPr>
        <w:t xml:space="preserve"> 2,00 </w:t>
      </w:r>
      <w:proofErr w:type="gramStart"/>
      <w:r w:rsidRPr="009114DF">
        <w:rPr>
          <w:rFonts w:ascii="Times New Roman" w:hAnsi="Times New Roman"/>
          <w:kern w:val="2"/>
          <w:sz w:val="28"/>
          <w:szCs w:val="28"/>
          <w:lang w:eastAsia="ko-KR"/>
        </w:rPr>
        <w:t>до</w:t>
      </w:r>
      <w:proofErr w:type="gramEnd"/>
      <w:r w:rsidRPr="009114DF">
        <w:rPr>
          <w:rFonts w:ascii="Times New Roman" w:hAnsi="Times New Roman"/>
          <w:kern w:val="2"/>
          <w:sz w:val="28"/>
          <w:szCs w:val="28"/>
          <w:lang w:eastAsia="ko-KR"/>
        </w:rPr>
        <w:t xml:space="preserve"> 3,0 балл</w:t>
      </w:r>
      <w:r w:rsidR="00397325" w:rsidRPr="009114DF">
        <w:rPr>
          <w:rFonts w:ascii="Times New Roman" w:hAnsi="Times New Roman"/>
          <w:kern w:val="2"/>
          <w:sz w:val="28"/>
          <w:szCs w:val="28"/>
          <w:lang w:eastAsia="ko-KR"/>
        </w:rPr>
        <w:t>а</w:t>
      </w:r>
      <w:r w:rsidRPr="009114DF">
        <w:rPr>
          <w:rFonts w:ascii="Times New Roman" w:hAnsi="Times New Roman"/>
          <w:kern w:val="2"/>
          <w:sz w:val="28"/>
          <w:szCs w:val="28"/>
          <w:lang w:eastAsia="ko-KR"/>
        </w:rPr>
        <w:t xml:space="preserve"> – выраженные), оценку боли и имеет 25 возможных значений. Кроме того, HAQ используется для оценки эффективности терапии: ∆ НА</w:t>
      </w:r>
      <w:proofErr w:type="gramStart"/>
      <w:r w:rsidRPr="009114DF">
        <w:rPr>
          <w:rFonts w:ascii="Times New Roman" w:hAnsi="Times New Roman"/>
          <w:kern w:val="2"/>
          <w:sz w:val="28"/>
          <w:szCs w:val="28"/>
          <w:lang w:eastAsia="ko-KR"/>
        </w:rPr>
        <w:t>Q</w:t>
      </w:r>
      <w:proofErr w:type="gramEnd"/>
      <w:r w:rsidR="00097064"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&lt; 0,22 балла </w:t>
      </w:r>
      <w:r w:rsidR="00AD02D1"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 xml:space="preserve"> нет эффекта, 0,22</w:t>
      </w:r>
      <w:r w:rsidR="00CD2EDC"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0,36</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минимальный эффект, 0,36</w:t>
      </w:r>
      <w:r w:rsidR="00CD2EDC" w:rsidRPr="009114DF">
        <w:rPr>
          <w:rFonts w:ascii="Times New Roman" w:hAnsi="Times New Roman"/>
          <w:kern w:val="2"/>
          <w:sz w:val="28"/>
          <w:szCs w:val="28"/>
          <w:lang w:eastAsia="ko-KR"/>
        </w:rPr>
        <w:t>–</w:t>
      </w:r>
      <w:r w:rsidRPr="009114DF">
        <w:rPr>
          <w:rFonts w:ascii="Times New Roman" w:hAnsi="Times New Roman"/>
          <w:kern w:val="2"/>
          <w:sz w:val="28"/>
          <w:szCs w:val="28"/>
          <w:lang w:eastAsia="ko-KR"/>
        </w:rPr>
        <w:t>0,80</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удовлетворительный эффект, ∆ HAQ ≥0,80 балл</w:t>
      </w:r>
      <w:r w:rsidR="00397325" w:rsidRPr="009114DF">
        <w:rPr>
          <w:rFonts w:ascii="Times New Roman" w:hAnsi="Times New Roman"/>
          <w:kern w:val="2"/>
          <w:sz w:val="28"/>
          <w:szCs w:val="28"/>
          <w:lang w:eastAsia="ko-KR"/>
        </w:rPr>
        <w:t>а</w:t>
      </w:r>
      <w:r w:rsidR="00CD2EDC" w:rsidRPr="009114DF">
        <w:rPr>
          <w:rFonts w:ascii="Times New Roman" w:hAnsi="Times New Roman"/>
          <w:kern w:val="2"/>
          <w:sz w:val="28"/>
          <w:szCs w:val="28"/>
          <w:lang w:eastAsia="ko-KR"/>
        </w:rPr>
        <w:t xml:space="preserve"> – </w:t>
      </w:r>
      <w:r w:rsidRPr="009114DF">
        <w:rPr>
          <w:rFonts w:ascii="Times New Roman" w:hAnsi="Times New Roman"/>
          <w:kern w:val="2"/>
          <w:sz w:val="28"/>
          <w:szCs w:val="28"/>
          <w:lang w:eastAsia="ko-KR"/>
        </w:rPr>
        <w:t>выраженный эффект</w:t>
      </w:r>
      <w:r w:rsidR="00CA1ABF" w:rsidRPr="009114DF">
        <w:rPr>
          <w:rFonts w:ascii="Times New Roman" w:hAnsi="Times New Roman"/>
          <w:kern w:val="2"/>
          <w:sz w:val="28"/>
          <w:szCs w:val="28"/>
          <w:lang w:eastAsia="ko-KR"/>
        </w:rPr>
        <w:t xml:space="preserve"> </w:t>
      </w:r>
      <w:r w:rsidR="00244126" w:rsidRPr="009114DF">
        <w:rPr>
          <w:rFonts w:ascii="Times New Roman" w:hAnsi="Times New Roman"/>
          <w:kern w:val="2"/>
          <w:sz w:val="28"/>
          <w:szCs w:val="28"/>
          <w:lang w:eastAsia="ko-KR"/>
        </w:rPr>
        <w:t>[2,</w:t>
      </w:r>
      <w:r w:rsidR="00397325" w:rsidRPr="009114DF">
        <w:rPr>
          <w:rFonts w:ascii="Times New Roman" w:hAnsi="Times New Roman"/>
          <w:kern w:val="2"/>
          <w:sz w:val="28"/>
          <w:szCs w:val="28"/>
          <w:lang w:eastAsia="ko-KR"/>
        </w:rPr>
        <w:t xml:space="preserve"> </w:t>
      </w:r>
      <w:r w:rsidR="00E35148" w:rsidRPr="009114DF">
        <w:rPr>
          <w:rFonts w:ascii="Times New Roman" w:hAnsi="Times New Roman"/>
          <w:kern w:val="2"/>
          <w:sz w:val="28"/>
          <w:szCs w:val="28"/>
          <w:lang w:eastAsia="ko-KR"/>
        </w:rPr>
        <w:t>5, 6</w:t>
      </w:r>
      <w:r w:rsidR="009B496B" w:rsidRPr="009114DF">
        <w:rPr>
          <w:rFonts w:ascii="Times New Roman" w:hAnsi="Times New Roman"/>
          <w:kern w:val="2"/>
          <w:sz w:val="28"/>
          <w:szCs w:val="28"/>
          <w:lang w:eastAsia="ko-KR"/>
        </w:rPr>
        <w:t xml:space="preserve">]. </w:t>
      </w:r>
    </w:p>
    <w:p w:rsidR="0011783C" w:rsidRPr="009114DF" w:rsidRDefault="0011783C" w:rsidP="009A3840">
      <w:pPr>
        <w:autoSpaceDE w:val="0"/>
        <w:autoSpaceDN w:val="0"/>
        <w:spacing w:after="0" w:line="370" w:lineRule="auto"/>
        <w:ind w:firstLine="567"/>
        <w:jc w:val="both"/>
        <w:rPr>
          <w:rFonts w:ascii="Times New Roman" w:hAnsi="Times New Roman"/>
          <w:kern w:val="2"/>
          <w:sz w:val="28"/>
          <w:szCs w:val="28"/>
          <w:lang w:eastAsia="ko-KR"/>
        </w:rPr>
      </w:pPr>
    </w:p>
    <w:p w:rsidR="007C2C06" w:rsidRPr="009114DF" w:rsidRDefault="007C2C06" w:rsidP="00F71B34">
      <w:pPr>
        <w:numPr>
          <w:ilvl w:val="1"/>
          <w:numId w:val="4"/>
        </w:numPr>
        <w:spacing w:after="0" w:line="360" w:lineRule="auto"/>
        <w:ind w:left="1134" w:hanging="567"/>
        <w:jc w:val="both"/>
        <w:rPr>
          <w:rFonts w:ascii="Times New Roman" w:eastAsia="Times New Roman" w:hAnsi="Times New Roman"/>
          <w:b/>
          <w:sz w:val="28"/>
          <w:szCs w:val="28"/>
          <w:lang w:eastAsia="ru-RU"/>
        </w:rPr>
      </w:pPr>
      <w:r w:rsidRPr="009114DF">
        <w:rPr>
          <w:rFonts w:ascii="Times New Roman" w:eastAsia="Times New Roman" w:hAnsi="Times New Roman"/>
          <w:b/>
          <w:sz w:val="28"/>
          <w:szCs w:val="28"/>
          <w:lang w:eastAsia="ru-RU"/>
        </w:rPr>
        <w:t>Методы статистической обработки результатов</w:t>
      </w:r>
    </w:p>
    <w:p w:rsidR="0011783C" w:rsidRPr="009114DF" w:rsidRDefault="0011783C" w:rsidP="0011783C">
      <w:pPr>
        <w:spacing w:after="0" w:line="360" w:lineRule="auto"/>
        <w:ind w:left="1134"/>
        <w:jc w:val="both"/>
        <w:rPr>
          <w:rFonts w:ascii="Times New Roman" w:eastAsia="Times New Roman" w:hAnsi="Times New Roman"/>
          <w:b/>
          <w:sz w:val="28"/>
          <w:szCs w:val="28"/>
          <w:lang w:eastAsia="ru-RU"/>
        </w:rPr>
      </w:pPr>
    </w:p>
    <w:p w:rsidR="00C2461C" w:rsidRPr="009114DF" w:rsidRDefault="00C2461C" w:rsidP="00F71B34">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Начальным этапом статистической обработки полученной информации предусматривалось применение программы Microsoft Office Excel 2010 для </w:t>
      </w:r>
      <w:r w:rsidRPr="009114DF">
        <w:rPr>
          <w:rFonts w:ascii="Times New Roman" w:eastAsia="Times New Roman" w:hAnsi="Times New Roman"/>
          <w:sz w:val="28"/>
          <w:szCs w:val="28"/>
          <w:lang w:eastAsia="ru-RU"/>
        </w:rPr>
        <w:lastRenderedPageBreak/>
        <w:t xml:space="preserve">работы с электронными таблицами, с помощью которой осуществлялось формирование базы данных. На основе сформированной базы данных проводились проверка, сортировка и кодирование (шифровка) полученной информации. </w:t>
      </w:r>
    </w:p>
    <w:p w:rsidR="007C2C06" w:rsidRPr="009114DF" w:rsidRDefault="00C2461C" w:rsidP="00F71B34">
      <w:pPr>
        <w:spacing w:after="0" w:line="360" w:lineRule="auto"/>
        <w:ind w:right="-82"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Статистический анализ проводили при помощи пакета программ Statistica версии 6.1 (StatSoft, США) для Windows (лицензионное соглашение 74017-640-0000106-57177). Для характеристики двух групп вычислялись медиана, 25</w:t>
      </w:r>
      <w:r w:rsidR="00397325"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75 перцентили. По каждому признаку в сравниваемых группах определяли среднюю арифметическую величину (М) и ошибку </w:t>
      </w:r>
      <w:proofErr w:type="gramStart"/>
      <w:r w:rsidRPr="009114DF">
        <w:rPr>
          <w:rFonts w:ascii="Times New Roman" w:eastAsia="Times New Roman" w:hAnsi="Times New Roman"/>
          <w:sz w:val="28"/>
          <w:szCs w:val="28"/>
          <w:lang w:eastAsia="ru-RU"/>
        </w:rPr>
        <w:t>средней</w:t>
      </w:r>
      <w:proofErr w:type="gramEnd"/>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m</w:t>
      </w:r>
      <w:r w:rsidRPr="009114DF">
        <w:rPr>
          <w:rFonts w:ascii="Times New Roman" w:eastAsia="Times New Roman" w:hAnsi="Times New Roman"/>
          <w:sz w:val="28"/>
          <w:szCs w:val="28"/>
          <w:lang w:eastAsia="ru-RU"/>
        </w:rPr>
        <w:t xml:space="preserve">). Для выбора критериев оценки значимости межгрупповых различий средних проверяли соответствие формы выборочных распределений </w:t>
      </w:r>
      <w:proofErr w:type="gramStart"/>
      <w:r w:rsidRPr="009114DF">
        <w:rPr>
          <w:rFonts w:ascii="Times New Roman" w:eastAsia="Times New Roman" w:hAnsi="Times New Roman"/>
          <w:sz w:val="28"/>
          <w:szCs w:val="28"/>
          <w:lang w:eastAsia="ru-RU"/>
        </w:rPr>
        <w:t>нормальному</w:t>
      </w:r>
      <w:proofErr w:type="gramEnd"/>
      <w:r w:rsidRPr="009114DF">
        <w:rPr>
          <w:rFonts w:ascii="Times New Roman" w:eastAsia="Times New Roman" w:hAnsi="Times New Roman"/>
          <w:sz w:val="28"/>
          <w:szCs w:val="28"/>
          <w:lang w:eastAsia="ru-RU"/>
        </w:rPr>
        <w:t xml:space="preserve">, а также контролировали равенство генеральных дисперсий с помощью </w:t>
      </w:r>
      <w:r w:rsidRPr="009114DF">
        <w:rPr>
          <w:rFonts w:ascii="Times New Roman" w:eastAsia="Times New Roman" w:hAnsi="Times New Roman"/>
          <w:sz w:val="28"/>
          <w:szCs w:val="28"/>
          <w:lang w:val="en-US" w:eastAsia="ru-RU"/>
        </w:rPr>
        <w:t>F</w:t>
      </w:r>
      <w:r w:rsidRPr="009114DF">
        <w:rPr>
          <w:rFonts w:ascii="Times New Roman" w:eastAsia="Times New Roman" w:hAnsi="Times New Roman"/>
          <w:sz w:val="28"/>
          <w:szCs w:val="28"/>
          <w:lang w:eastAsia="ru-RU"/>
        </w:rPr>
        <w:t xml:space="preserve">-критерия Фишера. Проверку гипотезы о равенстве генеральных средних в сравниваемых группах проводили с помощью непараметрического </w:t>
      </w:r>
      <w:r w:rsidRPr="009114DF">
        <w:rPr>
          <w:rFonts w:ascii="Times New Roman" w:eastAsia="Times New Roman" w:hAnsi="Times New Roman"/>
          <w:sz w:val="28"/>
          <w:szCs w:val="28"/>
          <w:lang w:val="en-US" w:eastAsia="ru-RU"/>
        </w:rPr>
        <w:t>U</w:t>
      </w:r>
      <w:r w:rsidRPr="009114DF">
        <w:rPr>
          <w:rFonts w:ascii="Times New Roman" w:eastAsia="Times New Roman" w:hAnsi="Times New Roman"/>
          <w:sz w:val="28"/>
          <w:szCs w:val="28"/>
          <w:lang w:eastAsia="ru-RU"/>
        </w:rPr>
        <w:t>-критерия Манна</w:t>
      </w:r>
      <w:r w:rsidR="00397325"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Уитни для двух независимых выборок. Значимость динамики показателей в каждой группе определял</w:t>
      </w:r>
      <w:r w:rsidR="00B24C0E" w:rsidRPr="009114DF">
        <w:rPr>
          <w:rFonts w:ascii="Times New Roman" w:eastAsia="Times New Roman" w:hAnsi="Times New Roman"/>
          <w:sz w:val="28"/>
          <w:szCs w:val="28"/>
          <w:lang w:eastAsia="ru-RU"/>
        </w:rPr>
        <w:t>и</w:t>
      </w:r>
      <w:r w:rsidRPr="009114DF">
        <w:rPr>
          <w:rFonts w:ascii="Times New Roman" w:eastAsia="Times New Roman" w:hAnsi="Times New Roman"/>
          <w:sz w:val="28"/>
          <w:szCs w:val="28"/>
          <w:lang w:eastAsia="ru-RU"/>
        </w:rPr>
        <w:t xml:space="preserve"> с помощью </w:t>
      </w:r>
      <w:r w:rsidR="00B24C0E" w:rsidRPr="009114DF">
        <w:rPr>
          <w:rFonts w:ascii="Times New Roman" w:eastAsia="Times New Roman" w:hAnsi="Times New Roman"/>
          <w:sz w:val="28"/>
          <w:szCs w:val="28"/>
          <w:lang w:eastAsia="ru-RU"/>
        </w:rPr>
        <w:t xml:space="preserve">парного </w:t>
      </w:r>
      <w:r w:rsidRPr="009114DF">
        <w:rPr>
          <w:rFonts w:ascii="Times New Roman" w:eastAsia="Times New Roman" w:hAnsi="Times New Roman"/>
          <w:sz w:val="28"/>
          <w:szCs w:val="28"/>
          <w:lang w:eastAsia="ru-RU"/>
        </w:rPr>
        <w:t>критерия Вилкоксона. Для показателей, характеризующих качественные признаки, указывалось абсолютное число и/или относительная величина в процентах (%).</w:t>
      </w:r>
      <w:r w:rsidR="00B24C0E"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Для всех видов анализа различия считали значимыми при </w:t>
      </w:r>
      <w:proofErr w:type="gramStart"/>
      <w:r w:rsidRPr="009114DF">
        <w:rPr>
          <w:rFonts w:ascii="Times New Roman" w:eastAsia="Times New Roman" w:hAnsi="Times New Roman"/>
          <w:sz w:val="28"/>
          <w:szCs w:val="28"/>
          <w:lang w:eastAsia="ru-RU"/>
        </w:rPr>
        <w:t>р</w:t>
      </w:r>
      <w:proofErr w:type="gramEnd"/>
      <w:r w:rsidRPr="009114DF">
        <w:rPr>
          <w:rFonts w:ascii="Times New Roman" w:eastAsia="Times New Roman" w:hAnsi="Times New Roman"/>
          <w:sz w:val="28"/>
          <w:szCs w:val="28"/>
          <w:lang w:eastAsia="ru-RU"/>
        </w:rPr>
        <w:sym w:font="Symbol" w:char="F03C"/>
      </w:r>
      <w:r w:rsidRPr="009114DF">
        <w:rPr>
          <w:rFonts w:ascii="Times New Roman" w:eastAsia="Times New Roman" w:hAnsi="Times New Roman"/>
          <w:sz w:val="28"/>
          <w:szCs w:val="28"/>
          <w:lang w:eastAsia="ru-RU"/>
        </w:rPr>
        <w:t>0,05</w:t>
      </w:r>
      <w:r w:rsidR="00B24C0E" w:rsidRPr="009114DF">
        <w:rPr>
          <w:rFonts w:ascii="Times New Roman" w:eastAsia="Times New Roman" w:hAnsi="Times New Roman"/>
          <w:sz w:val="28"/>
          <w:szCs w:val="28"/>
          <w:lang w:eastAsia="ru-RU"/>
        </w:rPr>
        <w:t xml:space="preserve"> [</w:t>
      </w:r>
      <w:r w:rsidR="00112DE7" w:rsidRPr="009114DF">
        <w:rPr>
          <w:rFonts w:ascii="Times New Roman" w:eastAsia="Times New Roman" w:hAnsi="Times New Roman"/>
          <w:sz w:val="28"/>
          <w:szCs w:val="28"/>
          <w:lang w:eastAsia="ru-RU"/>
        </w:rPr>
        <w:t>30</w:t>
      </w:r>
      <w:r w:rsidR="00244126" w:rsidRPr="009114DF">
        <w:rPr>
          <w:rFonts w:ascii="Times New Roman" w:eastAsia="Times New Roman" w:hAnsi="Times New Roman"/>
          <w:sz w:val="28"/>
          <w:szCs w:val="28"/>
          <w:lang w:eastAsia="ru-RU"/>
        </w:rPr>
        <w:t>,</w:t>
      </w:r>
      <w:r w:rsidR="00397325" w:rsidRPr="009114DF">
        <w:rPr>
          <w:rFonts w:ascii="Times New Roman" w:eastAsia="Times New Roman" w:hAnsi="Times New Roman"/>
          <w:sz w:val="28"/>
          <w:szCs w:val="28"/>
          <w:lang w:eastAsia="ru-RU"/>
        </w:rPr>
        <w:t xml:space="preserve"> </w:t>
      </w:r>
      <w:r w:rsidR="00A05647" w:rsidRPr="009114DF">
        <w:rPr>
          <w:rFonts w:ascii="Times New Roman" w:eastAsia="Times New Roman" w:hAnsi="Times New Roman"/>
          <w:sz w:val="28"/>
          <w:szCs w:val="28"/>
          <w:lang w:eastAsia="ru-RU"/>
        </w:rPr>
        <w:t>102</w:t>
      </w:r>
      <w:r w:rsidR="00B24C0E"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w:t>
      </w:r>
    </w:p>
    <w:p w:rsidR="00225925" w:rsidRPr="009114DF" w:rsidRDefault="00225925" w:rsidP="00F71B34">
      <w:pPr>
        <w:spacing w:after="0" w:line="360" w:lineRule="auto"/>
        <w:ind w:right="-82" w:firstLine="708"/>
        <w:jc w:val="both"/>
        <w:rPr>
          <w:rFonts w:ascii="Times New Roman" w:eastAsia="Times New Roman" w:hAnsi="Times New Roman"/>
          <w:sz w:val="28"/>
          <w:szCs w:val="28"/>
          <w:lang w:eastAsia="ru-RU"/>
        </w:rPr>
      </w:pPr>
    </w:p>
    <w:p w:rsidR="00225925" w:rsidRPr="009114DF" w:rsidRDefault="00225925" w:rsidP="00F71B34">
      <w:pPr>
        <w:spacing w:after="0" w:line="360" w:lineRule="auto"/>
        <w:ind w:right="-82" w:firstLine="708"/>
        <w:jc w:val="both"/>
        <w:rPr>
          <w:rFonts w:ascii="Times New Roman" w:eastAsia="Times New Roman" w:hAnsi="Times New Roman"/>
          <w:sz w:val="28"/>
          <w:szCs w:val="28"/>
          <w:lang w:eastAsia="ru-RU"/>
        </w:rPr>
      </w:pPr>
    </w:p>
    <w:p w:rsidR="00225925" w:rsidRPr="009114DF" w:rsidRDefault="00225925" w:rsidP="00F71B34">
      <w:pPr>
        <w:spacing w:after="0" w:line="360" w:lineRule="auto"/>
        <w:ind w:right="-82" w:firstLine="708"/>
        <w:jc w:val="both"/>
        <w:rPr>
          <w:rFonts w:ascii="Times New Roman" w:eastAsia="Times New Roman" w:hAnsi="Times New Roman"/>
          <w:sz w:val="28"/>
          <w:szCs w:val="28"/>
          <w:lang w:eastAsia="ru-RU"/>
        </w:rPr>
      </w:pPr>
    </w:p>
    <w:p w:rsidR="00225925" w:rsidRPr="009114DF" w:rsidRDefault="00225925" w:rsidP="00F71B34">
      <w:pPr>
        <w:spacing w:after="0" w:line="360" w:lineRule="auto"/>
        <w:ind w:right="-82" w:firstLine="708"/>
        <w:jc w:val="both"/>
        <w:rPr>
          <w:rFonts w:ascii="Times New Roman" w:eastAsia="Times New Roman" w:hAnsi="Times New Roman"/>
          <w:sz w:val="28"/>
          <w:szCs w:val="28"/>
          <w:lang w:eastAsia="ru-RU"/>
        </w:rPr>
      </w:pPr>
    </w:p>
    <w:p w:rsidR="00225925" w:rsidRPr="009114DF" w:rsidRDefault="00225925" w:rsidP="00F71B34">
      <w:pPr>
        <w:spacing w:after="0" w:line="360" w:lineRule="auto"/>
        <w:ind w:right="-82" w:firstLine="708"/>
        <w:jc w:val="both"/>
        <w:rPr>
          <w:rFonts w:ascii="Times New Roman" w:eastAsia="Times New Roman" w:hAnsi="Times New Roman"/>
          <w:sz w:val="28"/>
          <w:szCs w:val="28"/>
          <w:lang w:eastAsia="ru-RU"/>
        </w:rPr>
      </w:pPr>
    </w:p>
    <w:p w:rsidR="00225925" w:rsidRDefault="00225925" w:rsidP="00F71B34">
      <w:pPr>
        <w:spacing w:after="0" w:line="360" w:lineRule="auto"/>
        <w:ind w:right="-82" w:firstLine="708"/>
        <w:jc w:val="both"/>
        <w:rPr>
          <w:rFonts w:ascii="Times New Roman" w:eastAsia="Times New Roman" w:hAnsi="Times New Roman"/>
          <w:sz w:val="28"/>
          <w:szCs w:val="28"/>
          <w:lang w:eastAsia="ru-RU"/>
        </w:rPr>
      </w:pPr>
    </w:p>
    <w:p w:rsidR="00225925" w:rsidRDefault="00225925" w:rsidP="00F71B34">
      <w:pPr>
        <w:spacing w:after="0" w:line="360" w:lineRule="auto"/>
        <w:ind w:right="-82" w:firstLine="708"/>
        <w:jc w:val="both"/>
        <w:rPr>
          <w:rFonts w:ascii="Times New Roman" w:eastAsia="Times New Roman" w:hAnsi="Times New Roman"/>
          <w:sz w:val="28"/>
          <w:szCs w:val="28"/>
          <w:lang w:eastAsia="ru-RU"/>
        </w:rPr>
      </w:pPr>
    </w:p>
    <w:p w:rsidR="00225925" w:rsidRDefault="00225925" w:rsidP="00F71B34">
      <w:pPr>
        <w:spacing w:after="0" w:line="360" w:lineRule="auto"/>
        <w:ind w:right="-82" w:firstLine="708"/>
        <w:jc w:val="both"/>
        <w:rPr>
          <w:rFonts w:ascii="Times New Roman" w:eastAsia="Times New Roman" w:hAnsi="Times New Roman"/>
          <w:sz w:val="28"/>
          <w:szCs w:val="28"/>
          <w:lang w:eastAsia="ru-RU"/>
        </w:rPr>
      </w:pPr>
    </w:p>
    <w:p w:rsidR="00225925" w:rsidRDefault="00225925" w:rsidP="00F71B34">
      <w:pPr>
        <w:spacing w:after="0" w:line="360" w:lineRule="auto"/>
        <w:ind w:right="-82" w:firstLine="708"/>
        <w:jc w:val="both"/>
        <w:rPr>
          <w:rFonts w:ascii="Times New Roman" w:eastAsia="Times New Roman" w:hAnsi="Times New Roman"/>
          <w:sz w:val="28"/>
          <w:szCs w:val="28"/>
          <w:lang w:eastAsia="ru-RU"/>
        </w:rPr>
      </w:pPr>
    </w:p>
    <w:p w:rsidR="00335609" w:rsidRPr="007A6382" w:rsidRDefault="00335609" w:rsidP="00F71B34">
      <w:pPr>
        <w:spacing w:after="0" w:line="360" w:lineRule="auto"/>
        <w:ind w:right="-82"/>
        <w:jc w:val="both"/>
        <w:rPr>
          <w:rFonts w:ascii="Times New Roman" w:eastAsia="Times New Roman" w:hAnsi="Times New Roman"/>
          <w:sz w:val="28"/>
          <w:szCs w:val="28"/>
          <w:lang w:eastAsia="ru-RU"/>
        </w:rPr>
      </w:pPr>
    </w:p>
    <w:p w:rsidR="00E90E8A" w:rsidRDefault="00E90E8A" w:rsidP="00E75561">
      <w:pPr>
        <w:spacing w:after="160" w:line="360" w:lineRule="auto"/>
        <w:jc w:val="center"/>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lastRenderedPageBreak/>
        <w:t xml:space="preserve">ГЛАВА </w:t>
      </w:r>
      <w:r w:rsidRPr="00F71B34">
        <w:rPr>
          <w:rFonts w:ascii="Times New Roman" w:eastAsia="Times New Roman" w:hAnsi="Times New Roman"/>
          <w:b/>
          <w:sz w:val="28"/>
          <w:szCs w:val="28"/>
          <w:lang w:val="en-US" w:eastAsia="ru-RU"/>
        </w:rPr>
        <w:t>III</w:t>
      </w:r>
      <w:r w:rsidRPr="00F71B34">
        <w:rPr>
          <w:rFonts w:ascii="Times New Roman" w:eastAsia="Times New Roman" w:hAnsi="Times New Roman"/>
          <w:b/>
          <w:sz w:val="28"/>
          <w:szCs w:val="28"/>
          <w:lang w:eastAsia="ru-RU"/>
        </w:rPr>
        <w:t>. МИНЕРАЛЬНАЯ ПЛОТНОСТЬ КОСТИ</w:t>
      </w:r>
      <w:r w:rsidR="00E75561">
        <w:rPr>
          <w:rFonts w:ascii="Times New Roman" w:eastAsia="Times New Roman" w:hAnsi="Times New Roman"/>
          <w:b/>
          <w:sz w:val="28"/>
          <w:szCs w:val="28"/>
          <w:lang w:eastAsia="ru-RU"/>
        </w:rPr>
        <w:br/>
      </w:r>
      <w:r w:rsidRPr="00F71B34">
        <w:rPr>
          <w:rFonts w:ascii="Times New Roman" w:eastAsia="Times New Roman" w:hAnsi="Times New Roman"/>
          <w:b/>
          <w:sz w:val="28"/>
          <w:szCs w:val="28"/>
          <w:lang w:eastAsia="ru-RU"/>
        </w:rPr>
        <w:t>ПРИ РАЗЛИЧНЫХ ВАРИАНТАХ БАЗИСНОЙ</w:t>
      </w:r>
      <w:r w:rsidR="00CB0951">
        <w:rPr>
          <w:rFonts w:ascii="Times New Roman" w:eastAsia="Times New Roman" w:hAnsi="Times New Roman"/>
          <w:b/>
          <w:sz w:val="28"/>
          <w:szCs w:val="28"/>
          <w:lang w:eastAsia="ru-RU"/>
        </w:rPr>
        <w:t xml:space="preserve"> ТЕРАПИИ</w:t>
      </w:r>
    </w:p>
    <w:p w:rsidR="0011783C" w:rsidRDefault="0011783C" w:rsidP="00E75561">
      <w:pPr>
        <w:spacing w:after="160" w:line="360" w:lineRule="auto"/>
        <w:jc w:val="center"/>
        <w:rPr>
          <w:rFonts w:ascii="Times New Roman" w:eastAsia="Times New Roman" w:hAnsi="Times New Roman"/>
          <w:b/>
          <w:sz w:val="28"/>
          <w:szCs w:val="28"/>
          <w:lang w:eastAsia="ru-RU"/>
        </w:rPr>
      </w:pPr>
    </w:p>
    <w:p w:rsidR="0011783C" w:rsidRPr="00CB0951" w:rsidRDefault="0011783C" w:rsidP="00E75561">
      <w:pPr>
        <w:spacing w:after="160" w:line="360" w:lineRule="auto"/>
        <w:jc w:val="center"/>
        <w:rPr>
          <w:rFonts w:ascii="Times New Roman" w:eastAsia="Times New Roman" w:hAnsi="Times New Roman"/>
          <w:b/>
          <w:sz w:val="28"/>
          <w:szCs w:val="28"/>
          <w:lang w:eastAsia="ru-RU"/>
        </w:rPr>
      </w:pPr>
    </w:p>
    <w:p w:rsidR="00E90E8A" w:rsidRPr="00F71B34" w:rsidRDefault="00E90E8A" w:rsidP="00397325">
      <w:pPr>
        <w:numPr>
          <w:ilvl w:val="1"/>
          <w:numId w:val="6"/>
        </w:numPr>
        <w:spacing w:before="160" w:after="0" w:line="36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 xml:space="preserve">Сравнительная оценка </w:t>
      </w:r>
      <w:r w:rsidR="003F2D8F" w:rsidRPr="00F71B34">
        <w:rPr>
          <w:rFonts w:ascii="Times New Roman" w:eastAsia="Times New Roman" w:hAnsi="Times New Roman"/>
          <w:b/>
          <w:sz w:val="28"/>
          <w:szCs w:val="28"/>
          <w:lang w:eastAsia="ru-RU"/>
        </w:rPr>
        <w:t xml:space="preserve">исходной </w:t>
      </w:r>
      <w:r w:rsidR="00397325">
        <w:rPr>
          <w:rFonts w:ascii="Times New Roman" w:eastAsia="Times New Roman" w:hAnsi="Times New Roman"/>
          <w:b/>
          <w:sz w:val="28"/>
          <w:szCs w:val="28"/>
          <w:lang w:eastAsia="ru-RU"/>
        </w:rPr>
        <w:t>минеральной плотности кости</w:t>
      </w:r>
      <w:r w:rsidR="00397325">
        <w:rPr>
          <w:rFonts w:ascii="Times New Roman" w:eastAsia="Times New Roman" w:hAnsi="Times New Roman"/>
          <w:b/>
          <w:sz w:val="28"/>
          <w:szCs w:val="28"/>
          <w:lang w:eastAsia="ru-RU"/>
        </w:rPr>
        <w:br/>
      </w:r>
      <w:r w:rsidRPr="00F71B34">
        <w:rPr>
          <w:rFonts w:ascii="Times New Roman" w:eastAsia="Times New Roman" w:hAnsi="Times New Roman"/>
          <w:b/>
          <w:sz w:val="28"/>
          <w:szCs w:val="28"/>
          <w:lang w:eastAsia="ru-RU"/>
        </w:rPr>
        <w:t xml:space="preserve">у больных </w:t>
      </w:r>
      <w:r w:rsidR="00397325">
        <w:rPr>
          <w:rFonts w:ascii="Times New Roman" w:eastAsia="Times New Roman" w:hAnsi="Times New Roman"/>
          <w:b/>
          <w:sz w:val="28"/>
          <w:szCs w:val="28"/>
          <w:lang w:eastAsia="ru-RU"/>
        </w:rPr>
        <w:t>ревматоидным артритом</w:t>
      </w:r>
      <w:r w:rsidRPr="00F71B34">
        <w:rPr>
          <w:rFonts w:ascii="Times New Roman" w:eastAsia="Times New Roman" w:hAnsi="Times New Roman"/>
          <w:b/>
          <w:sz w:val="28"/>
          <w:szCs w:val="28"/>
          <w:lang w:eastAsia="ru-RU"/>
        </w:rPr>
        <w:t xml:space="preserve"> в зависимости от варианта базисной терапии</w:t>
      </w:r>
    </w:p>
    <w:p w:rsidR="00E90E8A" w:rsidRPr="00F71B34" w:rsidRDefault="00E90E8A" w:rsidP="00F71B34">
      <w:pPr>
        <w:spacing w:after="0" w:line="360" w:lineRule="auto"/>
        <w:jc w:val="both"/>
        <w:rPr>
          <w:rFonts w:ascii="Times New Roman" w:eastAsia="Times New Roman" w:hAnsi="Times New Roman"/>
          <w:color w:val="000000"/>
          <w:sz w:val="28"/>
          <w:szCs w:val="28"/>
          <w:lang w:eastAsia="ru-RU"/>
        </w:rPr>
      </w:pPr>
      <w:r w:rsidRPr="00F71B34">
        <w:rPr>
          <w:rFonts w:ascii="Times New Roman" w:eastAsia="Times New Roman" w:hAnsi="Times New Roman"/>
          <w:sz w:val="28"/>
          <w:szCs w:val="28"/>
          <w:lang w:eastAsia="ru-RU"/>
        </w:rPr>
        <w:tab/>
        <w:t xml:space="preserve">При включении пациентов в исследование методом двухэнергетической денситометрии были обследованы 79 женщин в постменопаузе с диагнозом РА: </w:t>
      </w:r>
      <w:r w:rsidRPr="00F71B34">
        <w:rPr>
          <w:rFonts w:ascii="Times New Roman" w:eastAsia="Times New Roman" w:hAnsi="Times New Roman"/>
          <w:color w:val="000000"/>
          <w:sz w:val="28"/>
          <w:szCs w:val="28"/>
          <w:lang w:eastAsia="ru-RU"/>
        </w:rPr>
        <w:t>группа 1 (44 человека) – больные, получавшие комбинированную терапию РТМ и МТХ;  группа 2 (</w:t>
      </w:r>
      <w:r w:rsidRPr="00F71B34">
        <w:rPr>
          <w:rFonts w:ascii="Times New Roman" w:eastAsia="Times New Roman" w:hAnsi="Times New Roman"/>
          <w:color w:val="000000"/>
          <w:sz w:val="28"/>
          <w:szCs w:val="28"/>
          <w:lang w:val="en-US" w:eastAsia="ru-RU"/>
        </w:rPr>
        <w:t>n</w:t>
      </w:r>
      <w:r w:rsidR="00D80E82">
        <w:rPr>
          <w:rFonts w:ascii="Times New Roman" w:eastAsia="Times New Roman" w:hAnsi="Times New Roman"/>
          <w:color w:val="000000"/>
          <w:sz w:val="28"/>
          <w:szCs w:val="28"/>
          <w:lang w:eastAsia="ru-RU"/>
        </w:rPr>
        <w:t>=35</w:t>
      </w:r>
      <w:r w:rsidRPr="00F71B34">
        <w:rPr>
          <w:rFonts w:ascii="Times New Roman" w:eastAsia="Times New Roman" w:hAnsi="Times New Roman"/>
          <w:color w:val="000000"/>
          <w:sz w:val="28"/>
          <w:szCs w:val="28"/>
          <w:lang w:eastAsia="ru-RU"/>
        </w:rPr>
        <w:t xml:space="preserve">) – пациенты с монотерапией МТХ. Клиническая характеристика обеих групп приведена в главе </w:t>
      </w:r>
      <w:r w:rsidR="00397325">
        <w:rPr>
          <w:rFonts w:ascii="Times New Roman" w:eastAsia="Times New Roman" w:hAnsi="Times New Roman"/>
          <w:color w:val="000000"/>
          <w:sz w:val="28"/>
          <w:szCs w:val="28"/>
          <w:lang w:val="en-US" w:eastAsia="ru-RU"/>
        </w:rPr>
        <w:t>II</w:t>
      </w:r>
      <w:r w:rsidRPr="00F71B34">
        <w:rPr>
          <w:rFonts w:ascii="Times New Roman" w:eastAsia="Times New Roman" w:hAnsi="Times New Roman"/>
          <w:color w:val="000000"/>
          <w:sz w:val="28"/>
          <w:szCs w:val="28"/>
          <w:lang w:eastAsia="ru-RU"/>
        </w:rPr>
        <w:t>.</w:t>
      </w:r>
    </w:p>
    <w:p w:rsidR="00E90E8A" w:rsidRPr="00F71B34" w:rsidRDefault="001A28E5" w:rsidP="00F71B34">
      <w:pPr>
        <w:spacing w:after="0" w:line="360" w:lineRule="auto"/>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5168" behindDoc="0" locked="0" layoutInCell="1" allowOverlap="1" wp14:anchorId="5C81BB75" wp14:editId="78016DA0">
                <wp:simplePos x="0" y="0"/>
                <wp:positionH relativeFrom="column">
                  <wp:posOffset>9525</wp:posOffset>
                </wp:positionH>
                <wp:positionV relativeFrom="paragraph">
                  <wp:posOffset>511810</wp:posOffset>
                </wp:positionV>
                <wp:extent cx="590550" cy="400050"/>
                <wp:effectExtent l="0" t="0" r="0" b="0"/>
                <wp:wrapNone/>
                <wp:docPr id="2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400050"/>
                        </a:xfrm>
                        <a:prstGeom prst="rect">
                          <a:avLst/>
                        </a:prstGeom>
                        <a:noFill/>
                        <a:ln w="6350">
                          <a:noFill/>
                        </a:ln>
                        <a:effectLst/>
                      </wps:spPr>
                      <wps:txbx>
                        <w:txbxContent>
                          <w:p w:rsidR="00F73CC0" w:rsidRPr="00355974" w:rsidRDefault="00F73CC0" w:rsidP="00E90E8A">
                            <w:pPr>
                              <w:spacing w:after="0" w:line="240" w:lineRule="auto"/>
                              <w:rPr>
                                <w:rFonts w:ascii="Times New Roman" w:hAnsi="Times New Roman"/>
                                <w:sz w:val="20"/>
                                <w:vertAlign w:val="superscript"/>
                              </w:rPr>
                            </w:pPr>
                            <w:r w:rsidRPr="00355974">
                              <w:rPr>
                                <w:rFonts w:ascii="Times New Roman" w:hAnsi="Times New Roman"/>
                                <w:sz w:val="20"/>
                              </w:rPr>
                              <w:t>МПК, г/см</w:t>
                            </w:r>
                            <w:proofErr w:type="gramStart"/>
                            <w:r w:rsidRPr="00355974">
                              <w:rPr>
                                <w:rFonts w:ascii="Times New Roman" w:hAnsi="Times New Roman"/>
                                <w:sz w:val="20"/>
                                <w:vertAlign w:val="superscript"/>
                              </w:rPr>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75pt;margin-top:40.3pt;width:46.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" filled="f" stroked="f" strokeweight=".5pt">
                <v:path arrowok="t"/>
                <v:textbox>
                  <w:txbxContent>
                    <w:p w:rsidR="00F73CC0" w:rsidRPr="00355974" w:rsidRDefault="00F73CC0" w:rsidP="00E90E8A">
                      <w:pPr>
                        <w:spacing w:after="0" w:line="240" w:lineRule="auto"/>
                        <w:rPr>
                          <w:rFonts w:ascii="Times New Roman" w:hAnsi="Times New Roman"/>
                          <w:sz w:val="20"/>
                          <w:vertAlign w:val="superscript"/>
                        </w:rPr>
                      </w:pPr>
                      <w:r w:rsidRPr="00355974">
                        <w:rPr>
                          <w:rFonts w:ascii="Times New Roman" w:hAnsi="Times New Roman"/>
                          <w:sz w:val="20"/>
                        </w:rPr>
                        <w:t>МПК, г/см</w:t>
                      </w:r>
                      <w:proofErr w:type="gramStart"/>
                      <w:r w:rsidRPr="00355974">
                        <w:rPr>
                          <w:rFonts w:ascii="Times New Roman" w:hAnsi="Times New Roman"/>
                          <w:sz w:val="20"/>
                          <w:vertAlign w:val="superscript"/>
                        </w:rPr>
                        <w:t>2</w:t>
                      </w:r>
                      <w:proofErr w:type="gramEnd"/>
                    </w:p>
                  </w:txbxContent>
                </v:textbox>
              </v:shape>
            </w:pict>
          </mc:Fallback>
        </mc:AlternateContent>
      </w:r>
      <w:r w:rsidR="00E90E8A" w:rsidRPr="00F71B34">
        <w:rPr>
          <w:rFonts w:ascii="Times New Roman" w:eastAsia="Times New Roman" w:hAnsi="Times New Roman"/>
          <w:sz w:val="28"/>
          <w:szCs w:val="28"/>
          <w:lang w:eastAsia="ru-RU"/>
        </w:rPr>
        <w:tab/>
        <w:t xml:space="preserve">Показатели денситометрии исходно </w:t>
      </w:r>
      <w:bookmarkStart w:id="3" w:name="OLE_LINK5"/>
      <w:bookmarkStart w:id="4" w:name="OLE_LINK6"/>
      <w:r w:rsidR="00E90E8A" w:rsidRPr="00F71B34">
        <w:rPr>
          <w:rFonts w:ascii="Times New Roman" w:eastAsia="Times New Roman" w:hAnsi="Times New Roman"/>
          <w:sz w:val="28"/>
          <w:szCs w:val="28"/>
          <w:lang w:eastAsia="ru-RU"/>
        </w:rPr>
        <w:t>приведены на рис</w:t>
      </w:r>
      <w:r w:rsidR="00397325">
        <w:rPr>
          <w:rFonts w:ascii="Times New Roman" w:eastAsia="Times New Roman" w:hAnsi="Times New Roman"/>
          <w:sz w:val="28"/>
          <w:szCs w:val="28"/>
          <w:lang w:eastAsia="ru-RU"/>
        </w:rPr>
        <w:t>унках</w:t>
      </w:r>
      <w:r w:rsidR="00E90E8A" w:rsidRPr="00F71B34">
        <w:rPr>
          <w:rFonts w:ascii="Times New Roman" w:eastAsia="Times New Roman" w:hAnsi="Times New Roman"/>
          <w:sz w:val="28"/>
          <w:szCs w:val="28"/>
          <w:lang w:eastAsia="ru-RU"/>
        </w:rPr>
        <w:t xml:space="preserve"> 1 и 2.</w:t>
      </w:r>
    </w:p>
    <w:p w:rsidR="00E90E8A" w:rsidRPr="00F71B34" w:rsidRDefault="0011783C" w:rsidP="00F71B34">
      <w:pPr>
        <w:spacing w:after="0" w:line="360" w:lineRule="auto"/>
        <w:jc w:val="both"/>
        <w:rPr>
          <w:rFonts w:ascii="Times New Roman" w:eastAsia="Times New Roman" w:hAnsi="Times New Roman"/>
          <w:sz w:val="28"/>
          <w:szCs w:val="28"/>
          <w:lang w:eastAsia="ru-RU"/>
        </w:rPr>
      </w:pPr>
      <w:r>
        <w:rPr>
          <w:noProof/>
          <w:spacing w:val="40"/>
          <w:lang w:eastAsia="ru-RU"/>
        </w:rPr>
        <w:drawing>
          <wp:anchor distT="0" distB="0" distL="114300" distR="114300" simplePos="0" relativeHeight="251654144" behindDoc="1" locked="0" layoutInCell="1" allowOverlap="1" wp14:anchorId="59E0120F" wp14:editId="0421BD98">
            <wp:simplePos x="0" y="0"/>
            <wp:positionH relativeFrom="margin">
              <wp:posOffset>13335</wp:posOffset>
            </wp:positionH>
            <wp:positionV relativeFrom="paragraph">
              <wp:posOffset>200660</wp:posOffset>
            </wp:positionV>
            <wp:extent cx="6280785" cy="2917190"/>
            <wp:effectExtent l="0" t="0" r="5715" b="0"/>
            <wp:wrapTight wrapText="bothSides">
              <wp:wrapPolygon edited="0">
                <wp:start x="0" y="0"/>
                <wp:lineTo x="0" y="21440"/>
                <wp:lineTo x="21554" y="21440"/>
                <wp:lineTo x="21554" y="0"/>
                <wp:lineTo x="0" y="0"/>
              </wp:wrapPolygon>
            </wp:wrapTight>
            <wp:docPr id="25"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E90E8A" w:rsidRPr="00F71B34" w:rsidRDefault="003F2D8F" w:rsidP="00397325">
      <w:pPr>
        <w:spacing w:after="0" w:line="360" w:lineRule="auto"/>
        <w:jc w:val="both"/>
        <w:rPr>
          <w:rFonts w:ascii="Times New Roman" w:eastAsia="Times New Roman" w:hAnsi="Times New Roman"/>
          <w:sz w:val="28"/>
          <w:szCs w:val="28"/>
          <w:lang w:eastAsia="ru-RU"/>
        </w:rPr>
      </w:pPr>
      <w:r w:rsidRPr="00397325">
        <w:rPr>
          <w:rFonts w:ascii="Times New Roman" w:eastAsia="Times New Roman" w:hAnsi="Times New Roman"/>
          <w:color w:val="000000"/>
          <w:spacing w:val="40"/>
          <w:sz w:val="28"/>
          <w:szCs w:val="28"/>
          <w:lang w:eastAsia="ru-RU"/>
        </w:rPr>
        <w:t>Рисунок</w:t>
      </w:r>
      <w:r w:rsidRPr="00F71B34">
        <w:rPr>
          <w:rFonts w:ascii="Times New Roman" w:eastAsia="Times New Roman" w:hAnsi="Times New Roman"/>
          <w:color w:val="000000"/>
          <w:sz w:val="28"/>
          <w:szCs w:val="28"/>
          <w:lang w:eastAsia="ru-RU"/>
        </w:rPr>
        <w:t xml:space="preserve"> 1</w:t>
      </w:r>
      <w:r w:rsidR="00CD2EDC">
        <w:rPr>
          <w:rFonts w:ascii="Times New Roman" w:eastAsia="Times New Roman" w:hAnsi="Times New Roman"/>
          <w:color w:val="000000"/>
          <w:sz w:val="28"/>
          <w:szCs w:val="28"/>
          <w:lang w:eastAsia="ru-RU"/>
        </w:rPr>
        <w:t xml:space="preserve"> – </w:t>
      </w:r>
      <w:r w:rsidR="00E90E8A" w:rsidRPr="00F71B34">
        <w:rPr>
          <w:rFonts w:ascii="Times New Roman" w:eastAsia="Times New Roman" w:hAnsi="Times New Roman"/>
          <w:color w:val="000000"/>
          <w:sz w:val="28"/>
          <w:szCs w:val="28"/>
          <w:lang w:eastAsia="ru-RU"/>
        </w:rPr>
        <w:t>Средние показатели МПК (</w:t>
      </w:r>
      <w:r w:rsidR="00E90E8A" w:rsidRPr="00F71B34">
        <w:rPr>
          <w:rFonts w:ascii="Times New Roman" w:eastAsia="Times New Roman" w:hAnsi="Times New Roman"/>
          <w:sz w:val="28"/>
          <w:szCs w:val="28"/>
          <w:lang w:eastAsia="ru-RU"/>
        </w:rPr>
        <w:t>г/см²</w:t>
      </w:r>
      <w:r w:rsidR="00E90E8A" w:rsidRPr="00F71B34">
        <w:rPr>
          <w:rFonts w:ascii="Times New Roman" w:eastAsia="Times New Roman" w:hAnsi="Times New Roman"/>
          <w:color w:val="000000"/>
          <w:sz w:val="28"/>
          <w:szCs w:val="28"/>
          <w:lang w:eastAsia="ru-RU"/>
        </w:rPr>
        <w:t xml:space="preserve">) у больных РА </w:t>
      </w:r>
    </w:p>
    <w:p w:rsidR="00E90E8A" w:rsidRPr="00F71B34" w:rsidRDefault="001A28E5" w:rsidP="00F71B34">
      <w:pPr>
        <w:spacing w:after="0" w:line="360" w:lineRule="auto"/>
        <w:jc w:val="both"/>
        <w:rPr>
          <w:rFonts w:ascii="Times New Roman" w:eastAsia="Times New Roman" w:hAnsi="Times New Roman"/>
          <w:sz w:val="28"/>
          <w:szCs w:val="28"/>
          <w:lang w:eastAsia="ru-RU"/>
        </w:rPr>
      </w:pPr>
      <w:r>
        <w:rPr>
          <w:noProof/>
          <w:lang w:eastAsia="ru-RU"/>
        </w:rPr>
        <w:lastRenderedPageBreak/>
        <w:drawing>
          <wp:anchor distT="0" distB="0" distL="114300" distR="114300" simplePos="0" relativeHeight="251653120" behindDoc="1" locked="0" layoutInCell="1" allowOverlap="1" wp14:anchorId="1D73122A" wp14:editId="628C9399">
            <wp:simplePos x="0" y="0"/>
            <wp:positionH relativeFrom="margin">
              <wp:posOffset>-116840</wp:posOffset>
            </wp:positionH>
            <wp:positionV relativeFrom="paragraph">
              <wp:posOffset>-14605</wp:posOffset>
            </wp:positionV>
            <wp:extent cx="6280785" cy="2927985"/>
            <wp:effectExtent l="0" t="0" r="5715" b="5715"/>
            <wp:wrapTight wrapText="bothSides">
              <wp:wrapPolygon edited="0">
                <wp:start x="0" y="0"/>
                <wp:lineTo x="0" y="21502"/>
                <wp:lineTo x="21554" y="21502"/>
                <wp:lineTo x="21554" y="0"/>
                <wp:lineTo x="0" y="0"/>
              </wp:wrapPolygon>
            </wp:wrapTight>
            <wp:docPr id="2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656192" behindDoc="0" locked="0" layoutInCell="1" allowOverlap="1" wp14:anchorId="46073337" wp14:editId="1D44AEA2">
                <wp:simplePos x="0" y="0"/>
                <wp:positionH relativeFrom="column">
                  <wp:posOffset>-5973445</wp:posOffset>
                </wp:positionH>
                <wp:positionV relativeFrom="paragraph">
                  <wp:posOffset>151765</wp:posOffset>
                </wp:positionV>
                <wp:extent cx="657225" cy="428625"/>
                <wp:effectExtent l="0" t="0" r="0" b="0"/>
                <wp:wrapNone/>
                <wp:docPr id="23"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28625"/>
                        </a:xfrm>
                        <a:prstGeom prst="rect">
                          <a:avLst/>
                        </a:prstGeom>
                        <a:noFill/>
                        <a:ln w="6350">
                          <a:noFill/>
                        </a:ln>
                        <a:effectLst/>
                      </wps:spPr>
                      <wps:txbx>
                        <w:txbxContent>
                          <w:p w:rsidR="00F73CC0" w:rsidRPr="00EB5B32" w:rsidRDefault="00F73CC0" w:rsidP="00E90E8A">
                            <w:pPr>
                              <w:jc w:val="center"/>
                              <w:rPr>
                                <w:sz w:val="20"/>
                                <w:lang w:val="en-US"/>
                              </w:rPr>
                            </w:pPr>
                            <w:r w:rsidRPr="00EB5B32">
                              <w:rPr>
                                <w:sz w:val="20"/>
                              </w:rPr>
                              <w:t xml:space="preserve">Т-критерий, </w:t>
                            </w:r>
                            <w:r w:rsidRPr="00EB5B32">
                              <w:rPr>
                                <w:sz w:val="20"/>
                                <w:lang w:val="en-US"/>
                              </w:rPr>
                              <w:t>SD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5" o:spid="_x0000_s1027" type="#_x0000_t202" style="position:absolute;left:0;text-align:left;margin-left:-470.35pt;margin-top:11.95pt;width:51.7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" filled="f" stroked="f" strokeweight=".5pt">
                <v:path arrowok="t"/>
                <v:textbox inset="0,0,0,0">
                  <w:txbxContent>
                    <w:p w:rsidR="00F73CC0" w:rsidRPr="00EB5B32" w:rsidRDefault="00F73CC0" w:rsidP="00E90E8A">
                      <w:pPr>
                        <w:jc w:val="center"/>
                        <w:rPr>
                          <w:sz w:val="20"/>
                          <w:lang w:val="en-US"/>
                        </w:rPr>
                      </w:pPr>
                      <w:r w:rsidRPr="00EB5B32">
                        <w:rPr>
                          <w:sz w:val="20"/>
                        </w:rPr>
                        <w:t xml:space="preserve">Т-критерий, </w:t>
                      </w:r>
                      <w:r w:rsidRPr="00EB5B32">
                        <w:rPr>
                          <w:sz w:val="20"/>
                          <w:lang w:val="en-US"/>
                        </w:rPr>
                        <w:t>SD</w:t>
                      </w:r>
                    </w:p>
                  </w:txbxContent>
                </v:textbox>
              </v:shape>
            </w:pict>
          </mc:Fallback>
        </mc:AlternateContent>
      </w:r>
    </w:p>
    <w:p w:rsidR="00E90E8A" w:rsidRPr="00F71B34" w:rsidRDefault="00397325" w:rsidP="00F71B34">
      <w:pPr>
        <w:spacing w:after="0" w:line="360" w:lineRule="auto"/>
        <w:jc w:val="both"/>
        <w:rPr>
          <w:rFonts w:ascii="Times New Roman" w:eastAsia="Times New Roman" w:hAnsi="Times New Roman"/>
          <w:color w:val="000000"/>
          <w:sz w:val="28"/>
          <w:szCs w:val="28"/>
          <w:lang w:eastAsia="ru-RU"/>
        </w:rPr>
      </w:pPr>
      <w:r w:rsidRPr="00397325">
        <w:rPr>
          <w:rFonts w:ascii="Times New Roman" w:eastAsia="Times New Roman" w:hAnsi="Times New Roman"/>
          <w:color w:val="000000"/>
          <w:spacing w:val="40"/>
          <w:sz w:val="28"/>
          <w:szCs w:val="28"/>
          <w:lang w:eastAsia="ru-RU"/>
        </w:rPr>
        <w:t>Рисунок</w:t>
      </w:r>
      <w:r w:rsidR="00E90E8A" w:rsidRPr="00F71B34">
        <w:rPr>
          <w:rFonts w:ascii="Times New Roman" w:eastAsia="Times New Roman" w:hAnsi="Times New Roman"/>
          <w:color w:val="000000"/>
          <w:sz w:val="28"/>
          <w:szCs w:val="28"/>
          <w:lang w:eastAsia="ru-RU"/>
        </w:rPr>
        <w:t xml:space="preserve"> 2</w:t>
      </w:r>
      <w:r w:rsidR="00CD2EDC">
        <w:rPr>
          <w:rFonts w:ascii="Times New Roman" w:eastAsia="Times New Roman" w:hAnsi="Times New Roman"/>
          <w:color w:val="000000"/>
          <w:sz w:val="28"/>
          <w:szCs w:val="28"/>
          <w:lang w:eastAsia="ru-RU"/>
        </w:rPr>
        <w:t xml:space="preserve"> – </w:t>
      </w:r>
      <w:r w:rsidR="00E90E8A" w:rsidRPr="00F71B34">
        <w:rPr>
          <w:rFonts w:ascii="Times New Roman" w:eastAsia="Times New Roman" w:hAnsi="Times New Roman"/>
          <w:color w:val="000000"/>
          <w:sz w:val="28"/>
          <w:szCs w:val="28"/>
          <w:lang w:eastAsia="ru-RU"/>
        </w:rPr>
        <w:t>Средние показатели Т-критерия (</w:t>
      </w:r>
      <w:r w:rsidR="00E90E8A" w:rsidRPr="00F71B34">
        <w:rPr>
          <w:rFonts w:ascii="Times New Roman" w:eastAsia="Times New Roman" w:hAnsi="Times New Roman"/>
          <w:color w:val="000000"/>
          <w:sz w:val="28"/>
          <w:szCs w:val="28"/>
          <w:lang w:val="en-US" w:eastAsia="ru-RU"/>
        </w:rPr>
        <w:t>SD</w:t>
      </w:r>
      <w:r w:rsidR="00E90E8A" w:rsidRPr="00F71B34">
        <w:rPr>
          <w:rFonts w:ascii="Times New Roman" w:eastAsia="Times New Roman" w:hAnsi="Times New Roman"/>
          <w:color w:val="000000"/>
          <w:sz w:val="28"/>
          <w:szCs w:val="28"/>
          <w:lang w:eastAsia="ru-RU"/>
        </w:rPr>
        <w:t xml:space="preserve">) у больных РА </w:t>
      </w:r>
      <w:bookmarkEnd w:id="3"/>
      <w:bookmarkEnd w:id="4"/>
    </w:p>
    <w:p w:rsidR="00E90E8A" w:rsidRPr="00F71B34" w:rsidRDefault="00E90E8A" w:rsidP="00F71B34">
      <w:pPr>
        <w:spacing w:after="0" w:line="360" w:lineRule="auto"/>
        <w:jc w:val="both"/>
        <w:rPr>
          <w:rFonts w:ascii="Times New Roman" w:eastAsia="Times New Roman" w:hAnsi="Times New Roman"/>
          <w:b/>
          <w:color w:val="000000"/>
          <w:sz w:val="28"/>
          <w:szCs w:val="28"/>
          <w:lang w:eastAsia="ru-RU"/>
        </w:rPr>
      </w:pPr>
    </w:p>
    <w:p w:rsidR="00E90E8A" w:rsidRPr="00F71B34" w:rsidRDefault="00E90E8A" w:rsidP="00F71B34">
      <w:pPr>
        <w:spacing w:after="0" w:line="360" w:lineRule="auto"/>
        <w:ind w:right="-2"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Установлено, что при включении пациентов в исследование в обеих группах отмечалось снижение МПК шейки бедра. В  группе больных, получавших комбинированную терапию РТМ и МТХ, МПК составила 0,7641±0,02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в группе пациентов с монотерапией  МТХ  – 0,7894±0,02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=0,60); Т-критерий  ‒ -2,07±0,14 </w:t>
      </w:r>
      <w:r w:rsidRPr="00F71B34">
        <w:rPr>
          <w:rFonts w:ascii="Times New Roman" w:eastAsia="Times New Roman" w:hAnsi="Times New Roman"/>
          <w:sz w:val="28"/>
          <w:szCs w:val="28"/>
          <w:lang w:val="en-US" w:eastAsia="ru-RU"/>
        </w:rPr>
        <w:t>SD</w:t>
      </w:r>
      <w:r w:rsidRPr="00F71B34">
        <w:rPr>
          <w:rFonts w:ascii="Times New Roman" w:eastAsia="Times New Roman" w:hAnsi="Times New Roman"/>
          <w:sz w:val="28"/>
          <w:szCs w:val="28"/>
          <w:lang w:eastAsia="ru-RU"/>
        </w:rPr>
        <w:t xml:space="preserve"> и -1,78±0,18 </w:t>
      </w:r>
      <w:r w:rsidRPr="00F71B34">
        <w:rPr>
          <w:rFonts w:ascii="Times New Roman" w:eastAsia="Times New Roman" w:hAnsi="Times New Roman"/>
          <w:sz w:val="28"/>
          <w:szCs w:val="28"/>
          <w:lang w:val="en-US" w:eastAsia="ru-RU"/>
        </w:rPr>
        <w:t>SD</w:t>
      </w:r>
      <w:r w:rsidRPr="00F71B34">
        <w:rPr>
          <w:rFonts w:ascii="Times New Roman" w:eastAsia="Times New Roman" w:hAnsi="Times New Roman"/>
          <w:sz w:val="28"/>
          <w:szCs w:val="28"/>
          <w:lang w:eastAsia="ru-RU"/>
        </w:rPr>
        <w:t xml:space="preserve"> соответственно (р=0,55). </w:t>
      </w:r>
    </w:p>
    <w:p w:rsidR="00E90E8A" w:rsidRPr="00F71B34" w:rsidRDefault="00E90E8A" w:rsidP="00F71B34">
      <w:pPr>
        <w:spacing w:after="0" w:line="360" w:lineRule="auto"/>
        <w:ind w:right="-2"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В поясничном отделе позвоночника МПК и Т-критерий группы 1 также не отличались от данных показателей группы 2: МПК группы 1</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0,9560±</w:t>
      </w:r>
      <w:r w:rsidR="00397325">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0,03 г/см², группы 2</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0,9847±0,02 г/см² (p=0,2); Т-критерий ‒ -0,84±0,15 </w:t>
      </w:r>
      <w:r w:rsidRPr="00F71B34">
        <w:rPr>
          <w:rFonts w:ascii="Times New Roman" w:eastAsia="Times New Roman" w:hAnsi="Times New Roman"/>
          <w:sz w:val="28"/>
          <w:szCs w:val="28"/>
          <w:lang w:val="en-US" w:eastAsia="ru-RU"/>
        </w:rPr>
        <w:t>SD</w:t>
      </w:r>
      <w:r w:rsidRPr="00F71B34">
        <w:rPr>
          <w:rFonts w:ascii="Times New Roman" w:eastAsia="Times New Roman" w:hAnsi="Times New Roman"/>
          <w:sz w:val="28"/>
          <w:szCs w:val="28"/>
          <w:lang w:eastAsia="ru-RU"/>
        </w:rPr>
        <w:t xml:space="preserve"> и                    -0,45±0,19 SD соответственно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=0,15). Таким образом, изучаемые параметры были сопоставимы в обеих группах.</w:t>
      </w:r>
    </w:p>
    <w:p w:rsidR="00E90E8A" w:rsidRPr="00F71B34" w:rsidRDefault="00E90E8A" w:rsidP="00F71B34">
      <w:pPr>
        <w:spacing w:after="0" w:line="360" w:lineRule="auto"/>
        <w:ind w:firstLine="708"/>
        <w:jc w:val="both"/>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У пациентов группы 1 остеопенический синдром (ОПС) установлен у всех 44 человек (100%): остеопения (ОПе)</w:t>
      </w:r>
      <w:r w:rsidRPr="00F71B34">
        <w:rPr>
          <w:rFonts w:ascii="Times New Roman" w:hAnsi="Times New Roman"/>
          <w:sz w:val="28"/>
          <w:szCs w:val="28"/>
        </w:rPr>
        <w:t xml:space="preserve"> </w:t>
      </w:r>
      <w:r w:rsidRPr="00F71B34">
        <w:rPr>
          <w:rFonts w:ascii="Times New Roman" w:eastAsia="Times New Roman" w:hAnsi="Times New Roman"/>
          <w:color w:val="000000"/>
          <w:sz w:val="28"/>
          <w:szCs w:val="28"/>
          <w:lang w:eastAsia="ru-RU"/>
        </w:rPr>
        <w:t xml:space="preserve">– у 26 человек (59,1%) и остеопороз (ОП) – у 18 (40,9%) (рис. 3). </w:t>
      </w:r>
    </w:p>
    <w:p w:rsidR="00E90E8A" w:rsidRPr="00F71B34" w:rsidRDefault="00E90E8A" w:rsidP="00F71B34">
      <w:pPr>
        <w:spacing w:after="0" w:line="360" w:lineRule="auto"/>
        <w:ind w:firstLine="708"/>
        <w:jc w:val="both"/>
        <w:rPr>
          <w:rFonts w:ascii="Times New Roman" w:eastAsia="Times New Roman" w:hAnsi="Times New Roman"/>
          <w:color w:val="000000"/>
          <w:sz w:val="28"/>
          <w:szCs w:val="28"/>
          <w:lang w:eastAsia="ru-RU"/>
        </w:rPr>
      </w:pPr>
    </w:p>
    <w:p w:rsidR="00E90E8A" w:rsidRPr="00F71B34" w:rsidRDefault="001A28E5" w:rsidP="00F71B34">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noProof/>
          <w:sz w:val="28"/>
          <w:szCs w:val="28"/>
          <w:lang w:eastAsia="ru-RU"/>
        </w:rPr>
        <w:lastRenderedPageBreak/>
        <w:drawing>
          <wp:inline distT="0" distB="0" distL="0" distR="0">
            <wp:extent cx="6226629" cy="2819400"/>
            <wp:effectExtent l="0" t="0" r="3175" b="0"/>
            <wp:docPr id="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0E8A" w:rsidRPr="00F71B34" w:rsidRDefault="00397325" w:rsidP="00F71B34">
      <w:pPr>
        <w:spacing w:after="0" w:line="360" w:lineRule="auto"/>
        <w:jc w:val="both"/>
        <w:rPr>
          <w:rFonts w:ascii="Times New Roman" w:eastAsia="Times New Roman" w:hAnsi="Times New Roman"/>
          <w:color w:val="000000"/>
          <w:sz w:val="28"/>
          <w:szCs w:val="28"/>
          <w:lang w:eastAsia="ru-RU"/>
        </w:rPr>
      </w:pPr>
      <w:r w:rsidRPr="00397325">
        <w:rPr>
          <w:rFonts w:ascii="Times New Roman" w:eastAsia="Times New Roman" w:hAnsi="Times New Roman"/>
          <w:color w:val="000000"/>
          <w:spacing w:val="40"/>
          <w:sz w:val="28"/>
          <w:szCs w:val="28"/>
          <w:lang w:eastAsia="ru-RU"/>
        </w:rPr>
        <w:t>Рисунок</w:t>
      </w:r>
      <w:r w:rsidR="00E90E8A" w:rsidRPr="00F71B34">
        <w:rPr>
          <w:rFonts w:ascii="Times New Roman" w:eastAsia="Times New Roman" w:hAnsi="Times New Roman"/>
          <w:color w:val="000000"/>
          <w:sz w:val="28"/>
          <w:szCs w:val="28"/>
          <w:lang w:eastAsia="ru-RU"/>
        </w:rPr>
        <w:t xml:space="preserve"> </w:t>
      </w:r>
      <w:r w:rsidR="00E90E8A" w:rsidRPr="00397325">
        <w:rPr>
          <w:rFonts w:ascii="Times New Roman" w:eastAsia="Times New Roman" w:hAnsi="Times New Roman"/>
          <w:color w:val="000000"/>
          <w:spacing w:val="-4"/>
          <w:sz w:val="28"/>
          <w:szCs w:val="28"/>
          <w:lang w:eastAsia="ru-RU"/>
        </w:rPr>
        <w:t>3</w:t>
      </w:r>
      <w:r w:rsidR="00CD2EDC" w:rsidRPr="00397325">
        <w:rPr>
          <w:rFonts w:ascii="Times New Roman" w:eastAsia="Times New Roman" w:hAnsi="Times New Roman"/>
          <w:color w:val="000000"/>
          <w:spacing w:val="-4"/>
          <w:sz w:val="28"/>
          <w:szCs w:val="28"/>
          <w:lang w:eastAsia="ru-RU"/>
        </w:rPr>
        <w:t xml:space="preserve"> – </w:t>
      </w:r>
      <w:r w:rsidR="00E90E8A" w:rsidRPr="00397325">
        <w:rPr>
          <w:rFonts w:ascii="Times New Roman" w:eastAsia="Times New Roman" w:hAnsi="Times New Roman"/>
          <w:color w:val="000000"/>
          <w:spacing w:val="-4"/>
          <w:sz w:val="28"/>
          <w:szCs w:val="28"/>
          <w:lang w:eastAsia="ru-RU"/>
        </w:rPr>
        <w:t>Структура МПК у больных РА, получавших комбинированную</w:t>
      </w:r>
      <w:r w:rsidR="00E90E8A" w:rsidRPr="00F71B34">
        <w:rPr>
          <w:rFonts w:ascii="Times New Roman" w:eastAsia="Times New Roman" w:hAnsi="Times New Roman"/>
          <w:color w:val="000000"/>
          <w:sz w:val="28"/>
          <w:szCs w:val="28"/>
          <w:lang w:eastAsia="ru-RU"/>
        </w:rPr>
        <w:t xml:space="preserve"> терапию РТМ и МТХ </w:t>
      </w:r>
    </w:p>
    <w:p w:rsidR="00E90E8A" w:rsidRPr="00F71B34" w:rsidRDefault="00E90E8A" w:rsidP="00F71B34">
      <w:pPr>
        <w:spacing w:after="0" w:line="360" w:lineRule="auto"/>
        <w:jc w:val="both"/>
        <w:rPr>
          <w:rFonts w:ascii="Times New Roman" w:eastAsia="Times New Roman" w:hAnsi="Times New Roman"/>
          <w:color w:val="000000"/>
          <w:sz w:val="28"/>
          <w:szCs w:val="28"/>
          <w:lang w:eastAsia="ru-RU"/>
        </w:rPr>
      </w:pPr>
    </w:p>
    <w:p w:rsidR="00E90E8A" w:rsidRPr="00F71B34" w:rsidRDefault="00E90E8A" w:rsidP="00F71B34">
      <w:pPr>
        <w:spacing w:after="0" w:line="360" w:lineRule="auto"/>
        <w:ind w:firstLine="708"/>
        <w:jc w:val="both"/>
        <w:rPr>
          <w:rFonts w:ascii="Times New Roman" w:eastAsia="Times New Roman" w:hAnsi="Times New Roman"/>
          <w:color w:val="000000"/>
          <w:sz w:val="28"/>
          <w:szCs w:val="28"/>
          <w:lang w:eastAsia="ru-RU"/>
        </w:rPr>
      </w:pPr>
      <w:r w:rsidRPr="00F71B34">
        <w:rPr>
          <w:rFonts w:ascii="Times New Roman" w:eastAsia="Times New Roman" w:hAnsi="Times New Roman"/>
          <w:color w:val="000000"/>
          <w:sz w:val="28"/>
          <w:szCs w:val="28"/>
          <w:lang w:eastAsia="ru-RU"/>
        </w:rPr>
        <w:t>У 2 больных группы 2 (5,7%)  определены нормальные показатели МПК, а у 33 человек (94,3%) выявлен ОПС: ОПе</w:t>
      </w:r>
      <w:r w:rsidR="00CD2EDC">
        <w:rPr>
          <w:rFonts w:ascii="Times New Roman" w:eastAsia="Times New Roman" w:hAnsi="Times New Roman"/>
          <w:color w:val="000000"/>
          <w:sz w:val="28"/>
          <w:szCs w:val="28"/>
          <w:lang w:eastAsia="ru-RU"/>
        </w:rPr>
        <w:t xml:space="preserve"> – </w:t>
      </w:r>
      <w:r w:rsidRPr="00F71B34">
        <w:rPr>
          <w:rFonts w:ascii="Times New Roman" w:eastAsia="Times New Roman" w:hAnsi="Times New Roman"/>
          <w:color w:val="000000"/>
          <w:sz w:val="28"/>
          <w:szCs w:val="28"/>
          <w:lang w:eastAsia="ru-RU"/>
        </w:rPr>
        <w:t>у 24 (68,6%) и ОП</w:t>
      </w:r>
      <w:r w:rsidR="00CD2EDC">
        <w:rPr>
          <w:rFonts w:ascii="Times New Roman" w:eastAsia="Times New Roman" w:hAnsi="Times New Roman"/>
          <w:color w:val="000000"/>
          <w:sz w:val="28"/>
          <w:szCs w:val="28"/>
          <w:lang w:eastAsia="ru-RU"/>
        </w:rPr>
        <w:t xml:space="preserve"> –</w:t>
      </w:r>
      <w:r w:rsidR="00397325">
        <w:rPr>
          <w:rFonts w:ascii="Times New Roman" w:eastAsia="Times New Roman" w:hAnsi="Times New Roman"/>
          <w:color w:val="000000"/>
          <w:sz w:val="28"/>
          <w:szCs w:val="28"/>
          <w:lang w:eastAsia="ru-RU"/>
        </w:rPr>
        <w:br/>
      </w:r>
      <w:r w:rsidRPr="00F71B34">
        <w:rPr>
          <w:rFonts w:ascii="Times New Roman" w:eastAsia="Times New Roman" w:hAnsi="Times New Roman"/>
          <w:color w:val="000000"/>
          <w:sz w:val="28"/>
          <w:szCs w:val="28"/>
          <w:lang w:eastAsia="ru-RU"/>
        </w:rPr>
        <w:t>у 9 (25,7%) человек (рис. 4).</w:t>
      </w:r>
    </w:p>
    <w:p w:rsidR="00E90E8A" w:rsidRPr="00F71B34" w:rsidRDefault="00E90E8A" w:rsidP="00F71B34">
      <w:pPr>
        <w:spacing w:after="0" w:line="360" w:lineRule="auto"/>
        <w:jc w:val="both"/>
        <w:rPr>
          <w:rFonts w:ascii="Times New Roman" w:eastAsia="Times New Roman" w:hAnsi="Times New Roman"/>
          <w:color w:val="000000"/>
          <w:sz w:val="28"/>
          <w:szCs w:val="28"/>
          <w:lang w:eastAsia="ru-RU"/>
        </w:rPr>
      </w:pPr>
    </w:p>
    <w:p w:rsidR="00E90E8A" w:rsidRPr="00397325" w:rsidRDefault="001A28E5" w:rsidP="00F71B34">
      <w:pPr>
        <w:spacing w:after="0" w:line="360" w:lineRule="auto"/>
        <w:jc w:val="both"/>
        <w:rPr>
          <w:rFonts w:ascii="Times New Roman" w:eastAsia="Times New Roman" w:hAnsi="Times New Roman"/>
          <w:b/>
          <w:color w:val="000000"/>
          <w:sz w:val="16"/>
          <w:szCs w:val="16"/>
          <w:lang w:eastAsia="ru-RU"/>
        </w:rPr>
      </w:pPr>
      <w:r>
        <w:rPr>
          <w:rFonts w:ascii="Times New Roman" w:eastAsia="Times New Roman" w:hAnsi="Times New Roman"/>
          <w:noProof/>
          <w:color w:val="000000"/>
          <w:sz w:val="28"/>
          <w:szCs w:val="28"/>
          <w:lang w:eastAsia="ru-RU"/>
        </w:rPr>
        <w:drawing>
          <wp:inline distT="0" distB="0" distL="0" distR="0">
            <wp:extent cx="6226629" cy="2895600"/>
            <wp:effectExtent l="0" t="0" r="3175" b="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783C" w:rsidRDefault="0011783C" w:rsidP="00F71B34">
      <w:pPr>
        <w:spacing w:after="0" w:line="360" w:lineRule="auto"/>
        <w:jc w:val="both"/>
        <w:rPr>
          <w:rFonts w:ascii="Times New Roman" w:eastAsia="Times New Roman" w:hAnsi="Times New Roman"/>
          <w:color w:val="000000"/>
          <w:spacing w:val="40"/>
          <w:sz w:val="28"/>
          <w:szCs w:val="28"/>
          <w:lang w:eastAsia="ru-RU"/>
        </w:rPr>
      </w:pPr>
    </w:p>
    <w:p w:rsidR="00E90E8A" w:rsidRPr="00F71B34" w:rsidRDefault="00397325" w:rsidP="00F71B34">
      <w:pPr>
        <w:spacing w:after="0" w:line="360" w:lineRule="auto"/>
        <w:jc w:val="both"/>
        <w:rPr>
          <w:rFonts w:ascii="Times New Roman" w:eastAsia="Times New Roman" w:hAnsi="Times New Roman"/>
          <w:color w:val="000000"/>
          <w:sz w:val="28"/>
          <w:szCs w:val="28"/>
          <w:lang w:eastAsia="ru-RU"/>
        </w:rPr>
      </w:pPr>
      <w:r w:rsidRPr="00397325">
        <w:rPr>
          <w:rFonts w:ascii="Times New Roman" w:eastAsia="Times New Roman" w:hAnsi="Times New Roman"/>
          <w:color w:val="000000"/>
          <w:spacing w:val="40"/>
          <w:sz w:val="28"/>
          <w:szCs w:val="28"/>
          <w:lang w:eastAsia="ru-RU"/>
        </w:rPr>
        <w:t>Рисунок</w:t>
      </w:r>
      <w:r w:rsidR="00E90E8A" w:rsidRPr="00F71B34">
        <w:rPr>
          <w:rFonts w:ascii="Times New Roman" w:eastAsia="Times New Roman" w:hAnsi="Times New Roman"/>
          <w:color w:val="000000"/>
          <w:sz w:val="28"/>
          <w:szCs w:val="28"/>
          <w:lang w:eastAsia="ru-RU"/>
        </w:rPr>
        <w:t xml:space="preserve"> 4</w:t>
      </w:r>
      <w:r w:rsidR="00CD2EDC">
        <w:rPr>
          <w:rFonts w:ascii="Times New Roman" w:eastAsia="Times New Roman" w:hAnsi="Times New Roman"/>
          <w:color w:val="000000"/>
          <w:sz w:val="28"/>
          <w:szCs w:val="28"/>
          <w:lang w:eastAsia="ru-RU"/>
        </w:rPr>
        <w:t xml:space="preserve"> – </w:t>
      </w:r>
      <w:r w:rsidR="00E90E8A" w:rsidRPr="00F71B34">
        <w:rPr>
          <w:rFonts w:ascii="Times New Roman" w:eastAsia="Times New Roman" w:hAnsi="Times New Roman"/>
          <w:color w:val="000000"/>
          <w:sz w:val="28"/>
          <w:szCs w:val="28"/>
          <w:lang w:eastAsia="ru-RU"/>
        </w:rPr>
        <w:t>Структура МПК у больных РА, получавших МТХ</w:t>
      </w:r>
    </w:p>
    <w:p w:rsidR="001852ED" w:rsidRPr="00F71B34" w:rsidRDefault="001852ED" w:rsidP="00F71B34">
      <w:pPr>
        <w:spacing w:after="0" w:line="360" w:lineRule="auto"/>
        <w:jc w:val="both"/>
        <w:rPr>
          <w:rFonts w:ascii="Times New Roman" w:eastAsia="Times New Roman" w:hAnsi="Times New Roman"/>
          <w:b/>
          <w:color w:val="000000"/>
          <w:sz w:val="28"/>
          <w:szCs w:val="28"/>
          <w:lang w:eastAsia="ru-RU"/>
        </w:rPr>
      </w:pPr>
    </w:p>
    <w:p w:rsidR="001852ED" w:rsidRDefault="001852ED" w:rsidP="00F71B34">
      <w:pPr>
        <w:numPr>
          <w:ilvl w:val="1"/>
          <w:numId w:val="6"/>
        </w:numPr>
        <w:spacing w:after="0" w:line="36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lastRenderedPageBreak/>
        <w:t xml:space="preserve">Динамика денситометрических показателей у больных </w:t>
      </w:r>
      <w:r w:rsidR="00602A44">
        <w:rPr>
          <w:rFonts w:ascii="Times New Roman" w:eastAsia="Times New Roman" w:hAnsi="Times New Roman"/>
          <w:b/>
          <w:sz w:val="28"/>
          <w:szCs w:val="28"/>
          <w:lang w:eastAsia="ru-RU"/>
        </w:rPr>
        <w:t>ревматоидным артритом</w:t>
      </w:r>
      <w:r w:rsidRPr="00F71B34">
        <w:rPr>
          <w:rFonts w:ascii="Times New Roman" w:eastAsia="Times New Roman" w:hAnsi="Times New Roman"/>
          <w:b/>
          <w:sz w:val="28"/>
          <w:szCs w:val="28"/>
          <w:lang w:eastAsia="ru-RU"/>
        </w:rPr>
        <w:t xml:space="preserve"> на фоне различных вариантов терапии</w:t>
      </w:r>
    </w:p>
    <w:p w:rsidR="0011783C" w:rsidRPr="00F71B34" w:rsidRDefault="0011783C" w:rsidP="0011783C">
      <w:pPr>
        <w:spacing w:after="0" w:line="360" w:lineRule="auto"/>
        <w:contextualSpacing/>
        <w:jc w:val="both"/>
        <w:rPr>
          <w:rFonts w:ascii="Times New Roman" w:eastAsia="Times New Roman" w:hAnsi="Times New Roman"/>
          <w:b/>
          <w:sz w:val="28"/>
          <w:szCs w:val="28"/>
          <w:lang w:eastAsia="ru-RU"/>
        </w:rPr>
      </w:pP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Для оценки динамики денситометрических показателей всем пациентам групп 1 и 2 проводилась двухэнергетическая </w:t>
      </w:r>
      <w:proofErr w:type="gramStart"/>
      <w:r w:rsidRPr="00F71B34">
        <w:rPr>
          <w:rFonts w:ascii="Times New Roman" w:eastAsia="Times New Roman" w:hAnsi="Times New Roman"/>
          <w:sz w:val="28"/>
          <w:szCs w:val="28"/>
          <w:lang w:eastAsia="ru-RU"/>
        </w:rPr>
        <w:t>рентгеновская</w:t>
      </w:r>
      <w:proofErr w:type="gramEnd"/>
      <w:r w:rsidRPr="00F71B34">
        <w:rPr>
          <w:rFonts w:ascii="Times New Roman" w:eastAsia="Times New Roman" w:hAnsi="Times New Roman"/>
          <w:sz w:val="28"/>
          <w:szCs w:val="28"/>
          <w:lang w:eastAsia="ru-RU"/>
        </w:rPr>
        <w:t xml:space="preserve"> абсорбциометрия 1 раз в </w:t>
      </w:r>
      <w:r w:rsidR="00106316" w:rsidRPr="00F71B34">
        <w:rPr>
          <w:rFonts w:ascii="Times New Roman" w:eastAsia="Times New Roman" w:hAnsi="Times New Roman"/>
          <w:sz w:val="28"/>
          <w:szCs w:val="28"/>
          <w:lang w:eastAsia="ru-RU"/>
        </w:rPr>
        <w:t>12 месяцев (</w:t>
      </w:r>
      <w:r w:rsidRPr="00F71B34">
        <w:rPr>
          <w:rFonts w:ascii="Times New Roman" w:eastAsia="Times New Roman" w:hAnsi="Times New Roman"/>
          <w:sz w:val="28"/>
          <w:szCs w:val="28"/>
          <w:lang w:eastAsia="ru-RU"/>
        </w:rPr>
        <w:t>в течение 48 месяцев наблюдения</w:t>
      </w:r>
      <w:r w:rsidR="00106316"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w:t>
      </w:r>
    </w:p>
    <w:p w:rsidR="001852ED" w:rsidRPr="00F71B34" w:rsidRDefault="001852ED" w:rsidP="00F71B34">
      <w:pPr>
        <w:spacing w:after="0" w:line="360" w:lineRule="auto"/>
        <w:ind w:firstLine="708"/>
        <w:jc w:val="both"/>
        <w:rPr>
          <w:rFonts w:ascii="Times New Roman" w:eastAsia="Times New Roman" w:hAnsi="Times New Roman"/>
          <w:b/>
          <w:color w:val="000000"/>
          <w:sz w:val="28"/>
          <w:szCs w:val="28"/>
          <w:lang w:eastAsia="ru-RU"/>
        </w:rPr>
      </w:pPr>
    </w:p>
    <w:p w:rsidR="001852ED" w:rsidRDefault="001852ED" w:rsidP="00F71B34">
      <w:pPr>
        <w:numPr>
          <w:ilvl w:val="2"/>
          <w:numId w:val="6"/>
        </w:numPr>
        <w:spacing w:after="0" w:line="36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Динамика денситометрических показателей шейки бедра</w:t>
      </w:r>
      <w:r w:rsidR="0059597F">
        <w:rPr>
          <w:rFonts w:ascii="Times New Roman" w:eastAsia="Times New Roman" w:hAnsi="Times New Roman"/>
          <w:b/>
          <w:sz w:val="28"/>
          <w:szCs w:val="28"/>
          <w:lang w:eastAsia="ru-RU"/>
        </w:rPr>
        <w:br/>
      </w:r>
      <w:r w:rsidRPr="00F71B34">
        <w:rPr>
          <w:rFonts w:ascii="Times New Roman" w:eastAsia="Times New Roman" w:hAnsi="Times New Roman"/>
          <w:b/>
          <w:sz w:val="28"/>
          <w:szCs w:val="28"/>
          <w:lang w:eastAsia="ru-RU"/>
        </w:rPr>
        <w:t xml:space="preserve">у больных </w:t>
      </w:r>
      <w:r w:rsidR="0059597F">
        <w:rPr>
          <w:rFonts w:ascii="Times New Roman" w:eastAsia="Times New Roman" w:hAnsi="Times New Roman"/>
          <w:b/>
          <w:sz w:val="28"/>
          <w:szCs w:val="28"/>
          <w:lang w:eastAsia="ru-RU"/>
        </w:rPr>
        <w:t>ревматоидным артритом</w:t>
      </w:r>
    </w:p>
    <w:p w:rsidR="0011783C" w:rsidRPr="00F71B34" w:rsidRDefault="0011783C" w:rsidP="0011783C">
      <w:pPr>
        <w:spacing w:after="0" w:line="360" w:lineRule="auto"/>
        <w:contextualSpacing/>
        <w:jc w:val="both"/>
        <w:rPr>
          <w:rFonts w:ascii="Times New Roman" w:eastAsia="Times New Roman" w:hAnsi="Times New Roman"/>
          <w:b/>
          <w:sz w:val="28"/>
          <w:szCs w:val="28"/>
          <w:lang w:eastAsia="ru-RU"/>
        </w:rPr>
      </w:pP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Динамика денситометрических показателей шейки бедра у больных РА обеих </w:t>
      </w:r>
      <w:r w:rsidR="00AC0ADE">
        <w:rPr>
          <w:rFonts w:ascii="Times New Roman" w:eastAsia="Times New Roman" w:hAnsi="Times New Roman"/>
          <w:sz w:val="28"/>
          <w:szCs w:val="28"/>
          <w:lang w:eastAsia="ru-RU"/>
        </w:rPr>
        <w:t xml:space="preserve">групп представлена на рисунках </w:t>
      </w:r>
      <w:r w:rsidR="0059597F">
        <w:rPr>
          <w:rFonts w:ascii="Times New Roman" w:eastAsia="Times New Roman" w:hAnsi="Times New Roman"/>
          <w:sz w:val="28"/>
          <w:szCs w:val="28"/>
          <w:lang w:eastAsia="ru-RU"/>
        </w:rPr>
        <w:t>5</w:t>
      </w:r>
      <w:r w:rsidRPr="00F71B34">
        <w:rPr>
          <w:rFonts w:ascii="Times New Roman" w:eastAsia="Times New Roman" w:hAnsi="Times New Roman"/>
          <w:sz w:val="28"/>
          <w:szCs w:val="28"/>
          <w:lang w:eastAsia="ru-RU"/>
        </w:rPr>
        <w:t xml:space="preserve"> и </w:t>
      </w:r>
      <w:r w:rsidR="0059597F">
        <w:rPr>
          <w:rFonts w:ascii="Times New Roman" w:eastAsia="Times New Roman" w:hAnsi="Times New Roman"/>
          <w:sz w:val="28"/>
          <w:szCs w:val="28"/>
          <w:lang w:eastAsia="ru-RU"/>
        </w:rPr>
        <w:t>6</w:t>
      </w:r>
      <w:r w:rsidRPr="00F71B34">
        <w:rPr>
          <w:rFonts w:ascii="Times New Roman" w:eastAsia="Times New Roman" w:hAnsi="Times New Roman"/>
          <w:sz w:val="28"/>
          <w:szCs w:val="28"/>
          <w:lang w:eastAsia="ru-RU"/>
        </w:rPr>
        <w:t>.</w:t>
      </w: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Установлено, что через 12 месяцев терапии статистически значимых различий уровня МПК и Т-критерия в шейке бедра относительно исходных данных как в группе больных, получавших комбинированную терапию РТМ и МТХ, так и в группе с монотерапией МТХ не получено: в группе 1 МПК</w:t>
      </w:r>
      <w:r w:rsidRPr="00F71B34">
        <w:rPr>
          <w:rFonts w:ascii="Times New Roman" w:eastAsia="Times New Roman" w:hAnsi="Times New Roman"/>
          <w:sz w:val="28"/>
          <w:szCs w:val="28"/>
          <w:vertAlign w:val="subscript"/>
          <w:lang w:eastAsia="ru-RU"/>
        </w:rPr>
        <w:t>0</w:t>
      </w:r>
      <w:r w:rsidRPr="00F71B34">
        <w:rPr>
          <w:rFonts w:ascii="Times New Roman" w:eastAsia="Times New Roman" w:hAnsi="Times New Roman"/>
          <w:sz w:val="28"/>
          <w:szCs w:val="28"/>
          <w:lang w:eastAsia="ru-RU"/>
        </w:rPr>
        <w:t xml:space="preserve"> (исходно)</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 0,7641±0,017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МПК</w:t>
      </w:r>
      <w:r w:rsidRPr="00F71B34">
        <w:rPr>
          <w:rFonts w:ascii="Times New Roman" w:eastAsia="Times New Roman" w:hAnsi="Times New Roman"/>
          <w:sz w:val="28"/>
          <w:szCs w:val="28"/>
          <w:vertAlign w:val="subscript"/>
          <w:lang w:eastAsia="ru-RU"/>
        </w:rPr>
        <w:t xml:space="preserve">1 </w:t>
      </w:r>
      <w:r w:rsidRPr="00F71B34">
        <w:rPr>
          <w:rFonts w:ascii="Times New Roman" w:eastAsia="Times New Roman" w:hAnsi="Times New Roman"/>
          <w:sz w:val="28"/>
          <w:szCs w:val="28"/>
          <w:lang w:eastAsia="ru-RU"/>
        </w:rPr>
        <w:t>(через 12 месяцев)</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0,7753±0,018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=0,63), в группе 2 МПК</w:t>
      </w:r>
      <w:r w:rsidRPr="00F71B34">
        <w:rPr>
          <w:rFonts w:ascii="Times New Roman" w:eastAsia="Times New Roman" w:hAnsi="Times New Roman"/>
          <w:sz w:val="28"/>
          <w:szCs w:val="28"/>
          <w:vertAlign w:val="subscript"/>
          <w:lang w:eastAsia="ru-RU"/>
        </w:rPr>
        <w:t>0</w:t>
      </w:r>
      <w:r w:rsidR="00CD2EDC" w:rsidRPr="0059597F">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0,7894±0,02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МПК</w:t>
      </w:r>
      <w:r w:rsidRPr="00F71B34">
        <w:rPr>
          <w:rFonts w:ascii="Times New Roman" w:eastAsia="Times New Roman" w:hAnsi="Times New Roman"/>
          <w:sz w:val="28"/>
          <w:szCs w:val="28"/>
          <w:vertAlign w:val="subscript"/>
          <w:lang w:eastAsia="ru-RU"/>
        </w:rPr>
        <w:t>1</w:t>
      </w:r>
      <w:r w:rsidR="00CD2EDC" w:rsidRPr="0059597F">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0,7680±0,021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=0,41). При анализе динамики Т-критерия отмечены аналогичные закономерности: в группе 1 Т-критерий</w:t>
      </w:r>
      <w:r w:rsidRPr="00F71B34">
        <w:rPr>
          <w:rFonts w:ascii="Times New Roman" w:eastAsia="Times New Roman" w:hAnsi="Times New Roman"/>
          <w:sz w:val="28"/>
          <w:szCs w:val="28"/>
          <w:vertAlign w:val="subscript"/>
          <w:lang w:eastAsia="ru-RU"/>
        </w:rPr>
        <w:t>0</w:t>
      </w:r>
      <w:r w:rsidRPr="00F71B34">
        <w:rPr>
          <w:rFonts w:ascii="Times New Roman" w:eastAsia="Times New Roman" w:hAnsi="Times New Roman"/>
          <w:sz w:val="28"/>
          <w:szCs w:val="28"/>
          <w:lang w:eastAsia="ru-RU"/>
        </w:rPr>
        <w:t xml:space="preserve"> (исходно) – -2,07±0,14 SD,</w:t>
      </w:r>
      <w:r w:rsidR="0059597F">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Т-критерий</w:t>
      </w:r>
      <w:r w:rsidRPr="00F71B34">
        <w:rPr>
          <w:rFonts w:ascii="Times New Roman" w:eastAsia="Times New Roman" w:hAnsi="Times New Roman"/>
          <w:sz w:val="28"/>
          <w:szCs w:val="28"/>
          <w:vertAlign w:val="subscript"/>
          <w:lang w:eastAsia="ru-RU"/>
        </w:rPr>
        <w:t>1</w:t>
      </w:r>
      <w:r w:rsidRPr="00F71B34">
        <w:rPr>
          <w:rFonts w:ascii="Times New Roman" w:eastAsia="Times New Roman" w:hAnsi="Times New Roman"/>
          <w:sz w:val="28"/>
          <w:szCs w:val="28"/>
          <w:lang w:eastAsia="ru-RU"/>
        </w:rPr>
        <w:t xml:space="preserve"> (через 12 месяцев) – -1,98±0,15 SD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=0,75), в группе 2</w:t>
      </w:r>
      <w:r w:rsidR="0059597F">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Т-критерий</w:t>
      </w:r>
      <w:r w:rsidRPr="00F71B34">
        <w:rPr>
          <w:rFonts w:ascii="Times New Roman" w:eastAsia="Times New Roman" w:hAnsi="Times New Roman"/>
          <w:sz w:val="28"/>
          <w:szCs w:val="28"/>
          <w:vertAlign w:val="subscript"/>
          <w:lang w:eastAsia="ru-RU"/>
        </w:rPr>
        <w:t xml:space="preserve">0 </w:t>
      </w:r>
      <w:r w:rsidRPr="00F71B34">
        <w:rPr>
          <w:rFonts w:ascii="Times New Roman" w:eastAsia="Times New Roman" w:hAnsi="Times New Roman"/>
          <w:sz w:val="28"/>
          <w:szCs w:val="28"/>
          <w:lang w:eastAsia="ru-RU"/>
        </w:rPr>
        <w:t xml:space="preserve">– </w:t>
      </w:r>
      <w:r w:rsidR="00DC52BB">
        <w:rPr>
          <w:rFonts w:ascii="Times New Roman" w:eastAsia="Times New Roman" w:hAnsi="Times New Roman"/>
          <w:sz w:val="28"/>
          <w:szCs w:val="28"/>
          <w:lang w:eastAsia="ru-RU"/>
        </w:rPr>
        <w:t xml:space="preserve"> </w:t>
      </w:r>
      <w:r w:rsidR="00BC5BAE" w:rsidRPr="00F71B34">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-1,78±0,18 SD, Т-критерий</w:t>
      </w:r>
      <w:r w:rsidRPr="00F71B34">
        <w:rPr>
          <w:rFonts w:ascii="Times New Roman" w:eastAsia="Times New Roman" w:hAnsi="Times New Roman"/>
          <w:sz w:val="28"/>
          <w:szCs w:val="28"/>
          <w:vertAlign w:val="subscript"/>
          <w:lang w:eastAsia="ru-RU"/>
        </w:rPr>
        <w:t xml:space="preserve">1 </w:t>
      </w:r>
      <w:r w:rsidRPr="00F71B34">
        <w:rPr>
          <w:rFonts w:ascii="Times New Roman" w:eastAsia="Times New Roman" w:hAnsi="Times New Roman"/>
          <w:sz w:val="28"/>
          <w:szCs w:val="28"/>
          <w:lang w:eastAsia="ru-RU"/>
        </w:rPr>
        <w:t xml:space="preserve">– -1,88±0,18 SD (р=0,63). </w:t>
      </w: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Аналогичные закономерности сохранялись и через 24 месяца лечения. Однако в группе больных, получавших комбинированную терапию РТМ и МТХ, определялась тенденция к стабилизации показателей МПК: МПК</w:t>
      </w:r>
      <w:r w:rsidRPr="00F71B34">
        <w:rPr>
          <w:rFonts w:ascii="Times New Roman" w:eastAsia="Times New Roman" w:hAnsi="Times New Roman"/>
          <w:sz w:val="28"/>
          <w:szCs w:val="28"/>
          <w:vertAlign w:val="subscript"/>
          <w:lang w:eastAsia="ru-RU"/>
        </w:rPr>
        <w:t xml:space="preserve">0 </w:t>
      </w:r>
      <w:r w:rsidRPr="00F71B34">
        <w:rPr>
          <w:rFonts w:ascii="Times New Roman" w:eastAsia="Times New Roman" w:hAnsi="Times New Roman"/>
          <w:sz w:val="28"/>
          <w:szCs w:val="28"/>
          <w:lang w:eastAsia="ru-RU"/>
        </w:rPr>
        <w:t>–0,7641±0,018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МПК</w:t>
      </w:r>
      <w:r w:rsidRPr="00F71B34">
        <w:rPr>
          <w:rFonts w:ascii="Times New Roman" w:eastAsia="Times New Roman" w:hAnsi="Times New Roman"/>
          <w:sz w:val="28"/>
          <w:szCs w:val="28"/>
          <w:vertAlign w:val="subscript"/>
          <w:lang w:eastAsia="ru-RU"/>
        </w:rPr>
        <w:t xml:space="preserve">2 </w:t>
      </w:r>
      <w:r w:rsidRPr="00F71B34">
        <w:rPr>
          <w:rFonts w:ascii="Times New Roman" w:eastAsia="Times New Roman" w:hAnsi="Times New Roman"/>
          <w:sz w:val="28"/>
          <w:szCs w:val="28"/>
          <w:lang w:eastAsia="ru-RU"/>
        </w:rPr>
        <w:t>(через 24 месяца) – 0,7756±0,018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=0,73),</w:t>
      </w:r>
      <w:r w:rsidR="0059597F">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Т-критерий</w:t>
      </w:r>
      <w:r w:rsidRPr="00F71B34">
        <w:rPr>
          <w:rFonts w:ascii="Times New Roman" w:eastAsia="Times New Roman" w:hAnsi="Times New Roman"/>
          <w:sz w:val="28"/>
          <w:szCs w:val="28"/>
          <w:vertAlign w:val="subscript"/>
          <w:lang w:eastAsia="ru-RU"/>
        </w:rPr>
        <w:t>0</w:t>
      </w:r>
      <w:r w:rsidRPr="00F71B34">
        <w:rPr>
          <w:rFonts w:ascii="Times New Roman" w:eastAsia="Times New Roman" w:hAnsi="Times New Roman"/>
          <w:sz w:val="28"/>
          <w:szCs w:val="28"/>
          <w:lang w:eastAsia="ru-RU"/>
        </w:rPr>
        <w:t xml:space="preserve"> –  -2,07±0,14 SD,  Т-критерий</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(через 24 месяца) – -1,95±0,14 SD (р=0,66); в группе с монотерапией МТХ абсолютные значения МПК шейки бедра снижалась, хотя и не достигали уровня статистической значимости: МПК</w:t>
      </w:r>
      <w:r w:rsidRPr="00F71B34">
        <w:rPr>
          <w:rFonts w:ascii="Times New Roman" w:eastAsia="Times New Roman" w:hAnsi="Times New Roman"/>
          <w:sz w:val="28"/>
          <w:szCs w:val="28"/>
          <w:vertAlign w:val="subscript"/>
          <w:lang w:eastAsia="ru-RU"/>
        </w:rPr>
        <w:t>0</w:t>
      </w:r>
      <w:r w:rsidR="00CD2EDC" w:rsidRPr="0059597F">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lastRenderedPageBreak/>
        <w:t>0,7894±0,02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МПК</w:t>
      </w:r>
      <w:r w:rsidRPr="00F71B34">
        <w:rPr>
          <w:rFonts w:ascii="Times New Roman" w:eastAsia="Times New Roman" w:hAnsi="Times New Roman"/>
          <w:sz w:val="28"/>
          <w:szCs w:val="28"/>
          <w:vertAlign w:val="subscript"/>
          <w:lang w:eastAsia="ru-RU"/>
        </w:rPr>
        <w:t xml:space="preserve">2 </w:t>
      </w:r>
      <w:r w:rsidRPr="00F71B34">
        <w:rPr>
          <w:rFonts w:ascii="Times New Roman" w:eastAsia="Times New Roman" w:hAnsi="Times New Roman"/>
          <w:sz w:val="28"/>
          <w:szCs w:val="28"/>
          <w:lang w:eastAsia="ru-RU"/>
        </w:rPr>
        <w:t>–</w:t>
      </w:r>
      <w:r w:rsidR="00CD2EDC">
        <w:rPr>
          <w:rFonts w:ascii="Times New Roman" w:eastAsia="Times New Roman" w:hAnsi="Times New Roman"/>
          <w:sz w:val="28"/>
          <w:szCs w:val="28"/>
          <w:lang w:eastAsia="ru-RU"/>
        </w:rPr>
        <w:t xml:space="preserve"> </w:t>
      </w:r>
      <w:r w:rsidR="0059597F">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0,7494±0,020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=0,13), Т-критерий</w:t>
      </w:r>
      <w:r w:rsidRPr="00F71B34">
        <w:rPr>
          <w:rFonts w:ascii="Times New Roman" w:eastAsia="Times New Roman" w:hAnsi="Times New Roman"/>
          <w:sz w:val="28"/>
          <w:szCs w:val="28"/>
          <w:vertAlign w:val="subscript"/>
          <w:lang w:eastAsia="ru-RU"/>
        </w:rPr>
        <w:t xml:space="preserve">0 </w:t>
      </w:r>
      <w:r w:rsidRPr="00F71B34">
        <w:rPr>
          <w:rFonts w:ascii="Times New Roman" w:eastAsia="Times New Roman" w:hAnsi="Times New Roman"/>
          <w:sz w:val="28"/>
          <w:szCs w:val="28"/>
          <w:lang w:eastAsia="ru-RU"/>
        </w:rPr>
        <w:t>– -1,78±0,18 SD, Т-критерий</w:t>
      </w:r>
      <w:r w:rsidRPr="00F71B34">
        <w:rPr>
          <w:rFonts w:ascii="Times New Roman" w:eastAsia="Times New Roman" w:hAnsi="Times New Roman"/>
          <w:sz w:val="28"/>
          <w:szCs w:val="28"/>
          <w:vertAlign w:val="subscript"/>
          <w:lang w:eastAsia="ru-RU"/>
        </w:rPr>
        <w:t xml:space="preserve">2 </w:t>
      </w:r>
      <w:r w:rsidRPr="00F71B34">
        <w:rPr>
          <w:rFonts w:ascii="Times New Roman" w:eastAsia="Times New Roman" w:hAnsi="Times New Roman"/>
          <w:sz w:val="28"/>
          <w:szCs w:val="28"/>
          <w:lang w:eastAsia="ru-RU"/>
        </w:rPr>
        <w:t xml:space="preserve"> ‒ -2,11±0,17 SD (р=0,20). </w:t>
      </w:r>
    </w:p>
    <w:p w:rsidR="001852ED" w:rsidRPr="00F71B34" w:rsidRDefault="001852ED" w:rsidP="00F71B34">
      <w:pPr>
        <w:tabs>
          <w:tab w:val="left" w:pos="6420"/>
        </w:tabs>
        <w:spacing w:after="0" w:line="360" w:lineRule="auto"/>
        <w:jc w:val="both"/>
        <w:rPr>
          <w:rFonts w:ascii="Times New Roman" w:eastAsia="Times New Roman" w:hAnsi="Times New Roman"/>
          <w:sz w:val="28"/>
          <w:szCs w:val="28"/>
          <w:lang w:eastAsia="ru-RU"/>
        </w:rPr>
      </w:pPr>
    </w:p>
    <w:p w:rsidR="0011783C" w:rsidRDefault="001A28E5" w:rsidP="00244126">
      <w:pPr>
        <w:spacing w:after="0" w:line="240" w:lineRule="auto"/>
        <w:jc w:val="both"/>
        <w:rPr>
          <w:rFonts w:ascii="Times New Roman" w:eastAsia="Times New Roman" w:hAnsi="Times New Roman"/>
          <w:i/>
          <w:sz w:val="28"/>
          <w:szCs w:val="28"/>
          <w:lang w:eastAsia="ru-RU"/>
        </w:rPr>
      </w:pPr>
      <w:r>
        <w:rPr>
          <w:rFonts w:ascii="Times New Roman" w:hAnsi="Times New Roman"/>
          <w:noProof/>
          <w:color w:val="FF0000"/>
          <w:sz w:val="28"/>
          <w:szCs w:val="28"/>
          <w:lang w:eastAsia="ru-RU"/>
        </w:rPr>
        <w:drawing>
          <wp:inline distT="0" distB="0" distL="0" distR="0">
            <wp:extent cx="6282000" cy="2884714"/>
            <wp:effectExtent l="0" t="0" r="508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852ED" w:rsidRPr="00F71B34">
        <w:rPr>
          <w:rFonts w:ascii="Times New Roman" w:eastAsia="Times New Roman" w:hAnsi="Times New Roman"/>
          <w:i/>
          <w:sz w:val="28"/>
          <w:szCs w:val="28"/>
          <w:lang w:eastAsia="ru-RU"/>
        </w:rPr>
        <w:t xml:space="preserve">* p&lt;0,05 по сравнению с исходными показателями, </w:t>
      </w:r>
    </w:p>
    <w:p w:rsidR="001852ED" w:rsidRPr="00F71B34" w:rsidRDefault="001852ED" w:rsidP="00244126">
      <w:pPr>
        <w:spacing w:after="0" w:line="240" w:lineRule="auto"/>
        <w:jc w:val="both"/>
        <w:rPr>
          <w:rFonts w:ascii="Times New Roman" w:eastAsia="Times New Roman" w:hAnsi="Times New Roman"/>
          <w:i/>
          <w:sz w:val="28"/>
          <w:szCs w:val="28"/>
          <w:lang w:eastAsia="ru-RU"/>
        </w:rPr>
      </w:pPr>
      <w:r w:rsidRPr="00F71B34">
        <w:rPr>
          <w:rFonts w:ascii="Times New Roman" w:eastAsia="Times New Roman" w:hAnsi="Times New Roman"/>
          <w:i/>
          <w:sz w:val="28"/>
          <w:szCs w:val="28"/>
          <w:lang w:eastAsia="ru-RU"/>
        </w:rPr>
        <w:t>**</w:t>
      </w:r>
      <w:r w:rsidR="0059597F">
        <w:rPr>
          <w:rFonts w:ascii="Times New Roman" w:eastAsia="Times New Roman" w:hAnsi="Times New Roman"/>
          <w:i/>
          <w:sz w:val="28"/>
          <w:szCs w:val="28"/>
          <w:lang w:eastAsia="ru-RU"/>
        </w:rPr>
        <w:t xml:space="preserve"> </w:t>
      </w:r>
      <w:r w:rsidRPr="00F71B34">
        <w:rPr>
          <w:rFonts w:ascii="Times New Roman" w:eastAsia="Times New Roman" w:hAnsi="Times New Roman"/>
          <w:i/>
          <w:sz w:val="28"/>
          <w:szCs w:val="28"/>
          <w:lang w:eastAsia="ru-RU"/>
        </w:rPr>
        <w:t xml:space="preserve">p&lt;0,05 по сравнениюс  группой 1.   </w:t>
      </w:r>
    </w:p>
    <w:p w:rsidR="001852ED" w:rsidRPr="00225925" w:rsidRDefault="001852ED" w:rsidP="00F71B34">
      <w:pPr>
        <w:spacing w:after="0" w:line="360" w:lineRule="auto"/>
        <w:jc w:val="both"/>
        <w:rPr>
          <w:rFonts w:ascii="Times New Roman" w:eastAsia="Times New Roman" w:hAnsi="Times New Roman"/>
          <w:sz w:val="20"/>
          <w:szCs w:val="28"/>
          <w:lang w:eastAsia="ru-RU"/>
        </w:rPr>
      </w:pPr>
    </w:p>
    <w:p w:rsidR="001852ED" w:rsidRPr="00F71B34" w:rsidRDefault="001852ED" w:rsidP="00F71B34">
      <w:pPr>
        <w:spacing w:after="0" w:line="360" w:lineRule="auto"/>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 </w:t>
      </w:r>
      <w:r w:rsidRPr="0059597F">
        <w:rPr>
          <w:rFonts w:ascii="Times New Roman" w:eastAsia="Times New Roman" w:hAnsi="Times New Roman"/>
          <w:spacing w:val="40"/>
          <w:sz w:val="28"/>
          <w:szCs w:val="28"/>
          <w:lang w:eastAsia="ru-RU"/>
        </w:rPr>
        <w:t>Рисунок</w:t>
      </w:r>
      <w:r w:rsidRPr="00F71B34">
        <w:rPr>
          <w:rFonts w:ascii="Times New Roman" w:eastAsia="Times New Roman" w:hAnsi="Times New Roman"/>
          <w:sz w:val="28"/>
          <w:szCs w:val="28"/>
          <w:lang w:eastAsia="ru-RU"/>
        </w:rPr>
        <w:t xml:space="preserve"> </w:t>
      </w:r>
      <w:r w:rsidR="0059597F">
        <w:rPr>
          <w:rFonts w:ascii="Times New Roman" w:eastAsia="Times New Roman" w:hAnsi="Times New Roman"/>
          <w:sz w:val="28"/>
          <w:szCs w:val="28"/>
          <w:lang w:eastAsia="ru-RU"/>
        </w:rPr>
        <w:t>5</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Динамика МПК шейки бедра на фоне терапии у больных РА</w:t>
      </w:r>
    </w:p>
    <w:p w:rsidR="001852ED" w:rsidRPr="00F71B34" w:rsidRDefault="001852ED" w:rsidP="00F71B34">
      <w:pPr>
        <w:spacing w:after="0" w:line="360" w:lineRule="auto"/>
        <w:jc w:val="both"/>
        <w:rPr>
          <w:rFonts w:ascii="Times New Roman" w:eastAsia="Times New Roman" w:hAnsi="Times New Roman"/>
          <w:b/>
          <w:color w:val="FF0000"/>
          <w:sz w:val="28"/>
          <w:szCs w:val="28"/>
          <w:lang w:eastAsia="ru-RU"/>
        </w:rPr>
      </w:pPr>
    </w:p>
    <w:p w:rsidR="001852ED" w:rsidRPr="00F71B34" w:rsidRDefault="001A28E5" w:rsidP="0059597F">
      <w:pPr>
        <w:spacing w:after="0" w:line="360" w:lineRule="auto"/>
        <w:jc w:val="both"/>
        <w:rPr>
          <w:rFonts w:ascii="Times New Roman" w:eastAsia="Times New Roman" w:hAnsi="Times New Roman"/>
          <w:sz w:val="28"/>
          <w:szCs w:val="28"/>
          <w:lang w:eastAsia="ru-RU"/>
        </w:rPr>
      </w:pPr>
      <w:r>
        <w:rPr>
          <w:rFonts w:ascii="Times New Roman" w:hAnsi="Times New Roman"/>
          <w:noProof/>
          <w:color w:val="FF0000"/>
          <w:sz w:val="28"/>
          <w:szCs w:val="28"/>
          <w:lang w:eastAsia="ru-RU"/>
        </w:rPr>
        <w:drawing>
          <wp:inline distT="0" distB="0" distL="0" distR="0">
            <wp:extent cx="6282000" cy="2884714"/>
            <wp:effectExtent l="0" t="0" r="508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9597F" w:rsidRPr="00F71B34">
        <w:rPr>
          <w:rFonts w:ascii="Times New Roman" w:eastAsia="Times New Roman" w:hAnsi="Times New Roman"/>
          <w:i/>
          <w:sz w:val="28"/>
          <w:szCs w:val="28"/>
          <w:lang w:eastAsia="ru-RU"/>
        </w:rPr>
        <w:t>* p&lt;0,05 по сравнению с исходными показателями, **</w:t>
      </w:r>
      <w:r w:rsidR="0059597F">
        <w:rPr>
          <w:rFonts w:ascii="Times New Roman" w:eastAsia="Times New Roman" w:hAnsi="Times New Roman"/>
          <w:i/>
          <w:sz w:val="28"/>
          <w:szCs w:val="28"/>
          <w:lang w:eastAsia="ru-RU"/>
        </w:rPr>
        <w:t xml:space="preserve"> </w:t>
      </w:r>
      <w:r w:rsidR="0059597F" w:rsidRPr="00F71B34">
        <w:rPr>
          <w:rFonts w:ascii="Times New Roman" w:eastAsia="Times New Roman" w:hAnsi="Times New Roman"/>
          <w:i/>
          <w:sz w:val="28"/>
          <w:szCs w:val="28"/>
          <w:lang w:eastAsia="ru-RU"/>
        </w:rPr>
        <w:t>p&lt;0,05 по сравнению</w:t>
      </w:r>
      <w:r w:rsidR="0059597F">
        <w:rPr>
          <w:rFonts w:ascii="Times New Roman" w:eastAsia="Times New Roman" w:hAnsi="Times New Roman"/>
          <w:i/>
          <w:sz w:val="28"/>
          <w:szCs w:val="28"/>
          <w:lang w:eastAsia="ru-RU"/>
        </w:rPr>
        <w:br/>
      </w:r>
      <w:r w:rsidR="0059597F" w:rsidRPr="00F71B34">
        <w:rPr>
          <w:rFonts w:ascii="Times New Roman" w:eastAsia="Times New Roman" w:hAnsi="Times New Roman"/>
          <w:i/>
          <w:sz w:val="28"/>
          <w:szCs w:val="28"/>
          <w:lang w:eastAsia="ru-RU"/>
        </w:rPr>
        <w:t>с  группой 1.</w:t>
      </w:r>
    </w:p>
    <w:p w:rsidR="0059597F" w:rsidRPr="00225925" w:rsidRDefault="0059597F" w:rsidP="00F71B34">
      <w:pPr>
        <w:spacing w:after="0" w:line="360" w:lineRule="auto"/>
        <w:jc w:val="both"/>
        <w:rPr>
          <w:rFonts w:ascii="Times New Roman" w:eastAsia="Times New Roman" w:hAnsi="Times New Roman"/>
          <w:sz w:val="20"/>
          <w:szCs w:val="28"/>
          <w:lang w:eastAsia="ru-RU"/>
        </w:rPr>
      </w:pPr>
    </w:p>
    <w:p w:rsidR="001852ED" w:rsidRPr="00F71B34" w:rsidRDefault="001852ED" w:rsidP="00F71B34">
      <w:pPr>
        <w:spacing w:after="0" w:line="360" w:lineRule="auto"/>
        <w:jc w:val="both"/>
        <w:rPr>
          <w:rFonts w:ascii="Times New Roman" w:eastAsia="Times New Roman" w:hAnsi="Times New Roman"/>
          <w:sz w:val="28"/>
          <w:szCs w:val="28"/>
          <w:lang w:eastAsia="ru-RU"/>
        </w:rPr>
      </w:pPr>
      <w:r w:rsidRPr="0059597F">
        <w:rPr>
          <w:rFonts w:ascii="Times New Roman" w:eastAsia="Times New Roman" w:hAnsi="Times New Roman"/>
          <w:spacing w:val="40"/>
          <w:sz w:val="28"/>
          <w:szCs w:val="28"/>
          <w:lang w:eastAsia="ru-RU"/>
        </w:rPr>
        <w:t>Рисунок</w:t>
      </w:r>
      <w:r w:rsidRPr="00F71B34">
        <w:rPr>
          <w:rFonts w:ascii="Times New Roman" w:eastAsia="Times New Roman" w:hAnsi="Times New Roman"/>
          <w:sz w:val="28"/>
          <w:szCs w:val="28"/>
          <w:lang w:eastAsia="ru-RU"/>
        </w:rPr>
        <w:t xml:space="preserve"> </w:t>
      </w:r>
      <w:r w:rsidR="0059597F">
        <w:rPr>
          <w:rFonts w:ascii="Times New Roman" w:eastAsia="Times New Roman" w:hAnsi="Times New Roman"/>
          <w:sz w:val="28"/>
          <w:szCs w:val="28"/>
          <w:lang w:eastAsia="ru-RU"/>
        </w:rPr>
        <w:t>6</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Динамика Т-критерия шейки бедра у больных РА на фоне терапии</w:t>
      </w: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lastRenderedPageBreak/>
        <w:t>Через 36 месяцев наблюдения отмечена положительная динамика  показателей МПК и Т-критерия шейки бедра относительно исходных данных у больных с комбинированной терапией РТМ и МТХ: МПК</w:t>
      </w:r>
      <w:r w:rsidRPr="00F71B34">
        <w:rPr>
          <w:rFonts w:ascii="Times New Roman" w:eastAsia="Times New Roman" w:hAnsi="Times New Roman"/>
          <w:sz w:val="28"/>
          <w:szCs w:val="28"/>
          <w:vertAlign w:val="subscript"/>
          <w:lang w:eastAsia="ru-RU"/>
        </w:rPr>
        <w:t>0</w:t>
      </w:r>
      <w:r w:rsidR="00CD2EDC" w:rsidRPr="0059597F">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0,7641±</w:t>
      </w:r>
      <w:r w:rsidR="0059597F">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МПК</w:t>
      </w:r>
      <w:r w:rsidRPr="00F71B34">
        <w:rPr>
          <w:rFonts w:ascii="Times New Roman" w:eastAsia="Times New Roman" w:hAnsi="Times New Roman"/>
          <w:sz w:val="28"/>
          <w:szCs w:val="28"/>
          <w:vertAlign w:val="subscript"/>
          <w:lang w:eastAsia="ru-RU"/>
        </w:rPr>
        <w:t xml:space="preserve">3 </w:t>
      </w:r>
      <w:r w:rsidRPr="00F71B34">
        <w:rPr>
          <w:rFonts w:ascii="Times New Roman" w:eastAsia="Times New Roman" w:hAnsi="Times New Roman"/>
          <w:sz w:val="28"/>
          <w:szCs w:val="28"/>
          <w:lang w:eastAsia="ru-RU"/>
        </w:rPr>
        <w:t>(через 36 месяцев)</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0,8150±0,02 г/см</w:t>
      </w:r>
      <w:r w:rsidRPr="00F71B34">
        <w:rPr>
          <w:rFonts w:ascii="Times New Roman" w:eastAsia="Times New Roman" w:hAnsi="Times New Roman"/>
          <w:sz w:val="28"/>
          <w:szCs w:val="28"/>
          <w:vertAlign w:val="superscript"/>
          <w:lang w:eastAsia="ru-RU"/>
        </w:rPr>
        <w:t xml:space="preserve">2 </w:t>
      </w:r>
      <w:r w:rsidRPr="00F71B34">
        <w:rPr>
          <w:rFonts w:ascii="Times New Roman" w:eastAsia="Times New Roman" w:hAnsi="Times New Roman"/>
          <w:sz w:val="28"/>
          <w:szCs w:val="28"/>
          <w:lang w:eastAsia="ru-RU"/>
        </w:rPr>
        <w:t>(</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=0,031),</w:t>
      </w:r>
      <w:r w:rsidR="0059597F">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Т-критерий</w:t>
      </w:r>
      <w:r w:rsidRPr="00F71B34">
        <w:rPr>
          <w:rFonts w:ascii="Times New Roman" w:eastAsia="Times New Roman" w:hAnsi="Times New Roman"/>
          <w:sz w:val="28"/>
          <w:szCs w:val="28"/>
          <w:vertAlign w:val="subscript"/>
          <w:lang w:eastAsia="ru-RU"/>
        </w:rPr>
        <w:t xml:space="preserve">0 </w:t>
      </w:r>
      <w:r w:rsidRPr="00F71B34">
        <w:rPr>
          <w:rFonts w:ascii="Times New Roman" w:eastAsia="Times New Roman" w:hAnsi="Times New Roman"/>
          <w:sz w:val="28"/>
          <w:szCs w:val="28"/>
          <w:lang w:eastAsia="ru-RU"/>
        </w:rPr>
        <w:t>–</w:t>
      </w:r>
      <w:r w:rsidR="0059597F">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-2,07±0,14 SD, Т-критерий</w:t>
      </w:r>
      <w:r w:rsidRPr="00F71B34">
        <w:rPr>
          <w:rFonts w:ascii="Times New Roman" w:eastAsia="Times New Roman" w:hAnsi="Times New Roman"/>
          <w:sz w:val="28"/>
          <w:szCs w:val="28"/>
          <w:vertAlign w:val="subscript"/>
          <w:lang w:eastAsia="ru-RU"/>
        </w:rPr>
        <w:t xml:space="preserve">3 </w:t>
      </w:r>
      <w:r w:rsidRPr="00F71B34">
        <w:rPr>
          <w:rFonts w:ascii="Times New Roman" w:eastAsia="Times New Roman" w:hAnsi="Times New Roman"/>
          <w:sz w:val="28"/>
          <w:szCs w:val="28"/>
          <w:lang w:eastAsia="ru-RU"/>
        </w:rPr>
        <w:t xml:space="preserve">(через 36 месяцев) − -1,64±0,16 SD  (р=0,029).  В группе больных, получавших монотерапию МТХ, имело место снижение абсолютных значений  вышеуказанных показателей, не достигшее, однако, уровня статистической значимости. </w:t>
      </w: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При сравнительном анализе денситометрических показателей двух групп больных РА через 36 месяцев терапии установлено, что в группе больных, получавших РТМ, </w:t>
      </w:r>
      <w:r w:rsidR="0059597F">
        <w:rPr>
          <w:rFonts w:ascii="Times New Roman" w:eastAsia="Times New Roman" w:hAnsi="Times New Roman"/>
          <w:sz w:val="28"/>
          <w:szCs w:val="28"/>
          <w:lang w:eastAsia="ru-RU"/>
        </w:rPr>
        <w:t xml:space="preserve">показатели </w:t>
      </w:r>
      <w:r w:rsidRPr="00F71B34">
        <w:rPr>
          <w:rFonts w:ascii="Times New Roman" w:eastAsia="Times New Roman" w:hAnsi="Times New Roman"/>
          <w:sz w:val="28"/>
          <w:szCs w:val="28"/>
          <w:lang w:eastAsia="ru-RU"/>
        </w:rPr>
        <w:t>МПК и Т-критери</w:t>
      </w:r>
      <w:r w:rsidR="00404230">
        <w:rPr>
          <w:rFonts w:ascii="Times New Roman" w:eastAsia="Times New Roman" w:hAnsi="Times New Roman"/>
          <w:sz w:val="28"/>
          <w:szCs w:val="28"/>
          <w:lang w:eastAsia="ru-RU"/>
        </w:rPr>
        <w:t>я</w:t>
      </w:r>
      <w:r w:rsidRPr="00F71B34">
        <w:rPr>
          <w:rFonts w:ascii="Times New Roman" w:eastAsia="Times New Roman" w:hAnsi="Times New Roman"/>
          <w:sz w:val="28"/>
          <w:szCs w:val="28"/>
          <w:lang w:eastAsia="ru-RU"/>
        </w:rPr>
        <w:t xml:space="preserve"> статистически значимо выше соответствующих показателей группы пациентов с монотерапией МТХ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=0,027 и р=0,039 соответственно).  Данные результаты позволяют предположить, что для накопления положительного эффекта продолжительность терапии РТМ должна составлять не менее 36 месяцев.</w:t>
      </w:r>
    </w:p>
    <w:p w:rsidR="001852ED" w:rsidRPr="00F71B34" w:rsidRDefault="001852ED" w:rsidP="0059597F">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При оценке МПК через 48 месяцев лечения в  группе больных, получавших комбинированную терапию РТМ и МТХ, сохранялось статистически значимое увеличение</w:t>
      </w:r>
      <w:r w:rsidR="0059597F">
        <w:rPr>
          <w:rFonts w:ascii="Times New Roman" w:eastAsia="Times New Roman" w:hAnsi="Times New Roman"/>
          <w:sz w:val="28"/>
          <w:szCs w:val="28"/>
          <w:lang w:eastAsia="ru-RU"/>
        </w:rPr>
        <w:t xml:space="preserve"> показателей</w:t>
      </w:r>
      <w:r w:rsidRPr="00F71B34">
        <w:rPr>
          <w:rFonts w:ascii="Times New Roman" w:eastAsia="Times New Roman" w:hAnsi="Times New Roman"/>
          <w:sz w:val="28"/>
          <w:szCs w:val="28"/>
          <w:lang w:eastAsia="ru-RU"/>
        </w:rPr>
        <w:t xml:space="preserve"> МПК и Т-критерия относительно исходных данных: МПК</w:t>
      </w:r>
      <w:r w:rsidRPr="00F71B34">
        <w:rPr>
          <w:rFonts w:ascii="Times New Roman" w:eastAsia="Times New Roman" w:hAnsi="Times New Roman"/>
          <w:sz w:val="28"/>
          <w:szCs w:val="28"/>
          <w:vertAlign w:val="subscript"/>
          <w:lang w:eastAsia="ru-RU"/>
        </w:rPr>
        <w:t>0</w:t>
      </w:r>
      <w:r w:rsidRPr="00F71B34">
        <w:rPr>
          <w:rFonts w:ascii="Times New Roman" w:eastAsia="Times New Roman" w:hAnsi="Times New Roman"/>
          <w:sz w:val="28"/>
          <w:szCs w:val="28"/>
          <w:lang w:eastAsia="ru-RU"/>
        </w:rPr>
        <w:t xml:space="preserve"> </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 0,7641±0,018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МПК</w:t>
      </w:r>
      <w:r w:rsidRPr="00F71B34">
        <w:rPr>
          <w:rFonts w:ascii="Times New Roman" w:eastAsia="Times New Roman" w:hAnsi="Times New Roman"/>
          <w:sz w:val="28"/>
          <w:szCs w:val="28"/>
          <w:vertAlign w:val="subscript"/>
          <w:lang w:eastAsia="ru-RU"/>
        </w:rPr>
        <w:t>4</w:t>
      </w:r>
      <w:r w:rsidRPr="00F71B34">
        <w:rPr>
          <w:rFonts w:ascii="Times New Roman" w:eastAsia="Times New Roman" w:hAnsi="Times New Roman"/>
          <w:sz w:val="28"/>
          <w:szCs w:val="28"/>
          <w:lang w:eastAsia="ru-RU"/>
        </w:rPr>
        <w:t xml:space="preserve"> (через 48 месяцев)</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0,8326±0,022 г/см</w:t>
      </w:r>
      <w:r w:rsidRPr="00F71B34">
        <w:rPr>
          <w:rFonts w:ascii="Times New Roman" w:eastAsia="Times New Roman" w:hAnsi="Times New Roman"/>
          <w:sz w:val="28"/>
          <w:szCs w:val="28"/>
          <w:vertAlign w:val="superscript"/>
          <w:lang w:eastAsia="ru-RU"/>
        </w:rPr>
        <w:t xml:space="preserve">2 </w:t>
      </w:r>
      <w:r w:rsidRPr="00F71B34">
        <w:rPr>
          <w:rFonts w:ascii="Times New Roman" w:eastAsia="Times New Roman" w:hAnsi="Times New Roman"/>
          <w:sz w:val="28"/>
          <w:szCs w:val="28"/>
          <w:lang w:eastAsia="ru-RU"/>
        </w:rPr>
        <w:t>(</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=0,027), Т-критерий</w:t>
      </w:r>
      <w:r w:rsidRPr="00F71B34">
        <w:rPr>
          <w:rFonts w:ascii="Times New Roman" w:eastAsia="Times New Roman" w:hAnsi="Times New Roman"/>
          <w:sz w:val="28"/>
          <w:szCs w:val="28"/>
          <w:vertAlign w:val="subscript"/>
          <w:lang w:eastAsia="ru-RU"/>
        </w:rPr>
        <w:t>0</w:t>
      </w:r>
      <w:r w:rsidRPr="00F71B34">
        <w:rPr>
          <w:rFonts w:ascii="Times New Roman" w:eastAsia="Times New Roman" w:hAnsi="Times New Roman"/>
          <w:sz w:val="28"/>
          <w:szCs w:val="28"/>
          <w:lang w:eastAsia="ru-RU"/>
        </w:rPr>
        <w:t xml:space="preserve"> – -2,07±0,14 SD,</w:t>
      </w:r>
      <w:r w:rsidR="00A27E06">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Т-критерий</w:t>
      </w:r>
      <w:r w:rsidRPr="00F71B34">
        <w:rPr>
          <w:rFonts w:ascii="Times New Roman" w:eastAsia="Times New Roman" w:hAnsi="Times New Roman"/>
          <w:sz w:val="28"/>
          <w:szCs w:val="28"/>
          <w:vertAlign w:val="subscript"/>
          <w:lang w:eastAsia="ru-RU"/>
        </w:rPr>
        <w:t>4</w:t>
      </w:r>
      <w:r w:rsidRPr="00F71B34">
        <w:rPr>
          <w:rFonts w:ascii="Times New Roman" w:eastAsia="Times New Roman" w:hAnsi="Times New Roman"/>
          <w:sz w:val="28"/>
          <w:szCs w:val="28"/>
          <w:lang w:eastAsia="ru-RU"/>
        </w:rPr>
        <w:t xml:space="preserve"> (через 48 месяцев) – </w:t>
      </w:r>
      <w:r w:rsidR="00A27E06">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-1,52±0,17 SD (р=0,037). В отличие от больных с комбинированной терапией РТМ и МТХ, в группе пациентов с монотерапией МТХ отмечалось снижение абсолютных значений денситометрических показателей относительно исходных данных, не достигшее уровня статистической значимости:  МПК</w:t>
      </w:r>
      <w:r w:rsidRPr="00F71B34">
        <w:rPr>
          <w:rFonts w:ascii="Times New Roman" w:eastAsia="Times New Roman" w:hAnsi="Times New Roman"/>
          <w:sz w:val="28"/>
          <w:szCs w:val="28"/>
          <w:vertAlign w:val="subscript"/>
          <w:lang w:eastAsia="ru-RU"/>
        </w:rPr>
        <w:t>0</w:t>
      </w:r>
      <w:r w:rsidR="00CD2EDC" w:rsidRPr="0059597F">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0,7894±0,02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vertAlign w:val="superscript"/>
          <w:lang w:eastAsia="ru-RU"/>
        </w:rPr>
        <w:t xml:space="preserve"> </w:t>
      </w:r>
      <w:r w:rsidRPr="00F71B34">
        <w:rPr>
          <w:rFonts w:ascii="Times New Roman" w:eastAsia="Times New Roman" w:hAnsi="Times New Roman"/>
          <w:sz w:val="28"/>
          <w:szCs w:val="28"/>
          <w:lang w:eastAsia="ru-RU"/>
        </w:rPr>
        <w:t>МПК</w:t>
      </w:r>
      <w:r w:rsidRPr="00F71B34">
        <w:rPr>
          <w:rFonts w:ascii="Times New Roman" w:eastAsia="Times New Roman" w:hAnsi="Times New Roman"/>
          <w:sz w:val="28"/>
          <w:szCs w:val="28"/>
          <w:vertAlign w:val="subscript"/>
          <w:lang w:eastAsia="ru-RU"/>
        </w:rPr>
        <w:t>4</w:t>
      </w:r>
      <w:r w:rsidRPr="00F71B34">
        <w:rPr>
          <w:rFonts w:ascii="Times New Roman" w:eastAsia="Times New Roman" w:hAnsi="Times New Roman"/>
          <w:sz w:val="28"/>
          <w:szCs w:val="28"/>
          <w:lang w:eastAsia="ru-RU"/>
        </w:rPr>
        <w:t xml:space="preserve"> – 0,7411±0,027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=0,15), Т-критерий</w:t>
      </w:r>
      <w:r w:rsidRPr="00F71B34">
        <w:rPr>
          <w:rFonts w:ascii="Times New Roman" w:eastAsia="Times New Roman" w:hAnsi="Times New Roman"/>
          <w:sz w:val="28"/>
          <w:szCs w:val="28"/>
          <w:vertAlign w:val="subscript"/>
          <w:lang w:eastAsia="ru-RU"/>
        </w:rPr>
        <w:t xml:space="preserve">0 </w:t>
      </w:r>
      <w:r w:rsidRPr="00F71B34">
        <w:rPr>
          <w:rFonts w:ascii="Times New Roman" w:eastAsia="Times New Roman" w:hAnsi="Times New Roman"/>
          <w:sz w:val="28"/>
          <w:szCs w:val="28"/>
          <w:lang w:eastAsia="ru-RU"/>
        </w:rPr>
        <w:t>‒ -1,78±0,18 SD,</w:t>
      </w:r>
      <w:r w:rsidR="00A27E06">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Т-критерий</w:t>
      </w:r>
      <w:r w:rsidRPr="00F71B34">
        <w:rPr>
          <w:rFonts w:ascii="Times New Roman" w:eastAsia="Times New Roman" w:hAnsi="Times New Roman"/>
          <w:sz w:val="28"/>
          <w:szCs w:val="28"/>
          <w:vertAlign w:val="subscript"/>
          <w:lang w:eastAsia="ru-RU"/>
        </w:rPr>
        <w:t>4</w:t>
      </w:r>
      <w:r w:rsidRPr="00F71B34">
        <w:rPr>
          <w:rFonts w:ascii="Times New Roman" w:eastAsia="Times New Roman" w:hAnsi="Times New Roman"/>
          <w:sz w:val="28"/>
          <w:szCs w:val="28"/>
          <w:lang w:eastAsia="ru-RU"/>
        </w:rPr>
        <w:t xml:space="preserve"> ‒ -2,28±0,24 SD (р=0,07). </w:t>
      </w: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При сравнительном анализе МПК и Т-критерия двух групп больных РА установлено, что через 48 месяцев терапии  в группе больных, получавших РТМ, изучаемые показатели статистически значимо выше соответствующих </w:t>
      </w:r>
      <w:r w:rsidRPr="00F71B34">
        <w:rPr>
          <w:rFonts w:ascii="Times New Roman" w:eastAsia="Times New Roman" w:hAnsi="Times New Roman"/>
          <w:sz w:val="28"/>
          <w:szCs w:val="28"/>
          <w:lang w:eastAsia="ru-RU"/>
        </w:rPr>
        <w:lastRenderedPageBreak/>
        <w:t>показателей группы пациентов с монотерапией МТХ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=0,022 и р=0,024 соответственно).</w:t>
      </w:r>
    </w:p>
    <w:p w:rsidR="001852ED" w:rsidRPr="00F71B34" w:rsidRDefault="001852ED" w:rsidP="00F71B34">
      <w:pPr>
        <w:spacing w:after="0" w:line="360" w:lineRule="auto"/>
        <w:ind w:firstLine="708"/>
        <w:jc w:val="both"/>
        <w:rPr>
          <w:rFonts w:ascii="Times New Roman" w:eastAsia="Times New Roman" w:hAnsi="Times New Roman"/>
          <w:color w:val="FF0000"/>
          <w:sz w:val="28"/>
          <w:szCs w:val="28"/>
          <w:lang w:eastAsia="ru-RU"/>
        </w:rPr>
      </w:pPr>
    </w:p>
    <w:p w:rsidR="001852ED" w:rsidRDefault="001852ED" w:rsidP="00F71B34">
      <w:pPr>
        <w:numPr>
          <w:ilvl w:val="2"/>
          <w:numId w:val="6"/>
        </w:numPr>
        <w:spacing w:after="0" w:line="36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 xml:space="preserve">Динамика денситометрических показателей поясничного отдела позвоночника у больных </w:t>
      </w:r>
      <w:r w:rsidR="0059597F">
        <w:rPr>
          <w:rFonts w:ascii="Times New Roman" w:eastAsia="Times New Roman" w:hAnsi="Times New Roman"/>
          <w:b/>
          <w:sz w:val="28"/>
          <w:szCs w:val="28"/>
          <w:lang w:eastAsia="ru-RU"/>
        </w:rPr>
        <w:t>ревматоидным артритом</w:t>
      </w:r>
      <w:r w:rsidRPr="00F71B34">
        <w:rPr>
          <w:rFonts w:ascii="Times New Roman" w:eastAsia="Times New Roman" w:hAnsi="Times New Roman"/>
          <w:b/>
          <w:sz w:val="28"/>
          <w:szCs w:val="28"/>
          <w:lang w:eastAsia="ru-RU"/>
        </w:rPr>
        <w:t xml:space="preserve"> </w:t>
      </w:r>
    </w:p>
    <w:p w:rsidR="00A27E06" w:rsidRPr="00F71B34" w:rsidRDefault="00A27E06" w:rsidP="00A27E06">
      <w:pPr>
        <w:spacing w:after="0" w:line="360" w:lineRule="auto"/>
        <w:contextualSpacing/>
        <w:jc w:val="both"/>
        <w:rPr>
          <w:rFonts w:ascii="Times New Roman" w:eastAsia="Times New Roman" w:hAnsi="Times New Roman"/>
          <w:b/>
          <w:sz w:val="28"/>
          <w:szCs w:val="28"/>
          <w:lang w:eastAsia="ru-RU"/>
        </w:rPr>
      </w:pP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Динамика МПК и Т-критерия поясничного отдела позвоночника у больных РА представлена на рис</w:t>
      </w:r>
      <w:r w:rsidR="0059597F">
        <w:rPr>
          <w:rFonts w:ascii="Times New Roman" w:eastAsia="Times New Roman" w:hAnsi="Times New Roman"/>
          <w:sz w:val="28"/>
          <w:szCs w:val="28"/>
          <w:lang w:eastAsia="ru-RU"/>
        </w:rPr>
        <w:t>унках</w:t>
      </w:r>
      <w:r w:rsidRPr="00F71B34">
        <w:rPr>
          <w:rFonts w:ascii="Times New Roman" w:eastAsia="Times New Roman" w:hAnsi="Times New Roman"/>
          <w:sz w:val="28"/>
          <w:szCs w:val="28"/>
          <w:lang w:eastAsia="ru-RU"/>
        </w:rPr>
        <w:t xml:space="preserve"> </w:t>
      </w:r>
      <w:r w:rsidR="0059597F">
        <w:rPr>
          <w:rFonts w:ascii="Times New Roman" w:eastAsia="Times New Roman" w:hAnsi="Times New Roman"/>
          <w:sz w:val="28"/>
          <w:szCs w:val="28"/>
          <w:lang w:eastAsia="ru-RU"/>
        </w:rPr>
        <w:t>7</w:t>
      </w:r>
      <w:r w:rsidRPr="00F71B34">
        <w:rPr>
          <w:rFonts w:ascii="Times New Roman" w:eastAsia="Times New Roman" w:hAnsi="Times New Roman"/>
          <w:sz w:val="28"/>
          <w:szCs w:val="28"/>
          <w:lang w:eastAsia="ru-RU"/>
        </w:rPr>
        <w:t xml:space="preserve"> и </w:t>
      </w:r>
      <w:r w:rsidR="0059597F">
        <w:rPr>
          <w:rFonts w:ascii="Times New Roman" w:eastAsia="Times New Roman" w:hAnsi="Times New Roman"/>
          <w:sz w:val="28"/>
          <w:szCs w:val="28"/>
          <w:lang w:eastAsia="ru-RU"/>
        </w:rPr>
        <w:t>8</w:t>
      </w:r>
      <w:r w:rsidRPr="00F71B34">
        <w:rPr>
          <w:rFonts w:ascii="Times New Roman" w:eastAsia="Times New Roman" w:hAnsi="Times New Roman"/>
          <w:sz w:val="28"/>
          <w:szCs w:val="28"/>
          <w:lang w:eastAsia="ru-RU"/>
        </w:rPr>
        <w:t>.</w:t>
      </w: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Через 12 месяцев терапии статистически значимых различий уровня МПК и Т-критерия в поясничном отделе позвоночника относительно исходных данных как в группе больных с комбинированной терапией РТМ и МТХ, так и в группе пациентов с монотерапией МТХ не получено: в группе 1 МПК</w:t>
      </w:r>
      <w:r w:rsidRPr="00F71B34">
        <w:rPr>
          <w:rFonts w:ascii="Times New Roman" w:eastAsia="Times New Roman" w:hAnsi="Times New Roman"/>
          <w:sz w:val="28"/>
          <w:szCs w:val="28"/>
          <w:vertAlign w:val="subscript"/>
          <w:lang w:eastAsia="ru-RU"/>
        </w:rPr>
        <w:t>0</w:t>
      </w:r>
      <w:r w:rsidRPr="00F71B34">
        <w:rPr>
          <w:rFonts w:ascii="Times New Roman" w:eastAsia="Times New Roman" w:hAnsi="Times New Roman"/>
          <w:sz w:val="28"/>
          <w:szCs w:val="28"/>
          <w:lang w:eastAsia="ru-RU"/>
        </w:rPr>
        <w:t xml:space="preserve"> </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 0,9560±0,03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МПК</w:t>
      </w:r>
      <w:r w:rsidRPr="00F71B34">
        <w:rPr>
          <w:rFonts w:ascii="Times New Roman" w:eastAsia="Times New Roman" w:hAnsi="Times New Roman"/>
          <w:sz w:val="28"/>
          <w:szCs w:val="28"/>
          <w:vertAlign w:val="subscript"/>
          <w:lang w:eastAsia="ru-RU"/>
        </w:rPr>
        <w:t>1</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0,9521±0,03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=0,90), в группе 2 МПК</w:t>
      </w:r>
      <w:r w:rsidRPr="00F71B34">
        <w:rPr>
          <w:rFonts w:ascii="Times New Roman" w:eastAsia="Times New Roman" w:hAnsi="Times New Roman"/>
          <w:sz w:val="28"/>
          <w:szCs w:val="28"/>
          <w:vertAlign w:val="subscript"/>
          <w:lang w:eastAsia="ru-RU"/>
        </w:rPr>
        <w:t>0</w:t>
      </w:r>
      <w:r w:rsidR="00CD2EDC" w:rsidRPr="0059597F">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0,9848±0,02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МПК</w:t>
      </w:r>
      <w:r w:rsidRPr="00F71B34">
        <w:rPr>
          <w:rFonts w:ascii="Times New Roman" w:eastAsia="Times New Roman" w:hAnsi="Times New Roman"/>
          <w:sz w:val="28"/>
          <w:szCs w:val="28"/>
          <w:vertAlign w:val="subscript"/>
          <w:lang w:eastAsia="ru-RU"/>
        </w:rPr>
        <w:t>1</w:t>
      </w:r>
      <w:r w:rsidR="00CD2EDC" w:rsidRPr="0059597F">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0,9867±0,02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=0,81). Аналогичные </w:t>
      </w:r>
      <w:r w:rsidRPr="0059597F">
        <w:rPr>
          <w:rFonts w:ascii="Times New Roman" w:eastAsia="Times New Roman" w:hAnsi="Times New Roman"/>
          <w:sz w:val="28"/>
          <w:szCs w:val="28"/>
          <w:lang w:eastAsia="ru-RU"/>
        </w:rPr>
        <w:t>закономерности зарегистрированы и для Т-критерия:</w:t>
      </w:r>
      <w:r w:rsidRPr="0059597F">
        <w:rPr>
          <w:rFonts w:ascii="Times New Roman" w:hAnsi="Times New Roman"/>
          <w:sz w:val="28"/>
          <w:szCs w:val="28"/>
        </w:rPr>
        <w:t xml:space="preserve"> </w:t>
      </w:r>
      <w:r w:rsidRPr="0059597F">
        <w:rPr>
          <w:rFonts w:ascii="Times New Roman" w:eastAsia="Times New Roman" w:hAnsi="Times New Roman"/>
          <w:sz w:val="28"/>
          <w:szCs w:val="28"/>
          <w:lang w:eastAsia="ru-RU"/>
        </w:rPr>
        <w:t>в группе 1</w:t>
      </w:r>
      <w:r w:rsidR="0059597F">
        <w:rPr>
          <w:rFonts w:ascii="Times New Roman" w:eastAsia="Times New Roman" w:hAnsi="Times New Roman"/>
          <w:sz w:val="28"/>
          <w:szCs w:val="28"/>
          <w:lang w:eastAsia="ru-RU"/>
        </w:rPr>
        <w:br/>
      </w:r>
      <w:r w:rsidRPr="0059597F">
        <w:rPr>
          <w:rFonts w:ascii="Times New Roman" w:eastAsia="Times New Roman" w:hAnsi="Times New Roman"/>
          <w:sz w:val="28"/>
          <w:szCs w:val="28"/>
          <w:lang w:eastAsia="ru-RU"/>
        </w:rPr>
        <w:t>Т-критерий</w:t>
      </w:r>
      <w:r w:rsidRPr="0059597F">
        <w:rPr>
          <w:rFonts w:ascii="Times New Roman" w:eastAsia="Times New Roman" w:hAnsi="Times New Roman"/>
          <w:sz w:val="28"/>
          <w:szCs w:val="28"/>
          <w:vertAlign w:val="subscript"/>
          <w:lang w:eastAsia="ru-RU"/>
        </w:rPr>
        <w:t>0</w:t>
      </w:r>
      <w:r w:rsidRPr="0059597F">
        <w:rPr>
          <w:rFonts w:ascii="Times New Roman" w:eastAsia="Times New Roman" w:hAnsi="Times New Roman"/>
          <w:sz w:val="28"/>
          <w:szCs w:val="28"/>
          <w:lang w:eastAsia="ru-RU"/>
        </w:rPr>
        <w:t xml:space="preserve"> –</w:t>
      </w:r>
      <w:r w:rsidR="0059597F">
        <w:rPr>
          <w:rFonts w:ascii="Times New Roman" w:eastAsia="Times New Roman" w:hAnsi="Times New Roman"/>
          <w:sz w:val="28"/>
          <w:szCs w:val="28"/>
          <w:lang w:eastAsia="ru-RU"/>
        </w:rPr>
        <w:t xml:space="preserve"> </w:t>
      </w:r>
      <w:r w:rsidRPr="0059597F">
        <w:rPr>
          <w:rFonts w:ascii="Times New Roman" w:eastAsia="Times New Roman" w:hAnsi="Times New Roman"/>
          <w:sz w:val="28"/>
          <w:szCs w:val="28"/>
          <w:lang w:eastAsia="ru-RU"/>
        </w:rPr>
        <w:t>-0,84±0,15 SD, Т-критерий</w:t>
      </w:r>
      <w:r w:rsidRPr="0059597F">
        <w:rPr>
          <w:rFonts w:ascii="Times New Roman" w:eastAsia="Times New Roman" w:hAnsi="Times New Roman"/>
          <w:sz w:val="28"/>
          <w:szCs w:val="28"/>
          <w:vertAlign w:val="subscript"/>
          <w:lang w:eastAsia="ru-RU"/>
        </w:rPr>
        <w:t>1</w:t>
      </w:r>
      <w:r w:rsidRPr="0059597F">
        <w:rPr>
          <w:rFonts w:ascii="Times New Roman" w:eastAsia="Times New Roman" w:hAnsi="Times New Roman"/>
          <w:sz w:val="28"/>
          <w:szCs w:val="28"/>
          <w:lang w:eastAsia="ru-RU"/>
        </w:rPr>
        <w:t xml:space="preserve"> – -0,82±0,15 SD (</w:t>
      </w:r>
      <w:proofErr w:type="gramStart"/>
      <w:r w:rsidRPr="0059597F">
        <w:rPr>
          <w:rFonts w:ascii="Times New Roman" w:eastAsia="Times New Roman" w:hAnsi="Times New Roman"/>
          <w:sz w:val="28"/>
          <w:szCs w:val="28"/>
          <w:lang w:eastAsia="ru-RU"/>
        </w:rPr>
        <w:t>р</w:t>
      </w:r>
      <w:proofErr w:type="gramEnd"/>
      <w:r w:rsidRPr="0059597F">
        <w:rPr>
          <w:rFonts w:ascii="Times New Roman" w:eastAsia="Times New Roman" w:hAnsi="Times New Roman"/>
          <w:sz w:val="28"/>
          <w:szCs w:val="28"/>
          <w:lang w:eastAsia="ru-RU"/>
        </w:rPr>
        <w:t>=0,99),</w:t>
      </w:r>
      <w:r w:rsidR="0059597F">
        <w:rPr>
          <w:rFonts w:ascii="Times New Roman" w:eastAsia="Times New Roman" w:hAnsi="Times New Roman"/>
          <w:sz w:val="28"/>
          <w:szCs w:val="28"/>
          <w:lang w:eastAsia="ru-RU"/>
        </w:rPr>
        <w:br/>
      </w:r>
      <w:r w:rsidRPr="0059597F">
        <w:rPr>
          <w:rFonts w:ascii="Times New Roman" w:eastAsia="Times New Roman" w:hAnsi="Times New Roman"/>
          <w:sz w:val="28"/>
          <w:szCs w:val="28"/>
          <w:lang w:eastAsia="ru-RU"/>
        </w:rPr>
        <w:t>в группе</w:t>
      </w:r>
      <w:r w:rsidR="007A2A17" w:rsidRPr="0059597F">
        <w:rPr>
          <w:rFonts w:ascii="Times New Roman" w:eastAsia="Times New Roman" w:hAnsi="Times New Roman"/>
          <w:sz w:val="28"/>
          <w:szCs w:val="28"/>
          <w:lang w:eastAsia="ru-RU"/>
        </w:rPr>
        <w:t xml:space="preserve"> 2</w:t>
      </w:r>
      <w:r w:rsidRPr="0059597F">
        <w:rPr>
          <w:rFonts w:ascii="Times New Roman" w:eastAsia="Times New Roman" w:hAnsi="Times New Roman"/>
          <w:sz w:val="28"/>
          <w:szCs w:val="28"/>
          <w:lang w:eastAsia="ru-RU"/>
        </w:rPr>
        <w:t xml:space="preserve"> Т-критерий</w:t>
      </w:r>
      <w:r w:rsidRPr="0059597F">
        <w:rPr>
          <w:rFonts w:ascii="Times New Roman" w:eastAsia="Times New Roman" w:hAnsi="Times New Roman"/>
          <w:sz w:val="28"/>
          <w:szCs w:val="28"/>
          <w:vertAlign w:val="subscript"/>
          <w:lang w:eastAsia="ru-RU"/>
        </w:rPr>
        <w:t>0</w:t>
      </w:r>
      <w:r w:rsidRPr="0059597F">
        <w:rPr>
          <w:rFonts w:ascii="Times New Roman" w:eastAsia="Times New Roman" w:hAnsi="Times New Roman"/>
          <w:sz w:val="28"/>
          <w:szCs w:val="28"/>
          <w:lang w:eastAsia="ru-RU"/>
        </w:rPr>
        <w:t xml:space="preserve"> – -0,45±0,20</w:t>
      </w:r>
      <w:r w:rsidRPr="00F71B34">
        <w:rPr>
          <w:rFonts w:ascii="Times New Roman" w:eastAsia="Times New Roman" w:hAnsi="Times New Roman"/>
          <w:sz w:val="28"/>
          <w:szCs w:val="28"/>
          <w:lang w:eastAsia="ru-RU"/>
        </w:rPr>
        <w:t xml:space="preserve"> SD, Т-критерий</w:t>
      </w:r>
      <w:r w:rsidRPr="00F71B34">
        <w:rPr>
          <w:rFonts w:ascii="Times New Roman" w:eastAsia="Times New Roman" w:hAnsi="Times New Roman"/>
          <w:sz w:val="28"/>
          <w:szCs w:val="28"/>
          <w:vertAlign w:val="subscript"/>
          <w:lang w:eastAsia="ru-RU"/>
        </w:rPr>
        <w:t>1</w:t>
      </w:r>
      <w:r w:rsidRPr="00F71B34">
        <w:rPr>
          <w:rFonts w:ascii="Times New Roman" w:eastAsia="Times New Roman" w:hAnsi="Times New Roman"/>
          <w:sz w:val="28"/>
          <w:szCs w:val="28"/>
          <w:lang w:eastAsia="ru-RU"/>
        </w:rPr>
        <w:t xml:space="preserve"> – -0,38±0,19 SD (р=0,73).  При сравнительном анализе статистически значимых различий  в уровне МПК и Т-критерия между  исследуемыми группами больных не отмечено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=0,12 и р=0,13).  </w:t>
      </w: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Через 24 месяца лечения показатели МПК и Т-критерия поясничного отдела позвоночника статистически значимо не изменились, как в группе больных с комбинированной терапией РТМ и МТХ, так и с монотерапией МТХ.</w:t>
      </w:r>
      <w:r w:rsidRPr="00F71B34">
        <w:rPr>
          <w:rFonts w:ascii="Times New Roman" w:eastAsia="Times New Roman" w:hAnsi="Times New Roman"/>
          <w:color w:val="FF0000"/>
          <w:sz w:val="28"/>
          <w:szCs w:val="28"/>
          <w:lang w:eastAsia="ru-RU"/>
        </w:rPr>
        <w:t xml:space="preserve"> </w:t>
      </w:r>
      <w:r w:rsidRPr="00F71B34">
        <w:rPr>
          <w:rFonts w:ascii="Times New Roman" w:eastAsia="Times New Roman" w:hAnsi="Times New Roman"/>
          <w:sz w:val="28"/>
          <w:szCs w:val="28"/>
          <w:lang w:eastAsia="ru-RU"/>
        </w:rPr>
        <w:t>При сравнительном анализе денситометрических показателей двух групп больных РА через 24 месяца наблюдения установлено, что статистически значимых различий между исследуемыми группами не получено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=0,18 и р=0,16).</w:t>
      </w: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p>
    <w:p w:rsidR="001852ED" w:rsidRPr="00F71B34" w:rsidRDefault="001A28E5" w:rsidP="00F71B34">
      <w:pPr>
        <w:spacing w:after="0" w:line="360" w:lineRule="auto"/>
        <w:jc w:val="both"/>
        <w:rPr>
          <w:rFonts w:ascii="Times New Roman" w:eastAsia="Times New Roman" w:hAnsi="Times New Roman"/>
          <w:b/>
          <w:sz w:val="28"/>
          <w:szCs w:val="28"/>
          <w:lang w:eastAsia="ru-RU"/>
        </w:rPr>
      </w:pPr>
      <w:r>
        <w:rPr>
          <w:noProof/>
          <w:lang w:eastAsia="ru-RU"/>
        </w:rPr>
        <w:lastRenderedPageBreak/>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6282000" cy="2937547"/>
            <wp:effectExtent l="0" t="0" r="5080" b="0"/>
            <wp:wrapSquare wrapText="bothSides"/>
            <wp:docPr id="21"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852ED" w:rsidRPr="00F71B34">
        <w:rPr>
          <w:rFonts w:ascii="Times New Roman" w:eastAsia="Times New Roman" w:hAnsi="Times New Roman"/>
          <w:i/>
          <w:sz w:val="28"/>
          <w:szCs w:val="28"/>
          <w:lang w:eastAsia="ru-RU"/>
        </w:rPr>
        <w:t xml:space="preserve">* p&lt;0,05 по сравнению с исходными показателями.  </w:t>
      </w:r>
    </w:p>
    <w:p w:rsidR="001852ED" w:rsidRPr="00F71B34" w:rsidRDefault="001852ED" w:rsidP="00F71B34">
      <w:pPr>
        <w:spacing w:after="0" w:line="360" w:lineRule="auto"/>
        <w:jc w:val="both"/>
        <w:rPr>
          <w:rFonts w:ascii="Times New Roman" w:eastAsia="Times New Roman" w:hAnsi="Times New Roman"/>
          <w:b/>
          <w:sz w:val="28"/>
          <w:szCs w:val="28"/>
          <w:lang w:eastAsia="ru-RU"/>
        </w:rPr>
      </w:pPr>
    </w:p>
    <w:p w:rsidR="001852ED" w:rsidRPr="00F71B34" w:rsidRDefault="001852ED" w:rsidP="00F71B34">
      <w:pPr>
        <w:spacing w:after="0" w:line="360" w:lineRule="auto"/>
        <w:jc w:val="both"/>
        <w:rPr>
          <w:rFonts w:ascii="Times New Roman" w:eastAsia="Times New Roman" w:hAnsi="Times New Roman"/>
          <w:sz w:val="28"/>
          <w:szCs w:val="28"/>
          <w:lang w:eastAsia="ru-RU"/>
        </w:rPr>
      </w:pPr>
      <w:r w:rsidRPr="0059597F">
        <w:rPr>
          <w:rFonts w:ascii="Times New Roman" w:eastAsia="Times New Roman" w:hAnsi="Times New Roman"/>
          <w:spacing w:val="40"/>
          <w:sz w:val="28"/>
          <w:szCs w:val="28"/>
          <w:lang w:eastAsia="ru-RU"/>
        </w:rPr>
        <w:t>Рисунок</w:t>
      </w:r>
      <w:r w:rsidRPr="00F71B34">
        <w:rPr>
          <w:rFonts w:ascii="Times New Roman" w:eastAsia="Times New Roman" w:hAnsi="Times New Roman"/>
          <w:sz w:val="28"/>
          <w:szCs w:val="28"/>
          <w:lang w:eastAsia="ru-RU"/>
        </w:rPr>
        <w:t xml:space="preserve"> </w:t>
      </w:r>
      <w:r w:rsidR="0059597F">
        <w:rPr>
          <w:rFonts w:ascii="Times New Roman" w:eastAsia="Times New Roman" w:hAnsi="Times New Roman"/>
          <w:sz w:val="28"/>
          <w:szCs w:val="28"/>
          <w:lang w:eastAsia="ru-RU"/>
        </w:rPr>
        <w:t>7</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Динамика МПК поясничного отдела позвоночника на фоне терапии у больных РА</w:t>
      </w:r>
    </w:p>
    <w:p w:rsidR="001852ED" w:rsidRPr="00F71B34" w:rsidRDefault="001852ED" w:rsidP="00F71B34">
      <w:pPr>
        <w:spacing w:after="0" w:line="360" w:lineRule="auto"/>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                                                                                                                  </w:t>
      </w:r>
      <w:r w:rsidRPr="00F71B34">
        <w:rPr>
          <w:rFonts w:ascii="Times New Roman" w:eastAsia="Times New Roman" w:hAnsi="Times New Roman"/>
          <w:i/>
          <w:sz w:val="28"/>
          <w:szCs w:val="28"/>
          <w:lang w:eastAsia="ru-RU"/>
        </w:rPr>
        <w:t xml:space="preserve"> </w:t>
      </w:r>
    </w:p>
    <w:p w:rsidR="001852ED" w:rsidRPr="00F71B34" w:rsidRDefault="001A28E5" w:rsidP="0059597F">
      <w:pPr>
        <w:spacing w:after="0" w:line="360" w:lineRule="auto"/>
        <w:jc w:val="both"/>
        <w:rPr>
          <w:rFonts w:ascii="Times New Roman" w:eastAsia="Times New Roman" w:hAnsi="Times New Roman"/>
          <w:sz w:val="28"/>
          <w:szCs w:val="28"/>
          <w:lang w:eastAsia="ru-RU"/>
        </w:rPr>
      </w:pPr>
      <w:r>
        <w:rPr>
          <w:rFonts w:ascii="Times New Roman" w:hAnsi="Times New Roman"/>
          <w:noProof/>
          <w:sz w:val="28"/>
          <w:szCs w:val="28"/>
          <w:lang w:eastAsia="ru-RU"/>
        </w:rPr>
        <w:drawing>
          <wp:inline distT="0" distB="0" distL="0" distR="0" wp14:anchorId="64603C79" wp14:editId="5AFCD342">
            <wp:extent cx="6291943" cy="2906486"/>
            <wp:effectExtent l="0" t="0" r="0" b="8255"/>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852ED" w:rsidRPr="00F71B34">
        <w:rPr>
          <w:rFonts w:ascii="Times New Roman" w:eastAsia="Times New Roman" w:hAnsi="Times New Roman"/>
          <w:i/>
          <w:sz w:val="28"/>
          <w:szCs w:val="28"/>
          <w:lang w:eastAsia="ru-RU"/>
        </w:rPr>
        <w:t>* p&lt;0,05 по сравнению с исходными показателями.</w:t>
      </w:r>
    </w:p>
    <w:p w:rsidR="001852ED" w:rsidRPr="00F71B34" w:rsidRDefault="001852ED" w:rsidP="00F71B34">
      <w:pPr>
        <w:spacing w:after="0" w:line="360" w:lineRule="auto"/>
        <w:jc w:val="both"/>
        <w:rPr>
          <w:rFonts w:ascii="Times New Roman" w:eastAsia="Times New Roman" w:hAnsi="Times New Roman"/>
          <w:b/>
          <w:sz w:val="28"/>
          <w:szCs w:val="28"/>
          <w:lang w:eastAsia="ru-RU"/>
        </w:rPr>
      </w:pPr>
    </w:p>
    <w:p w:rsidR="001852ED" w:rsidRPr="00F71B34" w:rsidRDefault="0059597F" w:rsidP="00F71B34">
      <w:pPr>
        <w:spacing w:after="0" w:line="360" w:lineRule="auto"/>
        <w:jc w:val="both"/>
        <w:rPr>
          <w:rFonts w:ascii="Times New Roman" w:eastAsia="Times New Roman" w:hAnsi="Times New Roman"/>
          <w:sz w:val="28"/>
          <w:szCs w:val="28"/>
          <w:lang w:eastAsia="ru-RU"/>
        </w:rPr>
      </w:pPr>
      <w:r w:rsidRPr="0059597F">
        <w:rPr>
          <w:rFonts w:ascii="Times New Roman" w:eastAsia="Times New Roman" w:hAnsi="Times New Roman"/>
          <w:spacing w:val="40"/>
          <w:sz w:val="28"/>
          <w:szCs w:val="28"/>
          <w:lang w:eastAsia="ru-RU"/>
        </w:rPr>
        <w:t>Рисунок</w:t>
      </w:r>
      <w:r w:rsidR="001852ED" w:rsidRPr="00F71B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r w:rsidR="00CD2EDC">
        <w:rPr>
          <w:rFonts w:ascii="Times New Roman" w:eastAsia="Times New Roman" w:hAnsi="Times New Roman"/>
          <w:sz w:val="28"/>
          <w:szCs w:val="28"/>
          <w:lang w:eastAsia="ru-RU"/>
        </w:rPr>
        <w:t xml:space="preserve"> – </w:t>
      </w:r>
      <w:r w:rsidR="001852ED" w:rsidRPr="00F71B34">
        <w:rPr>
          <w:rFonts w:ascii="Times New Roman" w:eastAsia="Times New Roman" w:hAnsi="Times New Roman"/>
          <w:sz w:val="28"/>
          <w:szCs w:val="28"/>
          <w:lang w:eastAsia="ru-RU"/>
        </w:rPr>
        <w:t>Динамика Т-критерия поясничного отдела позвоночника</w:t>
      </w:r>
      <w:r w:rsidR="00404230">
        <w:rPr>
          <w:rFonts w:ascii="Times New Roman" w:eastAsia="Times New Roman" w:hAnsi="Times New Roman"/>
          <w:sz w:val="28"/>
          <w:szCs w:val="28"/>
          <w:lang w:eastAsia="ru-RU"/>
        </w:rPr>
        <w:br/>
      </w:r>
      <w:r w:rsidR="001852ED" w:rsidRPr="00F71B34">
        <w:rPr>
          <w:rFonts w:ascii="Times New Roman" w:eastAsia="Times New Roman" w:hAnsi="Times New Roman"/>
          <w:sz w:val="28"/>
          <w:szCs w:val="28"/>
          <w:lang w:eastAsia="ru-RU"/>
        </w:rPr>
        <w:t>у больных РА на фоне терапии</w:t>
      </w:r>
    </w:p>
    <w:p w:rsidR="005B5F87" w:rsidRPr="00F71B34" w:rsidRDefault="005B5F87" w:rsidP="00F71B34">
      <w:pPr>
        <w:spacing w:after="0" w:line="360" w:lineRule="auto"/>
        <w:jc w:val="both"/>
        <w:rPr>
          <w:rFonts w:ascii="Times New Roman" w:eastAsia="Times New Roman" w:hAnsi="Times New Roman"/>
          <w:sz w:val="28"/>
          <w:szCs w:val="28"/>
          <w:lang w:eastAsia="ru-RU"/>
        </w:rPr>
      </w:pPr>
    </w:p>
    <w:p w:rsidR="001852ED" w:rsidRPr="00F71B34" w:rsidRDefault="001852ED"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lastRenderedPageBreak/>
        <w:t>Аналогичные соотношения получены и через 36 месяцев лечения. В группе больных с ком</w:t>
      </w:r>
      <w:r w:rsidR="00106316" w:rsidRPr="00F71B34">
        <w:rPr>
          <w:rFonts w:ascii="Times New Roman" w:eastAsia="Times New Roman" w:hAnsi="Times New Roman"/>
          <w:sz w:val="28"/>
          <w:szCs w:val="28"/>
          <w:lang w:eastAsia="ru-RU"/>
        </w:rPr>
        <w:t>бинированной терапией РТМ и МТХ</w:t>
      </w:r>
      <w:r w:rsidRPr="00F71B34">
        <w:rPr>
          <w:rFonts w:ascii="Times New Roman" w:eastAsia="Times New Roman" w:hAnsi="Times New Roman"/>
          <w:sz w:val="28"/>
          <w:szCs w:val="28"/>
          <w:lang w:eastAsia="ru-RU"/>
        </w:rPr>
        <w:t xml:space="preserve"> изучаемые показатели статистически значимо не изменились. В гру</w:t>
      </w:r>
      <w:r w:rsidR="00106316" w:rsidRPr="00F71B34">
        <w:rPr>
          <w:rFonts w:ascii="Times New Roman" w:eastAsia="Times New Roman" w:hAnsi="Times New Roman"/>
          <w:sz w:val="28"/>
          <w:szCs w:val="28"/>
          <w:lang w:eastAsia="ru-RU"/>
        </w:rPr>
        <w:t>ппе больных с  монотерапией МТХ</w:t>
      </w:r>
      <w:r w:rsidRPr="00F71B34">
        <w:rPr>
          <w:rFonts w:ascii="Times New Roman" w:eastAsia="Times New Roman" w:hAnsi="Times New Roman"/>
          <w:sz w:val="28"/>
          <w:szCs w:val="28"/>
          <w:lang w:eastAsia="ru-RU"/>
        </w:rPr>
        <w:t xml:space="preserve"> определялась тенденция к снижению показателей МПК и Т-критерия, не </w:t>
      </w:r>
      <w:proofErr w:type="gramStart"/>
      <w:r w:rsidRPr="00F71B34">
        <w:rPr>
          <w:rFonts w:ascii="Times New Roman" w:eastAsia="Times New Roman" w:hAnsi="Times New Roman"/>
          <w:sz w:val="28"/>
          <w:szCs w:val="28"/>
          <w:lang w:eastAsia="ru-RU"/>
        </w:rPr>
        <w:t>достигшее</w:t>
      </w:r>
      <w:proofErr w:type="gramEnd"/>
      <w:r w:rsidRPr="00F71B34">
        <w:rPr>
          <w:rFonts w:ascii="Times New Roman" w:eastAsia="Times New Roman" w:hAnsi="Times New Roman"/>
          <w:sz w:val="28"/>
          <w:szCs w:val="28"/>
          <w:lang w:eastAsia="ru-RU"/>
        </w:rPr>
        <w:t>, однако, статистической значимости: МПК</w:t>
      </w:r>
      <w:r w:rsidRPr="00F71B34">
        <w:rPr>
          <w:rFonts w:ascii="Times New Roman" w:eastAsia="Times New Roman" w:hAnsi="Times New Roman"/>
          <w:sz w:val="28"/>
          <w:szCs w:val="28"/>
          <w:vertAlign w:val="subscript"/>
          <w:lang w:eastAsia="ru-RU"/>
        </w:rPr>
        <w:t>0</w:t>
      </w:r>
      <w:r w:rsidR="00CD2EDC" w:rsidRPr="0059597F">
        <w:rPr>
          <w:rFonts w:ascii="Times New Roman" w:eastAsia="Times New Roman" w:hAnsi="Times New Roman"/>
          <w:sz w:val="28"/>
          <w:szCs w:val="28"/>
          <w:lang w:eastAsia="ru-RU"/>
        </w:rPr>
        <w:t xml:space="preserve"> –</w:t>
      </w:r>
      <w:r w:rsidR="00CD2EDC">
        <w:rPr>
          <w:rFonts w:ascii="Times New Roman" w:eastAsia="Times New Roman" w:hAnsi="Times New Roman"/>
          <w:sz w:val="28"/>
          <w:szCs w:val="28"/>
          <w:vertAlign w:val="subscript"/>
          <w:lang w:eastAsia="ru-RU"/>
        </w:rPr>
        <w:t xml:space="preserve"> </w:t>
      </w:r>
      <w:r w:rsidRPr="00F71B34">
        <w:rPr>
          <w:rFonts w:ascii="Times New Roman" w:eastAsia="Times New Roman" w:hAnsi="Times New Roman"/>
          <w:sz w:val="28"/>
          <w:szCs w:val="28"/>
          <w:lang w:eastAsia="ru-RU"/>
        </w:rPr>
        <w:t>0,9848±0,02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r w:rsidR="00A27E06">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w:t>
      </w:r>
      <w:r w:rsidRPr="00F71B34">
        <w:rPr>
          <w:rFonts w:ascii="Times New Roman" w:eastAsia="Times New Roman" w:hAnsi="Times New Roman"/>
          <w:sz w:val="28"/>
          <w:szCs w:val="28"/>
          <w:vertAlign w:val="subscript"/>
          <w:lang w:eastAsia="ru-RU"/>
        </w:rPr>
        <w:t>3</w:t>
      </w:r>
      <w:r w:rsidR="00CD2EDC" w:rsidRPr="0059597F">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0,9776±0,03 г/см</w:t>
      </w:r>
      <w:r w:rsidRPr="0059597F">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=0,61), Т-критерий</w:t>
      </w:r>
      <w:r w:rsidRPr="00F71B34">
        <w:rPr>
          <w:rFonts w:ascii="Times New Roman" w:eastAsia="Times New Roman" w:hAnsi="Times New Roman"/>
          <w:sz w:val="28"/>
          <w:szCs w:val="28"/>
          <w:vertAlign w:val="subscript"/>
          <w:lang w:eastAsia="ru-RU"/>
        </w:rPr>
        <w:t xml:space="preserve">0 </w:t>
      </w:r>
      <w:r w:rsidR="00CD2EDC">
        <w:rPr>
          <w:rFonts w:ascii="Times New Roman" w:eastAsia="Times New Roman" w:hAnsi="Times New Roman"/>
          <w:sz w:val="28"/>
          <w:szCs w:val="28"/>
          <w:lang w:eastAsia="ru-RU"/>
        </w:rPr>
        <w:t>–</w:t>
      </w:r>
      <w:r w:rsidR="0059597F">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-0,45±0,20 SD, Т-критерий</w:t>
      </w:r>
      <w:r w:rsidRPr="00F71B34">
        <w:rPr>
          <w:rFonts w:ascii="Times New Roman" w:eastAsia="Times New Roman" w:hAnsi="Times New Roman"/>
          <w:sz w:val="28"/>
          <w:szCs w:val="28"/>
          <w:vertAlign w:val="subscript"/>
          <w:lang w:eastAsia="ru-RU"/>
        </w:rPr>
        <w:t>3</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-0,49±0,22 SD (р=0,60).</w:t>
      </w:r>
      <w:r w:rsidRPr="00F71B34">
        <w:rPr>
          <w:rFonts w:ascii="Times New Roman" w:hAnsi="Times New Roman"/>
          <w:sz w:val="28"/>
          <w:szCs w:val="28"/>
        </w:rPr>
        <w:t xml:space="preserve">  </w:t>
      </w:r>
      <w:r w:rsidRPr="00F71B34">
        <w:rPr>
          <w:rFonts w:ascii="Times New Roman" w:eastAsia="Times New Roman" w:hAnsi="Times New Roman"/>
          <w:sz w:val="28"/>
          <w:szCs w:val="28"/>
          <w:lang w:eastAsia="ru-RU"/>
        </w:rPr>
        <w:t>При сравнительном анализе статистически значимых различий показателей МПК и Т-критерия между исследуемыми группами больных не получено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=0,30 и р=0,32).  </w:t>
      </w:r>
    </w:p>
    <w:p w:rsidR="00B20BA4" w:rsidRPr="00F71B34" w:rsidRDefault="00B20BA4" w:rsidP="00F71B34">
      <w:pPr>
        <w:spacing w:after="0" w:line="360" w:lineRule="auto"/>
        <w:ind w:firstLine="708"/>
        <w:jc w:val="both"/>
        <w:rPr>
          <w:rFonts w:ascii="Times New Roman" w:eastAsia="Times New Roman" w:hAnsi="Times New Roman"/>
          <w:color w:val="FF0000"/>
          <w:sz w:val="28"/>
          <w:szCs w:val="28"/>
          <w:lang w:eastAsia="ru-RU"/>
        </w:rPr>
      </w:pPr>
      <w:r w:rsidRPr="00F71B34">
        <w:rPr>
          <w:rFonts w:ascii="Times New Roman" w:eastAsia="Times New Roman" w:hAnsi="Times New Roman"/>
          <w:sz w:val="28"/>
          <w:szCs w:val="28"/>
          <w:lang w:eastAsia="ru-RU"/>
        </w:rPr>
        <w:t>Через 48 месяцев наблюдения отмечено статистически значимое снижение показателей МПК и Т-критерия поясничного отдела позвоночника в  группе больных с монотерапией МТХ относительно исходных показателей: МПК</w:t>
      </w:r>
      <w:r w:rsidRPr="00F71B34">
        <w:rPr>
          <w:rFonts w:ascii="Times New Roman" w:eastAsia="Times New Roman" w:hAnsi="Times New Roman"/>
          <w:sz w:val="28"/>
          <w:szCs w:val="28"/>
          <w:vertAlign w:val="subscript"/>
          <w:lang w:eastAsia="ru-RU"/>
        </w:rPr>
        <w:t>0</w:t>
      </w:r>
      <w:r w:rsidRPr="00F71B34">
        <w:rPr>
          <w:rFonts w:ascii="Times New Roman" w:eastAsia="Times New Roman" w:hAnsi="Times New Roman"/>
          <w:sz w:val="28"/>
          <w:szCs w:val="28"/>
          <w:lang w:eastAsia="ru-RU"/>
        </w:rPr>
        <w:t xml:space="preserve"> </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 0,9848±0,02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МПК</w:t>
      </w:r>
      <w:r w:rsidRPr="00F71B34">
        <w:rPr>
          <w:rFonts w:ascii="Times New Roman" w:eastAsia="Times New Roman" w:hAnsi="Times New Roman"/>
          <w:sz w:val="28"/>
          <w:szCs w:val="28"/>
          <w:vertAlign w:val="subscript"/>
          <w:lang w:eastAsia="ru-RU"/>
        </w:rPr>
        <w:t>4</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0,8966±0,02 г/см</w:t>
      </w:r>
      <w:r w:rsidRPr="00F71B34">
        <w:rPr>
          <w:rFonts w:ascii="Times New Roman" w:eastAsia="Times New Roman" w:hAnsi="Times New Roman"/>
          <w:sz w:val="28"/>
          <w:szCs w:val="28"/>
          <w:vertAlign w:val="superscript"/>
          <w:lang w:eastAsia="ru-RU"/>
        </w:rPr>
        <w:t>2</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=0,028), Т-критерий</w:t>
      </w:r>
      <w:r w:rsidRPr="00F71B34">
        <w:rPr>
          <w:rFonts w:ascii="Times New Roman" w:eastAsia="Times New Roman" w:hAnsi="Times New Roman"/>
          <w:sz w:val="28"/>
          <w:szCs w:val="28"/>
          <w:vertAlign w:val="subscript"/>
          <w:lang w:eastAsia="ru-RU"/>
        </w:rPr>
        <w:t>0</w:t>
      </w:r>
      <w:r w:rsidRPr="00F71B34">
        <w:rPr>
          <w:rFonts w:ascii="Times New Roman" w:eastAsia="Times New Roman" w:hAnsi="Times New Roman"/>
          <w:sz w:val="28"/>
          <w:szCs w:val="28"/>
          <w:lang w:eastAsia="ru-RU"/>
        </w:rPr>
        <w:t xml:space="preserve"> ‒ -0,45±0,20 SD, Т-критерий</w:t>
      </w:r>
      <w:r w:rsidRPr="00F71B34">
        <w:rPr>
          <w:rFonts w:ascii="Times New Roman" w:eastAsia="Times New Roman" w:hAnsi="Times New Roman"/>
          <w:sz w:val="28"/>
          <w:szCs w:val="28"/>
          <w:vertAlign w:val="subscript"/>
          <w:lang w:eastAsia="ru-RU"/>
        </w:rPr>
        <w:t xml:space="preserve">4 </w:t>
      </w:r>
      <w:r w:rsidR="00A27E06">
        <w:rPr>
          <w:rFonts w:ascii="Times New Roman" w:eastAsia="Times New Roman" w:hAnsi="Times New Roman"/>
          <w:sz w:val="28"/>
          <w:szCs w:val="28"/>
          <w:lang w:eastAsia="ru-RU"/>
        </w:rPr>
        <w:t xml:space="preserve">− -1,01±0,18 SD  (р=0,045). </w:t>
      </w:r>
      <w:r w:rsidRPr="00F71B34">
        <w:rPr>
          <w:rFonts w:ascii="Times New Roman" w:eastAsia="Times New Roman" w:hAnsi="Times New Roman"/>
          <w:sz w:val="28"/>
          <w:szCs w:val="28"/>
          <w:lang w:eastAsia="ru-RU"/>
        </w:rPr>
        <w:t>В группе больных с  ком</w:t>
      </w:r>
      <w:r w:rsidR="00106316" w:rsidRPr="00F71B34">
        <w:rPr>
          <w:rFonts w:ascii="Times New Roman" w:eastAsia="Times New Roman" w:hAnsi="Times New Roman"/>
          <w:sz w:val="28"/>
          <w:szCs w:val="28"/>
          <w:lang w:eastAsia="ru-RU"/>
        </w:rPr>
        <w:t>бинированной терапией РТМ и МТХ</w:t>
      </w:r>
      <w:r w:rsidRPr="00F71B34">
        <w:rPr>
          <w:rFonts w:ascii="Times New Roman" w:eastAsia="Times New Roman" w:hAnsi="Times New Roman"/>
          <w:sz w:val="28"/>
          <w:szCs w:val="28"/>
          <w:lang w:eastAsia="ru-RU"/>
        </w:rPr>
        <w:t xml:space="preserve"> вышеуказанные показатели оставались стабильными на протяжении всего периода наблюдения. Через 48 месяцев терапии </w:t>
      </w:r>
      <w:r w:rsidR="0059597F">
        <w:rPr>
          <w:rFonts w:ascii="Times New Roman" w:eastAsia="Times New Roman" w:hAnsi="Times New Roman"/>
          <w:sz w:val="28"/>
          <w:szCs w:val="28"/>
          <w:lang w:eastAsia="ru-RU"/>
        </w:rPr>
        <w:t xml:space="preserve">показатели </w:t>
      </w:r>
      <w:r w:rsidRPr="00F71B34">
        <w:rPr>
          <w:rFonts w:ascii="Times New Roman" w:eastAsia="Times New Roman" w:hAnsi="Times New Roman"/>
          <w:sz w:val="28"/>
          <w:szCs w:val="28"/>
          <w:lang w:eastAsia="ru-RU"/>
        </w:rPr>
        <w:t>МПК и Т-критерий группы 1 и группы 2 статистически значимо не различались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=0,64 и р=0,91 соответственно).  </w:t>
      </w:r>
      <w:r w:rsidRPr="00F71B34">
        <w:rPr>
          <w:rFonts w:ascii="Times New Roman" w:eastAsia="Times New Roman" w:hAnsi="Times New Roman"/>
          <w:color w:val="FF0000"/>
          <w:sz w:val="28"/>
          <w:szCs w:val="28"/>
          <w:lang w:eastAsia="ru-RU"/>
        </w:rPr>
        <w:t xml:space="preserve"> </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При анализе динамики МПК шейки бедра за 48 месяцев наблюдения установлено, что Δ</w:t>
      </w:r>
      <w:r w:rsidR="0059597F">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группы 1 была статистически значимо выше данного показателя группы 2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=0,000006). В поясничном отделе позвоночника Δ</w:t>
      </w:r>
      <w:r w:rsidR="0059597F">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группы 1 и группы 2 был</w:t>
      </w:r>
      <w:r w:rsidR="0059597F">
        <w:rPr>
          <w:rFonts w:ascii="Times New Roman" w:eastAsia="Times New Roman" w:hAnsi="Times New Roman"/>
          <w:sz w:val="28"/>
          <w:szCs w:val="28"/>
          <w:lang w:eastAsia="ru-RU"/>
        </w:rPr>
        <w:t>а</w:t>
      </w:r>
      <w:r w:rsidRPr="00F71B34">
        <w:rPr>
          <w:rFonts w:ascii="Times New Roman" w:eastAsia="Times New Roman" w:hAnsi="Times New Roman"/>
          <w:sz w:val="28"/>
          <w:szCs w:val="28"/>
          <w:lang w:eastAsia="ru-RU"/>
        </w:rPr>
        <w:t xml:space="preserve"> сопоставим</w:t>
      </w:r>
      <w:r w:rsidR="0059597F">
        <w:rPr>
          <w:rFonts w:ascii="Times New Roman" w:eastAsia="Times New Roman" w:hAnsi="Times New Roman"/>
          <w:sz w:val="28"/>
          <w:szCs w:val="28"/>
          <w:lang w:eastAsia="ru-RU"/>
        </w:rPr>
        <w:t>а</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=0,179).</w:t>
      </w:r>
    </w:p>
    <w:p w:rsidR="00B20BA4" w:rsidRPr="002C3A1C" w:rsidRDefault="00B20BA4" w:rsidP="00F71B34">
      <w:pPr>
        <w:spacing w:after="0" w:line="360" w:lineRule="auto"/>
        <w:ind w:firstLine="708"/>
        <w:jc w:val="both"/>
        <w:rPr>
          <w:rFonts w:ascii="Times New Roman" w:eastAsia="Times New Roman" w:hAnsi="Times New Roman"/>
          <w:color w:val="FF0000"/>
          <w:szCs w:val="28"/>
          <w:lang w:eastAsia="ru-RU"/>
        </w:rPr>
      </w:pPr>
    </w:p>
    <w:p w:rsidR="00B20BA4" w:rsidRDefault="00B20BA4" w:rsidP="00F71B34">
      <w:pPr>
        <w:spacing w:after="0" w:line="360" w:lineRule="auto"/>
        <w:ind w:firstLine="708"/>
        <w:jc w:val="both"/>
        <w:rPr>
          <w:rFonts w:ascii="Times New Roman" w:eastAsia="Times New Roman" w:hAnsi="Times New Roman"/>
          <w:sz w:val="28"/>
          <w:szCs w:val="28"/>
          <w:lang w:eastAsia="ru-RU"/>
        </w:rPr>
      </w:pPr>
      <w:r w:rsidRPr="0059597F">
        <w:rPr>
          <w:rFonts w:ascii="Times New Roman" w:eastAsia="Times New Roman" w:hAnsi="Times New Roman"/>
          <w:spacing w:val="40"/>
          <w:sz w:val="28"/>
          <w:szCs w:val="28"/>
          <w:lang w:eastAsia="ru-RU"/>
        </w:rPr>
        <w:t>Таблица</w:t>
      </w:r>
      <w:r w:rsidRPr="00F71B34">
        <w:rPr>
          <w:rFonts w:ascii="Times New Roman" w:eastAsia="Times New Roman" w:hAnsi="Times New Roman"/>
          <w:sz w:val="28"/>
          <w:szCs w:val="28"/>
          <w:lang w:eastAsia="ru-RU"/>
        </w:rPr>
        <w:t xml:space="preserve"> 7</w:t>
      </w:r>
      <w:r w:rsidR="00CD2EDC">
        <w:rPr>
          <w:rFonts w:ascii="Times New Roman" w:eastAsia="Times New Roman" w:hAnsi="Times New Roman"/>
          <w:sz w:val="28"/>
          <w:szCs w:val="28"/>
          <w:lang w:eastAsia="ru-RU"/>
        </w:rPr>
        <w:t xml:space="preserve"> – </w:t>
      </w:r>
      <w:r w:rsidR="00410C15" w:rsidRPr="00F71B34">
        <w:rPr>
          <w:rFonts w:ascii="Times New Roman" w:eastAsia="Times New Roman" w:hAnsi="Times New Roman"/>
          <w:sz w:val="28"/>
          <w:szCs w:val="28"/>
          <w:lang w:eastAsia="ru-RU"/>
        </w:rPr>
        <w:t>Δ</w:t>
      </w:r>
      <w:r w:rsidR="00410C15">
        <w:rPr>
          <w:rFonts w:ascii="Times New Roman" w:eastAsia="Times New Roman" w:hAnsi="Times New Roman"/>
          <w:sz w:val="28"/>
          <w:szCs w:val="28"/>
          <w:lang w:eastAsia="ru-RU"/>
        </w:rPr>
        <w:t xml:space="preserve"> </w:t>
      </w:r>
      <w:r w:rsidR="00410C15" w:rsidRPr="00F71B34">
        <w:rPr>
          <w:rFonts w:ascii="Times New Roman" w:eastAsia="Times New Roman" w:hAnsi="Times New Roman"/>
          <w:sz w:val="28"/>
          <w:szCs w:val="28"/>
          <w:lang w:eastAsia="ru-RU"/>
        </w:rPr>
        <w:t xml:space="preserve">МПК </w:t>
      </w:r>
      <w:r w:rsidRPr="00F71B34">
        <w:rPr>
          <w:rFonts w:ascii="Times New Roman" w:eastAsia="Times New Roman" w:hAnsi="Times New Roman"/>
          <w:sz w:val="28"/>
          <w:szCs w:val="28"/>
          <w:lang w:eastAsia="ru-RU"/>
        </w:rPr>
        <w:t>шейки бедра и поясничного отдела позвоночника у больных РА за 48 месяцев наблюдения в зависимости</w:t>
      </w:r>
      <w:r w:rsidR="0059597F">
        <w:rPr>
          <w:rFonts w:ascii="Times New Roman" w:eastAsia="Times New Roman" w:hAnsi="Times New Roman"/>
          <w:sz w:val="28"/>
          <w:szCs w:val="28"/>
          <w:lang w:eastAsia="ru-RU"/>
        </w:rPr>
        <w:t xml:space="preserve"> от</w:t>
      </w:r>
      <w:r w:rsidRPr="00F71B34">
        <w:rPr>
          <w:rFonts w:ascii="Times New Roman" w:eastAsia="Times New Roman" w:hAnsi="Times New Roman"/>
          <w:sz w:val="28"/>
          <w:szCs w:val="28"/>
          <w:lang w:eastAsia="ru-RU"/>
        </w:rPr>
        <w:t xml:space="preserve"> варианта терапии (М±m)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895"/>
        <w:gridCol w:w="4466"/>
      </w:tblGrid>
      <w:tr w:rsidR="0059597F" w:rsidRPr="00DC52BB" w:rsidTr="000361F4">
        <w:tc>
          <w:tcPr>
            <w:tcW w:w="1369" w:type="pct"/>
            <w:vMerge w:val="restart"/>
            <w:tcBorders>
              <w:top w:val="single" w:sz="4" w:space="0" w:color="auto"/>
              <w:left w:val="single" w:sz="4" w:space="0" w:color="auto"/>
              <w:right w:val="single" w:sz="4" w:space="0" w:color="auto"/>
            </w:tcBorders>
            <w:vAlign w:val="center"/>
          </w:tcPr>
          <w:p w:rsidR="0059597F" w:rsidRPr="00DC52BB" w:rsidRDefault="0059597F" w:rsidP="0059597F">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Групп</w:t>
            </w:r>
            <w:r>
              <w:rPr>
                <w:rFonts w:ascii="Times New Roman" w:hAnsi="Times New Roman"/>
                <w:sz w:val="24"/>
                <w:szCs w:val="24"/>
                <w:lang w:eastAsia="ru-RU"/>
              </w:rPr>
              <w:t>а</w:t>
            </w:r>
            <w:r w:rsidRPr="00DC52BB">
              <w:rPr>
                <w:rFonts w:ascii="Times New Roman" w:hAnsi="Times New Roman"/>
                <w:sz w:val="24"/>
                <w:szCs w:val="24"/>
                <w:lang w:eastAsia="ru-RU"/>
              </w:rPr>
              <w:t xml:space="preserve"> больных</w:t>
            </w:r>
          </w:p>
        </w:tc>
        <w:tc>
          <w:tcPr>
            <w:tcW w:w="3631" w:type="pct"/>
            <w:gridSpan w:val="2"/>
            <w:tcBorders>
              <w:top w:val="single" w:sz="4" w:space="0" w:color="auto"/>
              <w:left w:val="single" w:sz="4" w:space="0" w:color="auto"/>
              <w:bottom w:val="single" w:sz="4" w:space="0" w:color="auto"/>
              <w:right w:val="single" w:sz="4" w:space="0" w:color="auto"/>
            </w:tcBorders>
            <w:vAlign w:val="center"/>
          </w:tcPr>
          <w:p w:rsidR="0059597F" w:rsidRPr="00DC52BB" w:rsidRDefault="0059597F" w:rsidP="0059597F">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 xml:space="preserve">Δ МПК </w:t>
            </w:r>
          </w:p>
        </w:tc>
      </w:tr>
      <w:tr w:rsidR="0059597F" w:rsidRPr="00DC52BB" w:rsidTr="00410C15">
        <w:tc>
          <w:tcPr>
            <w:tcW w:w="1369" w:type="pct"/>
            <w:vMerge/>
            <w:tcBorders>
              <w:left w:val="single" w:sz="4" w:space="0" w:color="auto"/>
              <w:bottom w:val="single" w:sz="4" w:space="0" w:color="auto"/>
              <w:right w:val="single" w:sz="4" w:space="0" w:color="auto"/>
            </w:tcBorders>
            <w:vAlign w:val="center"/>
          </w:tcPr>
          <w:p w:rsidR="0059597F" w:rsidRPr="00DC52BB" w:rsidRDefault="0059597F" w:rsidP="0059597F">
            <w:pPr>
              <w:spacing w:after="0" w:line="360" w:lineRule="auto"/>
              <w:ind w:right="-82"/>
              <w:jc w:val="center"/>
              <w:rPr>
                <w:rFonts w:ascii="Times New Roman" w:hAnsi="Times New Roman"/>
                <w:sz w:val="24"/>
                <w:szCs w:val="24"/>
                <w:lang w:eastAsia="ru-RU"/>
              </w:rPr>
            </w:pPr>
          </w:p>
        </w:tc>
        <w:tc>
          <w:tcPr>
            <w:tcW w:w="1428" w:type="pct"/>
            <w:tcBorders>
              <w:top w:val="single" w:sz="4" w:space="0" w:color="auto"/>
              <w:left w:val="single" w:sz="4" w:space="0" w:color="auto"/>
              <w:bottom w:val="single" w:sz="4" w:space="0" w:color="auto"/>
              <w:right w:val="single" w:sz="4" w:space="0" w:color="auto"/>
            </w:tcBorders>
            <w:vAlign w:val="center"/>
          </w:tcPr>
          <w:p w:rsidR="0059597F" w:rsidRPr="00410C15" w:rsidRDefault="0059597F" w:rsidP="0059597F">
            <w:pPr>
              <w:spacing w:after="0" w:line="360" w:lineRule="auto"/>
              <w:ind w:right="-82"/>
              <w:jc w:val="center"/>
              <w:rPr>
                <w:rFonts w:ascii="Times New Roman" w:hAnsi="Times New Roman"/>
                <w:sz w:val="24"/>
                <w:szCs w:val="24"/>
                <w:lang w:val="en-US" w:eastAsia="ru-RU"/>
              </w:rPr>
            </w:pPr>
            <w:r w:rsidRPr="00DC52BB">
              <w:rPr>
                <w:rFonts w:ascii="Times New Roman" w:hAnsi="Times New Roman"/>
                <w:sz w:val="24"/>
                <w:szCs w:val="24"/>
                <w:lang w:eastAsia="ru-RU"/>
              </w:rPr>
              <w:t>шейки бедра</w:t>
            </w:r>
            <w:proofErr w:type="gramStart"/>
            <w:r w:rsidR="00410C15">
              <w:rPr>
                <w:rFonts w:ascii="Times New Roman" w:hAnsi="Times New Roman"/>
                <w:sz w:val="24"/>
                <w:szCs w:val="24"/>
                <w:lang w:val="en-US" w:eastAsia="ru-RU"/>
              </w:rPr>
              <w:t xml:space="preserve"> (%)</w:t>
            </w:r>
            <w:proofErr w:type="gramEnd"/>
          </w:p>
        </w:tc>
        <w:tc>
          <w:tcPr>
            <w:tcW w:w="2203" w:type="pct"/>
            <w:tcBorders>
              <w:top w:val="single" w:sz="4" w:space="0" w:color="auto"/>
              <w:left w:val="single" w:sz="4" w:space="0" w:color="auto"/>
              <w:bottom w:val="single" w:sz="4" w:space="0" w:color="auto"/>
              <w:right w:val="single" w:sz="4" w:space="0" w:color="auto"/>
            </w:tcBorders>
            <w:vAlign w:val="center"/>
          </w:tcPr>
          <w:p w:rsidR="0059597F" w:rsidRPr="00410C15" w:rsidRDefault="0059597F" w:rsidP="0059597F">
            <w:pPr>
              <w:spacing w:after="0" w:line="360" w:lineRule="auto"/>
              <w:ind w:right="-82"/>
              <w:jc w:val="center"/>
              <w:rPr>
                <w:rFonts w:ascii="Times New Roman" w:hAnsi="Times New Roman"/>
                <w:sz w:val="24"/>
                <w:szCs w:val="24"/>
                <w:lang w:val="en-US" w:eastAsia="ru-RU"/>
              </w:rPr>
            </w:pPr>
            <w:r w:rsidRPr="00DC52BB">
              <w:rPr>
                <w:rFonts w:ascii="Times New Roman" w:hAnsi="Times New Roman"/>
                <w:sz w:val="24"/>
                <w:szCs w:val="24"/>
                <w:lang w:eastAsia="ru-RU"/>
              </w:rPr>
              <w:t>поясничного отдела позвоночника</w:t>
            </w:r>
            <w:proofErr w:type="gramStart"/>
            <w:r w:rsidR="00410C15">
              <w:rPr>
                <w:rFonts w:ascii="Times New Roman" w:hAnsi="Times New Roman"/>
                <w:sz w:val="24"/>
                <w:szCs w:val="24"/>
                <w:lang w:val="en-US" w:eastAsia="ru-RU"/>
              </w:rPr>
              <w:t xml:space="preserve"> (%)</w:t>
            </w:r>
            <w:proofErr w:type="gramEnd"/>
          </w:p>
        </w:tc>
      </w:tr>
      <w:tr w:rsidR="00410C15" w:rsidRPr="00DC52BB" w:rsidTr="00410C15">
        <w:tc>
          <w:tcPr>
            <w:tcW w:w="1369" w:type="pct"/>
            <w:tcBorders>
              <w:top w:val="single" w:sz="4" w:space="0" w:color="auto"/>
              <w:left w:val="single" w:sz="4" w:space="0" w:color="auto"/>
              <w:bottom w:val="single" w:sz="4" w:space="0" w:color="auto"/>
              <w:right w:val="single" w:sz="4" w:space="0" w:color="auto"/>
            </w:tcBorders>
            <w:vAlign w:val="center"/>
          </w:tcPr>
          <w:p w:rsidR="00410C15" w:rsidRPr="00DC52BB" w:rsidRDefault="00410C15" w:rsidP="0059597F">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1</w:t>
            </w:r>
          </w:p>
        </w:tc>
        <w:tc>
          <w:tcPr>
            <w:tcW w:w="1428" w:type="pct"/>
            <w:tcBorders>
              <w:top w:val="single" w:sz="4" w:space="0" w:color="auto"/>
              <w:left w:val="single" w:sz="4" w:space="0" w:color="auto"/>
              <w:bottom w:val="single" w:sz="4" w:space="0" w:color="auto"/>
              <w:right w:val="single" w:sz="4" w:space="0" w:color="auto"/>
            </w:tcBorders>
          </w:tcPr>
          <w:p w:rsidR="00410C15" w:rsidRPr="00410C15" w:rsidRDefault="00410C15" w:rsidP="00410C15">
            <w:pPr>
              <w:spacing w:after="0" w:line="360" w:lineRule="auto"/>
              <w:ind w:right="-82"/>
              <w:jc w:val="center"/>
              <w:rPr>
                <w:rFonts w:ascii="Times New Roman" w:hAnsi="Times New Roman"/>
                <w:sz w:val="24"/>
                <w:szCs w:val="24"/>
                <w:lang w:eastAsia="ru-RU"/>
              </w:rPr>
            </w:pPr>
            <w:r w:rsidRPr="00410C15">
              <w:rPr>
                <w:rFonts w:ascii="Times New Roman" w:hAnsi="Times New Roman"/>
                <w:sz w:val="24"/>
                <w:szCs w:val="24"/>
                <w:lang w:eastAsia="ru-RU"/>
              </w:rPr>
              <w:t>18,60±3,15</w:t>
            </w:r>
          </w:p>
        </w:tc>
        <w:tc>
          <w:tcPr>
            <w:tcW w:w="2203" w:type="pct"/>
            <w:tcBorders>
              <w:top w:val="single" w:sz="4" w:space="0" w:color="auto"/>
              <w:left w:val="single" w:sz="4" w:space="0" w:color="auto"/>
              <w:bottom w:val="single" w:sz="4" w:space="0" w:color="auto"/>
              <w:right w:val="single" w:sz="4" w:space="0" w:color="auto"/>
            </w:tcBorders>
          </w:tcPr>
          <w:p w:rsidR="00410C15" w:rsidRPr="00410C15" w:rsidRDefault="00410C15" w:rsidP="00410C15">
            <w:pPr>
              <w:spacing w:after="0" w:line="360" w:lineRule="auto"/>
              <w:ind w:right="-82"/>
              <w:jc w:val="center"/>
              <w:rPr>
                <w:rFonts w:ascii="Times New Roman" w:hAnsi="Times New Roman"/>
                <w:sz w:val="24"/>
                <w:szCs w:val="24"/>
                <w:lang w:eastAsia="ru-RU"/>
              </w:rPr>
            </w:pPr>
            <w:r w:rsidRPr="00410C15">
              <w:rPr>
                <w:rFonts w:ascii="Times New Roman" w:hAnsi="Times New Roman"/>
                <w:sz w:val="24"/>
                <w:szCs w:val="24"/>
                <w:lang w:eastAsia="ru-RU"/>
              </w:rPr>
              <w:t>3,36±1,09</w:t>
            </w:r>
          </w:p>
        </w:tc>
      </w:tr>
      <w:tr w:rsidR="00410C15" w:rsidRPr="00DC52BB" w:rsidTr="00410C15">
        <w:tc>
          <w:tcPr>
            <w:tcW w:w="1369" w:type="pct"/>
            <w:tcBorders>
              <w:top w:val="single" w:sz="4" w:space="0" w:color="auto"/>
              <w:left w:val="single" w:sz="4" w:space="0" w:color="auto"/>
              <w:bottom w:val="single" w:sz="4" w:space="0" w:color="auto"/>
              <w:right w:val="single" w:sz="4" w:space="0" w:color="auto"/>
            </w:tcBorders>
            <w:vAlign w:val="center"/>
          </w:tcPr>
          <w:p w:rsidR="00410C15" w:rsidRPr="00DC52BB" w:rsidRDefault="00410C15" w:rsidP="0059597F">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2</w:t>
            </w:r>
          </w:p>
        </w:tc>
        <w:tc>
          <w:tcPr>
            <w:tcW w:w="1428" w:type="pct"/>
            <w:tcBorders>
              <w:top w:val="single" w:sz="4" w:space="0" w:color="auto"/>
              <w:left w:val="single" w:sz="4" w:space="0" w:color="auto"/>
              <w:bottom w:val="single" w:sz="4" w:space="0" w:color="auto"/>
              <w:right w:val="single" w:sz="4" w:space="0" w:color="auto"/>
            </w:tcBorders>
          </w:tcPr>
          <w:p w:rsidR="00410C15" w:rsidRPr="00410C15" w:rsidRDefault="00410C15" w:rsidP="00410C15">
            <w:pPr>
              <w:spacing w:after="0" w:line="360" w:lineRule="auto"/>
              <w:ind w:right="-82"/>
              <w:jc w:val="center"/>
              <w:rPr>
                <w:rFonts w:ascii="Times New Roman" w:hAnsi="Times New Roman"/>
                <w:sz w:val="24"/>
                <w:szCs w:val="24"/>
                <w:lang w:eastAsia="ru-RU"/>
              </w:rPr>
            </w:pPr>
            <w:r w:rsidRPr="00410C15">
              <w:rPr>
                <w:rFonts w:ascii="Times New Roman" w:hAnsi="Times New Roman"/>
                <w:sz w:val="24"/>
                <w:szCs w:val="24"/>
                <w:lang w:eastAsia="ru-RU"/>
              </w:rPr>
              <w:t xml:space="preserve"> 5,29±0,94</w:t>
            </w:r>
          </w:p>
        </w:tc>
        <w:tc>
          <w:tcPr>
            <w:tcW w:w="2203" w:type="pct"/>
            <w:tcBorders>
              <w:top w:val="single" w:sz="4" w:space="0" w:color="auto"/>
              <w:left w:val="single" w:sz="4" w:space="0" w:color="auto"/>
              <w:bottom w:val="single" w:sz="4" w:space="0" w:color="auto"/>
              <w:right w:val="single" w:sz="4" w:space="0" w:color="auto"/>
            </w:tcBorders>
          </w:tcPr>
          <w:p w:rsidR="00410C15" w:rsidRPr="00410C15" w:rsidRDefault="00410C15" w:rsidP="00410C15">
            <w:pPr>
              <w:spacing w:after="0" w:line="360" w:lineRule="auto"/>
              <w:ind w:right="-82"/>
              <w:jc w:val="center"/>
              <w:rPr>
                <w:rFonts w:ascii="Times New Roman" w:hAnsi="Times New Roman"/>
                <w:sz w:val="24"/>
                <w:szCs w:val="24"/>
                <w:lang w:eastAsia="ru-RU"/>
              </w:rPr>
            </w:pPr>
            <w:r w:rsidRPr="00410C15">
              <w:rPr>
                <w:rFonts w:ascii="Times New Roman" w:hAnsi="Times New Roman"/>
                <w:sz w:val="24"/>
                <w:szCs w:val="24"/>
                <w:lang w:eastAsia="ru-RU"/>
              </w:rPr>
              <w:t>7,19±2,11</w:t>
            </w:r>
          </w:p>
        </w:tc>
      </w:tr>
      <w:tr w:rsidR="00410C15" w:rsidRPr="00DC52BB" w:rsidTr="00410C15">
        <w:tc>
          <w:tcPr>
            <w:tcW w:w="1369" w:type="pct"/>
            <w:tcBorders>
              <w:top w:val="single" w:sz="4" w:space="0" w:color="auto"/>
              <w:left w:val="single" w:sz="4" w:space="0" w:color="auto"/>
              <w:bottom w:val="single" w:sz="4" w:space="0" w:color="auto"/>
              <w:right w:val="single" w:sz="4" w:space="0" w:color="auto"/>
            </w:tcBorders>
            <w:vAlign w:val="center"/>
          </w:tcPr>
          <w:p w:rsidR="00410C15" w:rsidRPr="00DC52BB" w:rsidRDefault="00410C15" w:rsidP="0059597F">
            <w:pPr>
              <w:spacing w:after="0" w:line="360" w:lineRule="auto"/>
              <w:ind w:right="-82"/>
              <w:jc w:val="center"/>
              <w:rPr>
                <w:rFonts w:ascii="Times New Roman" w:hAnsi="Times New Roman"/>
                <w:sz w:val="24"/>
                <w:szCs w:val="24"/>
                <w:lang w:eastAsia="ru-RU"/>
              </w:rPr>
            </w:pPr>
            <w:proofErr w:type="gramStart"/>
            <w:r w:rsidRPr="00DC52BB">
              <w:rPr>
                <w:rFonts w:ascii="Times New Roman" w:hAnsi="Times New Roman"/>
                <w:sz w:val="24"/>
                <w:szCs w:val="24"/>
                <w:lang w:eastAsia="ru-RU"/>
              </w:rPr>
              <w:t>р</w:t>
            </w:r>
            <w:proofErr w:type="gramEnd"/>
            <w:r w:rsidRPr="00DC52BB">
              <w:rPr>
                <w:rFonts w:ascii="Times New Roman" w:hAnsi="Times New Roman"/>
                <w:sz w:val="24"/>
                <w:szCs w:val="24"/>
                <w:lang w:eastAsia="ru-RU"/>
              </w:rPr>
              <w:t xml:space="preserve"> (гр.</w:t>
            </w:r>
            <w:r>
              <w:rPr>
                <w:rFonts w:ascii="Times New Roman" w:hAnsi="Times New Roman"/>
                <w:sz w:val="24"/>
                <w:szCs w:val="24"/>
                <w:lang w:eastAsia="ru-RU"/>
              </w:rPr>
              <w:t xml:space="preserve"> </w:t>
            </w:r>
            <w:r w:rsidRPr="00DC52BB">
              <w:rPr>
                <w:rFonts w:ascii="Times New Roman" w:hAnsi="Times New Roman"/>
                <w:sz w:val="24"/>
                <w:szCs w:val="24"/>
                <w:lang w:eastAsia="ru-RU"/>
              </w:rPr>
              <w:t>1 vs гр.</w:t>
            </w:r>
            <w:r>
              <w:rPr>
                <w:rFonts w:ascii="Times New Roman" w:hAnsi="Times New Roman"/>
                <w:sz w:val="24"/>
                <w:szCs w:val="24"/>
                <w:lang w:eastAsia="ru-RU"/>
              </w:rPr>
              <w:t xml:space="preserve"> </w:t>
            </w:r>
            <w:r w:rsidRPr="00DC52BB">
              <w:rPr>
                <w:rFonts w:ascii="Times New Roman" w:hAnsi="Times New Roman"/>
                <w:sz w:val="24"/>
                <w:szCs w:val="24"/>
                <w:lang w:eastAsia="ru-RU"/>
              </w:rPr>
              <w:t>2)</w:t>
            </w:r>
          </w:p>
        </w:tc>
        <w:tc>
          <w:tcPr>
            <w:tcW w:w="1428" w:type="pct"/>
            <w:tcBorders>
              <w:top w:val="single" w:sz="4" w:space="0" w:color="auto"/>
              <w:left w:val="single" w:sz="4" w:space="0" w:color="auto"/>
              <w:bottom w:val="single" w:sz="4" w:space="0" w:color="auto"/>
              <w:right w:val="single" w:sz="4" w:space="0" w:color="auto"/>
            </w:tcBorders>
          </w:tcPr>
          <w:p w:rsidR="00410C15" w:rsidRPr="00410C15" w:rsidRDefault="00410C15" w:rsidP="00410C15">
            <w:pPr>
              <w:spacing w:after="0" w:line="360" w:lineRule="auto"/>
              <w:ind w:right="-82"/>
              <w:jc w:val="center"/>
              <w:rPr>
                <w:rFonts w:ascii="Times New Roman" w:hAnsi="Times New Roman"/>
                <w:sz w:val="24"/>
                <w:szCs w:val="24"/>
                <w:lang w:eastAsia="ru-RU"/>
              </w:rPr>
            </w:pPr>
            <w:r w:rsidRPr="00410C15">
              <w:rPr>
                <w:rFonts w:ascii="Times New Roman" w:hAnsi="Times New Roman"/>
                <w:sz w:val="24"/>
                <w:szCs w:val="24"/>
                <w:lang w:eastAsia="ru-RU"/>
              </w:rPr>
              <w:t>0,00035</w:t>
            </w:r>
          </w:p>
        </w:tc>
        <w:tc>
          <w:tcPr>
            <w:tcW w:w="2203" w:type="pct"/>
            <w:tcBorders>
              <w:top w:val="single" w:sz="4" w:space="0" w:color="auto"/>
              <w:left w:val="single" w:sz="4" w:space="0" w:color="auto"/>
              <w:bottom w:val="single" w:sz="4" w:space="0" w:color="auto"/>
              <w:right w:val="single" w:sz="4" w:space="0" w:color="auto"/>
            </w:tcBorders>
          </w:tcPr>
          <w:p w:rsidR="00410C15" w:rsidRPr="00410C15" w:rsidRDefault="00410C15" w:rsidP="00410C15">
            <w:pPr>
              <w:spacing w:after="0" w:line="360" w:lineRule="auto"/>
              <w:ind w:right="-82"/>
              <w:jc w:val="center"/>
              <w:rPr>
                <w:rFonts w:ascii="Times New Roman" w:hAnsi="Times New Roman"/>
                <w:sz w:val="24"/>
                <w:szCs w:val="24"/>
                <w:lang w:eastAsia="ru-RU"/>
              </w:rPr>
            </w:pPr>
            <w:r w:rsidRPr="00410C15">
              <w:rPr>
                <w:rFonts w:ascii="Times New Roman" w:hAnsi="Times New Roman"/>
                <w:sz w:val="24"/>
                <w:szCs w:val="24"/>
                <w:lang w:eastAsia="ru-RU"/>
              </w:rPr>
              <w:t>0,057</w:t>
            </w:r>
          </w:p>
        </w:tc>
      </w:tr>
    </w:tbl>
    <w:p w:rsidR="00B20BA4" w:rsidRPr="00F71B34" w:rsidRDefault="00B20BA4" w:rsidP="00A27E06">
      <w:pPr>
        <w:spacing w:after="0" w:line="360" w:lineRule="auto"/>
        <w:ind w:firstLine="709"/>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lastRenderedPageBreak/>
        <w:t>Таким образом, у пациентов с  комбинированной терапией РТМ и МТХ положительная динамика МПК и Т-критерия шейки бедра относительно исходных данных наблюдалась через 36 месяцев лечения. В интервале 36–</w:t>
      </w:r>
      <w:r w:rsidR="0059597F">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48 месяцев денситометрические показатели оставались стабильными. В поясничном отделе позвоночника у больных с монотерапией МТХ зарегистрировано снижение МПК и Т-критерия, в то время как в группе больных, получавших комбинированную терапию РТМ и МТХ, изменений плотностных значений костной ткани не наблюдалось.</w:t>
      </w:r>
    </w:p>
    <w:p w:rsidR="00C87652" w:rsidRPr="00F71B34" w:rsidRDefault="00C87652" w:rsidP="00F71B34">
      <w:pPr>
        <w:spacing w:after="0" w:line="360" w:lineRule="auto"/>
        <w:ind w:firstLine="709"/>
        <w:jc w:val="both"/>
        <w:rPr>
          <w:rFonts w:ascii="Times New Roman" w:eastAsia="Times New Roman" w:hAnsi="Times New Roman"/>
          <w:sz w:val="28"/>
          <w:szCs w:val="28"/>
          <w:lang w:eastAsia="ru-RU"/>
        </w:rPr>
      </w:pPr>
    </w:p>
    <w:p w:rsidR="00B20BA4" w:rsidRDefault="00B20BA4" w:rsidP="00F71B34">
      <w:pPr>
        <w:numPr>
          <w:ilvl w:val="1"/>
          <w:numId w:val="6"/>
        </w:numPr>
        <w:spacing w:after="0" w:line="36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 xml:space="preserve">Динамика денситометрических показателей у больных </w:t>
      </w:r>
      <w:r w:rsidR="0059597F">
        <w:rPr>
          <w:rFonts w:ascii="Times New Roman" w:eastAsia="Times New Roman" w:hAnsi="Times New Roman"/>
          <w:b/>
          <w:sz w:val="28"/>
          <w:szCs w:val="28"/>
          <w:lang w:eastAsia="ru-RU"/>
        </w:rPr>
        <w:t>ревматоидным артритом</w:t>
      </w:r>
      <w:r w:rsidRPr="00F71B34">
        <w:rPr>
          <w:rFonts w:ascii="Times New Roman" w:eastAsia="Times New Roman" w:hAnsi="Times New Roman"/>
          <w:b/>
          <w:sz w:val="28"/>
          <w:szCs w:val="28"/>
          <w:lang w:eastAsia="ru-RU"/>
        </w:rPr>
        <w:t xml:space="preserve"> при различных клинических формах</w:t>
      </w:r>
    </w:p>
    <w:p w:rsidR="00A27E06" w:rsidRPr="00F71B34" w:rsidRDefault="00A27E06" w:rsidP="00A27E06">
      <w:pPr>
        <w:spacing w:after="0" w:line="360" w:lineRule="auto"/>
        <w:contextualSpacing/>
        <w:jc w:val="both"/>
        <w:rPr>
          <w:rFonts w:ascii="Times New Roman" w:eastAsia="Times New Roman" w:hAnsi="Times New Roman"/>
          <w:b/>
          <w:sz w:val="28"/>
          <w:szCs w:val="28"/>
          <w:lang w:eastAsia="ru-RU"/>
        </w:rPr>
      </w:pPr>
    </w:p>
    <w:p w:rsidR="002A4224" w:rsidRPr="00F71B34" w:rsidRDefault="0059597F" w:rsidP="0059597F">
      <w:pPr>
        <w:spacing w:after="0" w:line="360" w:lineRule="auto"/>
        <w:ind w:left="342"/>
        <w:jc w:val="both"/>
        <w:rPr>
          <w:rFonts w:ascii="Times New Roman" w:eastAsia="Times New Roman" w:hAnsi="Times New Roman"/>
          <w:sz w:val="28"/>
          <w:szCs w:val="28"/>
          <w:lang w:eastAsia="ru-RU"/>
        </w:rPr>
      </w:pPr>
      <w:r>
        <w:rPr>
          <w:color w:val="000000"/>
          <w:sz w:val="28"/>
          <w:szCs w:val="28"/>
        </w:rPr>
        <w:t xml:space="preserve">▪ </w:t>
      </w:r>
      <w:r w:rsidR="002A4224" w:rsidRPr="002C3A1C">
        <w:rPr>
          <w:rFonts w:ascii="Times New Roman" w:eastAsia="Times New Roman" w:hAnsi="Times New Roman"/>
          <w:sz w:val="28"/>
          <w:szCs w:val="28"/>
          <w:lang w:eastAsia="ru-RU"/>
        </w:rPr>
        <w:t>Динамика денситометрических показателей в зависимости от длительности заболевания</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proofErr w:type="gramStart"/>
      <w:r w:rsidRPr="00F71B34">
        <w:rPr>
          <w:rFonts w:ascii="Times New Roman" w:eastAsia="Times New Roman" w:hAnsi="Times New Roman"/>
          <w:sz w:val="28"/>
          <w:szCs w:val="28"/>
          <w:lang w:eastAsia="ru-RU"/>
        </w:rPr>
        <w:t xml:space="preserve">Для изучения </w:t>
      </w:r>
      <w:r w:rsidR="002A4224">
        <w:rPr>
          <w:rFonts w:ascii="Times New Roman" w:eastAsia="Times New Roman" w:hAnsi="Times New Roman"/>
          <w:sz w:val="28"/>
          <w:szCs w:val="28"/>
          <w:lang w:eastAsia="ru-RU"/>
        </w:rPr>
        <w:t>динамики денситометрических показателей в зависимости от давн</w:t>
      </w:r>
      <w:r w:rsidRPr="00F71B34">
        <w:rPr>
          <w:rFonts w:ascii="Times New Roman" w:eastAsia="Times New Roman" w:hAnsi="Times New Roman"/>
          <w:sz w:val="28"/>
          <w:szCs w:val="28"/>
          <w:lang w:eastAsia="ru-RU"/>
        </w:rPr>
        <w:t>ост</w:t>
      </w:r>
      <w:r w:rsidR="002A4224">
        <w:rPr>
          <w:rFonts w:ascii="Times New Roman" w:eastAsia="Times New Roman" w:hAnsi="Times New Roman"/>
          <w:sz w:val="28"/>
          <w:szCs w:val="28"/>
          <w:lang w:eastAsia="ru-RU"/>
        </w:rPr>
        <w:t>и</w:t>
      </w:r>
      <w:r w:rsidRPr="00F71B34">
        <w:rPr>
          <w:rFonts w:ascii="Times New Roman" w:eastAsia="Times New Roman" w:hAnsi="Times New Roman"/>
          <w:sz w:val="28"/>
          <w:szCs w:val="28"/>
          <w:lang w:eastAsia="ru-RU"/>
        </w:rPr>
        <w:t xml:space="preserve"> РА больные в каждой из групп</w:t>
      </w:r>
      <w:proofErr w:type="gramEnd"/>
      <w:r w:rsidRPr="00F71B34">
        <w:rPr>
          <w:rFonts w:ascii="Times New Roman" w:eastAsia="Times New Roman" w:hAnsi="Times New Roman"/>
          <w:sz w:val="28"/>
          <w:szCs w:val="28"/>
          <w:lang w:eastAsia="ru-RU"/>
        </w:rPr>
        <w:t xml:space="preserve"> были разделены на две подгруппы: А – с давностью заболевания &lt;10 лет, В – ≥10 лет.  Больные распределились по группам следующим образом: А</w:t>
      </w:r>
      <w:proofErr w:type="gramStart"/>
      <w:r w:rsidRPr="00F71B34">
        <w:rPr>
          <w:rFonts w:ascii="Times New Roman" w:eastAsia="Times New Roman" w:hAnsi="Times New Roman"/>
          <w:sz w:val="28"/>
          <w:szCs w:val="28"/>
          <w:vertAlign w:val="subscript"/>
          <w:lang w:eastAsia="ru-RU"/>
        </w:rPr>
        <w:t>1</w:t>
      </w:r>
      <w:proofErr w:type="gramEnd"/>
      <w:r w:rsidRPr="00F71B34">
        <w:rPr>
          <w:rFonts w:ascii="Times New Roman" w:eastAsia="Times New Roman" w:hAnsi="Times New Roman"/>
          <w:sz w:val="28"/>
          <w:szCs w:val="28"/>
          <w:lang w:eastAsia="ru-RU"/>
        </w:rPr>
        <w:t xml:space="preserve"> – пациенты </w:t>
      </w:r>
      <w:r w:rsidR="00106316" w:rsidRPr="00F71B34">
        <w:rPr>
          <w:rFonts w:ascii="Times New Roman" w:eastAsia="Times New Roman" w:hAnsi="Times New Roman"/>
          <w:sz w:val="28"/>
          <w:szCs w:val="28"/>
          <w:lang w:eastAsia="ru-RU"/>
        </w:rPr>
        <w:t xml:space="preserve">группы 1 </w:t>
      </w:r>
      <w:r w:rsidRPr="00F71B34">
        <w:rPr>
          <w:rFonts w:ascii="Times New Roman" w:eastAsia="Times New Roman" w:hAnsi="Times New Roman"/>
          <w:sz w:val="28"/>
          <w:szCs w:val="28"/>
          <w:lang w:eastAsia="ru-RU"/>
        </w:rPr>
        <w:t>с давностью заболевания &lt;10 лет (n=12),  В</w:t>
      </w:r>
      <w:r w:rsidRPr="00F71B34">
        <w:rPr>
          <w:rFonts w:ascii="Times New Roman" w:eastAsia="Times New Roman" w:hAnsi="Times New Roman"/>
          <w:sz w:val="28"/>
          <w:szCs w:val="28"/>
          <w:vertAlign w:val="subscript"/>
          <w:lang w:eastAsia="ru-RU"/>
        </w:rPr>
        <w:t>1</w:t>
      </w:r>
      <w:r w:rsidRPr="00F71B34">
        <w:rPr>
          <w:rFonts w:ascii="Times New Roman" w:eastAsia="Times New Roman" w:hAnsi="Times New Roman"/>
          <w:sz w:val="28"/>
          <w:szCs w:val="28"/>
          <w:lang w:eastAsia="ru-RU"/>
        </w:rPr>
        <w:t xml:space="preserve"> – </w:t>
      </w:r>
      <w:r w:rsidR="00106316" w:rsidRPr="00F71B34">
        <w:rPr>
          <w:rFonts w:ascii="Times New Roman" w:eastAsia="Times New Roman" w:hAnsi="Times New Roman"/>
          <w:sz w:val="28"/>
          <w:szCs w:val="28"/>
          <w:lang w:eastAsia="ru-RU"/>
        </w:rPr>
        <w:t xml:space="preserve">больные группы 1 </w:t>
      </w:r>
      <w:r w:rsidRPr="00F71B34">
        <w:rPr>
          <w:rFonts w:ascii="Times New Roman" w:eastAsia="Times New Roman" w:hAnsi="Times New Roman"/>
          <w:sz w:val="28"/>
          <w:szCs w:val="28"/>
          <w:lang w:eastAsia="ru-RU"/>
        </w:rPr>
        <w:t>с давностью ≥10 лет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=32), А</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 </w:t>
      </w:r>
      <w:r w:rsidR="004D1447" w:rsidRPr="00F71B34">
        <w:rPr>
          <w:rFonts w:ascii="Times New Roman" w:eastAsia="Times New Roman" w:hAnsi="Times New Roman"/>
          <w:sz w:val="28"/>
          <w:szCs w:val="28"/>
          <w:lang w:eastAsia="ru-RU"/>
        </w:rPr>
        <w:t xml:space="preserve">больные </w:t>
      </w:r>
      <w:r w:rsidR="00106316" w:rsidRPr="00F71B34">
        <w:rPr>
          <w:rFonts w:ascii="Times New Roman" w:eastAsia="Times New Roman" w:hAnsi="Times New Roman"/>
          <w:sz w:val="28"/>
          <w:szCs w:val="28"/>
          <w:lang w:eastAsia="ru-RU"/>
        </w:rPr>
        <w:t>группы 2</w:t>
      </w:r>
      <w:r w:rsidR="004D1447" w:rsidRPr="00F71B34">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 xml:space="preserve">с </w:t>
      </w:r>
      <w:r w:rsidR="004D1447" w:rsidRPr="00F71B34">
        <w:rPr>
          <w:rFonts w:ascii="Times New Roman" w:eastAsia="Times New Roman" w:hAnsi="Times New Roman"/>
          <w:sz w:val="28"/>
          <w:szCs w:val="28"/>
          <w:lang w:eastAsia="ru-RU"/>
        </w:rPr>
        <w:t xml:space="preserve">давностью </w:t>
      </w:r>
      <w:r w:rsidRPr="00F71B34">
        <w:rPr>
          <w:rFonts w:ascii="Times New Roman" w:eastAsia="Times New Roman" w:hAnsi="Times New Roman"/>
          <w:sz w:val="28"/>
          <w:szCs w:val="28"/>
          <w:lang w:eastAsia="ru-RU"/>
        </w:rPr>
        <w:t>заболевания &lt;10 лет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=16),  В</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 </w:t>
      </w:r>
      <w:r w:rsidR="004D1447" w:rsidRPr="00F71B34">
        <w:rPr>
          <w:rFonts w:ascii="Times New Roman" w:eastAsia="Times New Roman" w:hAnsi="Times New Roman"/>
          <w:sz w:val="28"/>
          <w:szCs w:val="28"/>
          <w:lang w:eastAsia="ru-RU"/>
        </w:rPr>
        <w:t xml:space="preserve">больные группы 2 </w:t>
      </w:r>
      <w:r w:rsidRPr="00F71B34">
        <w:rPr>
          <w:rFonts w:ascii="Times New Roman" w:eastAsia="Times New Roman" w:hAnsi="Times New Roman"/>
          <w:sz w:val="28"/>
          <w:szCs w:val="28"/>
          <w:lang w:eastAsia="ru-RU"/>
        </w:rPr>
        <w:t xml:space="preserve">с </w:t>
      </w:r>
      <w:r w:rsidR="004D1447" w:rsidRPr="00F71B34">
        <w:rPr>
          <w:rFonts w:ascii="Times New Roman" w:eastAsia="Times New Roman" w:hAnsi="Times New Roman"/>
          <w:sz w:val="28"/>
          <w:szCs w:val="28"/>
          <w:lang w:eastAsia="ru-RU"/>
        </w:rPr>
        <w:t>давностью</w:t>
      </w:r>
      <w:r w:rsidRPr="00F71B34">
        <w:rPr>
          <w:rFonts w:ascii="Times New Roman" w:eastAsia="Times New Roman" w:hAnsi="Times New Roman"/>
          <w:sz w:val="28"/>
          <w:szCs w:val="28"/>
          <w:lang w:eastAsia="ru-RU"/>
        </w:rPr>
        <w:t xml:space="preserve">  ≥10 лет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 xml:space="preserve">=19). </w:t>
      </w:r>
    </w:p>
    <w:p w:rsidR="00B20BA4" w:rsidRPr="00F71B34" w:rsidRDefault="00B20BA4" w:rsidP="00F71B34">
      <w:pPr>
        <w:spacing w:after="0" w:line="360" w:lineRule="auto"/>
        <w:ind w:left="57"/>
        <w:jc w:val="both"/>
        <w:rPr>
          <w:rFonts w:ascii="Times New Roman" w:eastAsia="Times New Roman" w:hAnsi="Times New Roman"/>
          <w:sz w:val="28"/>
          <w:szCs w:val="28"/>
          <w:lang w:eastAsia="ru-RU"/>
        </w:rPr>
      </w:pPr>
      <w:r w:rsidRPr="00F71B34">
        <w:rPr>
          <w:rFonts w:ascii="Times New Roman" w:eastAsia="Times New Roman" w:hAnsi="Times New Roman"/>
          <w:color w:val="FF0000"/>
          <w:sz w:val="28"/>
          <w:szCs w:val="28"/>
          <w:lang w:eastAsia="ru-RU"/>
        </w:rPr>
        <w:tab/>
      </w:r>
      <w:r w:rsidRPr="00F71B34">
        <w:rPr>
          <w:rFonts w:ascii="Times New Roman" w:eastAsia="Times New Roman" w:hAnsi="Times New Roman"/>
          <w:sz w:val="28"/>
          <w:szCs w:val="28"/>
          <w:lang w:eastAsia="ru-RU"/>
        </w:rPr>
        <w:t xml:space="preserve">При анализе полученных данных установлено, что средние значения МПК и Т-критерия в шейке бедра у больных при давности </w:t>
      </w:r>
      <w:r w:rsidR="004D1447" w:rsidRPr="00F71B34">
        <w:rPr>
          <w:rFonts w:ascii="Times New Roman" w:eastAsia="Times New Roman" w:hAnsi="Times New Roman"/>
          <w:sz w:val="28"/>
          <w:szCs w:val="28"/>
          <w:lang w:eastAsia="ru-RU"/>
        </w:rPr>
        <w:t xml:space="preserve">РА </w:t>
      </w:r>
      <w:r w:rsidRPr="00F71B34">
        <w:rPr>
          <w:rFonts w:ascii="Times New Roman" w:eastAsia="Times New Roman" w:hAnsi="Times New Roman"/>
          <w:sz w:val="28"/>
          <w:szCs w:val="28"/>
          <w:lang w:eastAsia="ru-RU"/>
        </w:rPr>
        <w:t xml:space="preserve">≥10 лет исходно были сопоставимы с данными показателями у больных с длительностью </w:t>
      </w:r>
      <w:r w:rsidR="004D1447" w:rsidRPr="00F71B34">
        <w:rPr>
          <w:rFonts w:ascii="Times New Roman" w:eastAsia="Times New Roman" w:hAnsi="Times New Roman"/>
          <w:sz w:val="28"/>
          <w:szCs w:val="28"/>
          <w:lang w:eastAsia="ru-RU"/>
        </w:rPr>
        <w:t xml:space="preserve">заболевания </w:t>
      </w:r>
      <w:r w:rsidRPr="00F71B34">
        <w:rPr>
          <w:rFonts w:ascii="Times New Roman" w:eastAsia="Times New Roman" w:hAnsi="Times New Roman"/>
          <w:sz w:val="28"/>
          <w:szCs w:val="28"/>
          <w:lang w:eastAsia="ru-RU"/>
        </w:rPr>
        <w:t>&lt;10 лет как в группе 1, так и в группе 2. Аналогичная закономерность прослеживается и через 48 месяцев наблюдения (табл. 8).</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Плотностные значения кости у больных группы 1 и группы 2  с длительностью заболевания &lt;10 лет не различались как исходно, так и через 4 года наблюдения. У пациентов группы 1 с длительностью заболевания  РА ≥10 </w:t>
      </w:r>
      <w:r w:rsidRPr="00F71B34">
        <w:rPr>
          <w:rFonts w:ascii="Times New Roman" w:eastAsia="Times New Roman" w:hAnsi="Times New Roman"/>
          <w:sz w:val="28"/>
          <w:szCs w:val="28"/>
          <w:lang w:eastAsia="ru-RU"/>
        </w:rPr>
        <w:lastRenderedPageBreak/>
        <w:t xml:space="preserve">лет исходно и через 48 месяцев терапии МПК и Т-критерий шейки бедра были сопоставимы с показателями пациентов группы 2 с аналогичной давностью заболевания. </w:t>
      </w:r>
    </w:p>
    <w:p w:rsidR="00B20BA4" w:rsidRPr="00F71B34" w:rsidRDefault="00B20BA4" w:rsidP="00DC52BB">
      <w:pPr>
        <w:spacing w:after="0" w:line="360" w:lineRule="auto"/>
        <w:ind w:right="-82"/>
        <w:jc w:val="both"/>
        <w:rPr>
          <w:rFonts w:ascii="Times New Roman" w:eastAsia="Times New Roman" w:hAnsi="Times New Roman"/>
          <w:sz w:val="28"/>
          <w:szCs w:val="28"/>
          <w:lang w:eastAsia="ru-RU"/>
        </w:rPr>
      </w:pPr>
    </w:p>
    <w:p w:rsidR="00B20BA4" w:rsidRPr="00F71B34" w:rsidRDefault="00B20BA4" w:rsidP="00F71B34">
      <w:pPr>
        <w:spacing w:after="0" w:line="360" w:lineRule="auto"/>
        <w:ind w:right="-82" w:firstLine="708"/>
        <w:jc w:val="both"/>
        <w:rPr>
          <w:rFonts w:ascii="Times New Roman" w:eastAsia="Times New Roman" w:hAnsi="Times New Roman"/>
          <w:sz w:val="28"/>
          <w:szCs w:val="28"/>
          <w:lang w:eastAsia="ru-RU"/>
        </w:rPr>
      </w:pPr>
      <w:r w:rsidRPr="0059597F">
        <w:rPr>
          <w:rFonts w:ascii="Times New Roman" w:eastAsia="Times New Roman" w:hAnsi="Times New Roman"/>
          <w:spacing w:val="40"/>
          <w:sz w:val="28"/>
          <w:szCs w:val="28"/>
          <w:lang w:eastAsia="ru-RU"/>
        </w:rPr>
        <w:t>Таблица</w:t>
      </w:r>
      <w:r w:rsidRPr="00F71B34">
        <w:rPr>
          <w:rFonts w:ascii="Times New Roman" w:eastAsia="Times New Roman" w:hAnsi="Times New Roman"/>
          <w:sz w:val="28"/>
          <w:szCs w:val="28"/>
          <w:lang w:eastAsia="ru-RU"/>
        </w:rPr>
        <w:t xml:space="preserve"> 8</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Денситометрические показатели шейки бедра у больных РА в зависимости от длительности заболевания и варианта терапии исходно и через 4</w:t>
      </w:r>
      <w:r w:rsidR="001765CB">
        <w:rPr>
          <w:rFonts w:ascii="Times New Roman" w:eastAsia="Times New Roman" w:hAnsi="Times New Roman"/>
          <w:sz w:val="28"/>
          <w:szCs w:val="28"/>
          <w:lang w:eastAsia="ru-RU"/>
        </w:rPr>
        <w:t>8 месяцев</w:t>
      </w:r>
      <w:r w:rsidRPr="00F71B34">
        <w:rPr>
          <w:rFonts w:ascii="Times New Roman" w:eastAsia="Times New Roman" w:hAnsi="Times New Roman"/>
          <w:sz w:val="28"/>
          <w:szCs w:val="28"/>
          <w:lang w:eastAsia="ru-RU"/>
        </w:rPr>
        <w:t xml:space="preserve"> наблюдения (М±</w:t>
      </w:r>
      <w:r w:rsidRPr="00F71B34">
        <w:rPr>
          <w:rFonts w:ascii="Times New Roman" w:eastAsia="Times New Roman" w:hAnsi="Times New Roman"/>
          <w:sz w:val="28"/>
          <w:szCs w:val="28"/>
          <w:lang w:val="en-US" w:eastAsia="ru-RU"/>
        </w:rPr>
        <w:t>m</w:t>
      </w:r>
      <w:r w:rsidRPr="00F71B34">
        <w:rPr>
          <w:rFonts w:ascii="Times New Roman" w:eastAsia="Times New Roman" w:hAnsi="Times New Roman"/>
          <w:sz w:val="28"/>
          <w:szCs w:val="28"/>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824"/>
        <w:gridCol w:w="1639"/>
        <w:gridCol w:w="1792"/>
        <w:gridCol w:w="1046"/>
        <w:gridCol w:w="1402"/>
        <w:gridCol w:w="1559"/>
        <w:gridCol w:w="795"/>
      </w:tblGrid>
      <w:tr w:rsidR="001765CB" w:rsidRPr="00DC52BB" w:rsidTr="001765CB">
        <w:trPr>
          <w:trHeight w:val="359"/>
          <w:jc w:val="center"/>
        </w:trPr>
        <w:tc>
          <w:tcPr>
            <w:tcW w:w="907" w:type="pct"/>
            <w:vMerge w:val="restart"/>
            <w:shd w:val="clear" w:color="auto" w:fill="auto"/>
            <w:vAlign w:val="center"/>
          </w:tcPr>
          <w:p w:rsidR="001765CB" w:rsidRPr="00654A6C" w:rsidRDefault="001765CB"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 </w:t>
            </w:r>
          </w:p>
          <w:p w:rsidR="001765CB" w:rsidRPr="00654A6C" w:rsidRDefault="001765CB"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 xml:space="preserve">(А – &lt;10 лет, </w:t>
            </w:r>
            <w:proofErr w:type="gramEnd"/>
          </w:p>
          <w:p w:rsidR="001765CB" w:rsidRPr="00654A6C" w:rsidRDefault="001765CB"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В – ≥10 лет)</w:t>
            </w:r>
            <w:proofErr w:type="gramEnd"/>
          </w:p>
        </w:tc>
        <w:tc>
          <w:tcPr>
            <w:tcW w:w="4093" w:type="pct"/>
            <w:gridSpan w:val="6"/>
            <w:shd w:val="clear" w:color="auto" w:fill="auto"/>
            <w:vAlign w:val="center"/>
          </w:tcPr>
          <w:p w:rsidR="001765CB" w:rsidRPr="00654A6C" w:rsidRDefault="001765CB" w:rsidP="001765CB">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1765CB" w:rsidRPr="00DC52BB" w:rsidTr="001765CB">
        <w:trPr>
          <w:trHeight w:val="224"/>
          <w:jc w:val="center"/>
        </w:trPr>
        <w:tc>
          <w:tcPr>
            <w:tcW w:w="907" w:type="pct"/>
            <w:vMerge/>
            <w:shd w:val="clear" w:color="auto" w:fill="auto"/>
            <w:vAlign w:val="center"/>
          </w:tcPr>
          <w:p w:rsidR="001765CB" w:rsidRPr="00654A6C" w:rsidRDefault="001765CB" w:rsidP="00654A6C">
            <w:pPr>
              <w:spacing w:after="0" w:line="360" w:lineRule="auto"/>
              <w:ind w:right="-82"/>
              <w:jc w:val="center"/>
              <w:rPr>
                <w:rFonts w:ascii="Times New Roman" w:eastAsia="Times New Roman" w:hAnsi="Times New Roman"/>
                <w:sz w:val="24"/>
                <w:szCs w:val="24"/>
                <w:lang w:eastAsia="ru-RU"/>
              </w:rPr>
            </w:pPr>
          </w:p>
        </w:tc>
        <w:tc>
          <w:tcPr>
            <w:tcW w:w="2226" w:type="pct"/>
            <w:gridSpan w:val="3"/>
            <w:shd w:val="clear" w:color="auto" w:fill="auto"/>
            <w:vAlign w:val="center"/>
          </w:tcPr>
          <w:p w:rsidR="001765CB" w:rsidRPr="00654A6C" w:rsidRDefault="001765CB"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867" w:type="pct"/>
            <w:gridSpan w:val="3"/>
            <w:tcBorders>
              <w:bottom w:val="single" w:sz="4" w:space="0" w:color="auto"/>
            </w:tcBorders>
            <w:shd w:val="clear" w:color="auto" w:fill="auto"/>
            <w:vAlign w:val="center"/>
          </w:tcPr>
          <w:p w:rsidR="001765CB" w:rsidRPr="00654A6C" w:rsidRDefault="001765CB" w:rsidP="001765CB">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B20BA4" w:rsidRPr="00DC52BB" w:rsidTr="001765CB">
        <w:trPr>
          <w:trHeight w:val="513"/>
          <w:jc w:val="center"/>
        </w:trPr>
        <w:tc>
          <w:tcPr>
            <w:tcW w:w="907" w:type="pct"/>
            <w:vMerge/>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815" w:type="pct"/>
            <w:shd w:val="clear" w:color="auto" w:fill="auto"/>
            <w:vAlign w:val="center"/>
          </w:tcPr>
          <w:p w:rsidR="00B20BA4" w:rsidRPr="00654A6C" w:rsidRDefault="001765CB"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891" w:type="pct"/>
            <w:shd w:val="clear" w:color="auto" w:fill="auto"/>
            <w:vAlign w:val="center"/>
          </w:tcPr>
          <w:p w:rsidR="00B20BA4" w:rsidRPr="00654A6C" w:rsidRDefault="001765CB"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520"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97" w:type="pct"/>
            <w:tcBorders>
              <w:top w:val="single" w:sz="4" w:space="0" w:color="auto"/>
            </w:tcBorders>
            <w:shd w:val="clear" w:color="auto" w:fill="auto"/>
            <w:vAlign w:val="center"/>
          </w:tcPr>
          <w:p w:rsidR="00B20BA4" w:rsidRPr="00654A6C" w:rsidRDefault="001765CB"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775" w:type="pct"/>
            <w:tcBorders>
              <w:top w:val="single" w:sz="4" w:space="0" w:color="auto"/>
            </w:tcBorders>
            <w:shd w:val="clear" w:color="auto" w:fill="auto"/>
            <w:vAlign w:val="center"/>
          </w:tcPr>
          <w:p w:rsidR="00B20BA4" w:rsidRPr="00654A6C" w:rsidRDefault="001765CB"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395" w:type="pct"/>
            <w:tcBorders>
              <w:top w:val="single" w:sz="4" w:space="0" w:color="auto"/>
            </w:tcBorders>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B20BA4" w:rsidRPr="00DC52BB" w:rsidTr="001765CB">
        <w:trPr>
          <w:jc w:val="center"/>
        </w:trPr>
        <w:tc>
          <w:tcPr>
            <w:tcW w:w="90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81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0,8079±0,033</w:t>
            </w:r>
          </w:p>
        </w:tc>
        <w:tc>
          <w:tcPr>
            <w:tcW w:w="89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0,8916±0,049</w:t>
            </w:r>
          </w:p>
        </w:tc>
        <w:tc>
          <w:tcPr>
            <w:tcW w:w="52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0,042</w:t>
            </w:r>
          </w:p>
        </w:tc>
        <w:tc>
          <w:tcPr>
            <w:tcW w:w="69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-1,78±0,27</w:t>
            </w:r>
          </w:p>
        </w:tc>
        <w:tc>
          <w:tcPr>
            <w:tcW w:w="77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-1,04±0,40</w:t>
            </w:r>
          </w:p>
        </w:tc>
        <w:tc>
          <w:tcPr>
            <w:tcW w:w="39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0,018</w:t>
            </w:r>
          </w:p>
        </w:tc>
      </w:tr>
      <w:tr w:rsidR="00B20BA4" w:rsidRPr="00DC52BB" w:rsidTr="001765CB">
        <w:trPr>
          <w:jc w:val="center"/>
        </w:trPr>
        <w:tc>
          <w:tcPr>
            <w:tcW w:w="90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81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0,7475±0,020</w:t>
            </w:r>
          </w:p>
        </w:tc>
        <w:tc>
          <w:tcPr>
            <w:tcW w:w="89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0,8111±0,023</w:t>
            </w:r>
          </w:p>
        </w:tc>
        <w:tc>
          <w:tcPr>
            <w:tcW w:w="52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0,0003</w:t>
            </w:r>
          </w:p>
        </w:tc>
        <w:tc>
          <w:tcPr>
            <w:tcW w:w="69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-2,18±0,17</w:t>
            </w:r>
          </w:p>
        </w:tc>
        <w:tc>
          <w:tcPr>
            <w:tcW w:w="77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-1,70±0,17</w:t>
            </w:r>
          </w:p>
        </w:tc>
        <w:tc>
          <w:tcPr>
            <w:tcW w:w="39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0,0043</w:t>
            </w:r>
          </w:p>
        </w:tc>
      </w:tr>
      <w:tr w:rsidR="00B20BA4" w:rsidRPr="00DC52BB" w:rsidTr="001765CB">
        <w:trPr>
          <w:jc w:val="center"/>
        </w:trPr>
        <w:tc>
          <w:tcPr>
            <w:tcW w:w="90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81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0,8468±0,028</w:t>
            </w:r>
          </w:p>
        </w:tc>
        <w:tc>
          <w:tcPr>
            <w:tcW w:w="89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 xml:space="preserve"> 0,7324±0,044</w:t>
            </w:r>
          </w:p>
        </w:tc>
        <w:tc>
          <w:tcPr>
            <w:tcW w:w="52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0,018</w:t>
            </w:r>
          </w:p>
        </w:tc>
        <w:tc>
          <w:tcPr>
            <w:tcW w:w="69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-1,30±0,27</w:t>
            </w:r>
          </w:p>
        </w:tc>
        <w:tc>
          <w:tcPr>
            <w:tcW w:w="77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-2,33±0,40</w:t>
            </w:r>
          </w:p>
        </w:tc>
        <w:tc>
          <w:tcPr>
            <w:tcW w:w="39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0,018</w:t>
            </w:r>
          </w:p>
        </w:tc>
      </w:tr>
      <w:tr w:rsidR="00B20BA4" w:rsidRPr="00DC52BB" w:rsidTr="001765CB">
        <w:trPr>
          <w:jc w:val="center"/>
        </w:trPr>
        <w:tc>
          <w:tcPr>
            <w:tcW w:w="90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81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w:t>
            </w:r>
            <w:r w:rsidRPr="00654A6C">
              <w:rPr>
                <w:rFonts w:ascii="Times New Roman" w:eastAsia="Times New Roman" w:hAnsi="Times New Roman"/>
                <w:sz w:val="24"/>
                <w:szCs w:val="24"/>
                <w:lang w:eastAsia="ru-RU"/>
              </w:rPr>
              <w:t>,7479±0,024</w:t>
            </w:r>
          </w:p>
        </w:tc>
        <w:tc>
          <w:tcPr>
            <w:tcW w:w="89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0,7489±0,036</w:t>
            </w:r>
          </w:p>
        </w:tc>
        <w:tc>
          <w:tcPr>
            <w:tcW w:w="52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0,678</w:t>
            </w:r>
          </w:p>
        </w:tc>
        <w:tc>
          <w:tcPr>
            <w:tcW w:w="69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-2,13±0,21</w:t>
            </w:r>
          </w:p>
        </w:tc>
        <w:tc>
          <w:tcPr>
            <w:tcW w:w="77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-2,23±0,30</w:t>
            </w:r>
          </w:p>
        </w:tc>
        <w:tc>
          <w:tcPr>
            <w:tcW w:w="39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0,260</w:t>
            </w:r>
          </w:p>
        </w:tc>
      </w:tr>
      <w:tr w:rsidR="00B20BA4" w:rsidRPr="00DC52BB" w:rsidTr="001765CB">
        <w:trPr>
          <w:jc w:val="center"/>
        </w:trPr>
        <w:tc>
          <w:tcPr>
            <w:tcW w:w="90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val="en-US" w:eastAsia="ru-RU"/>
              </w:rPr>
              <w:t xml:space="preserve"> 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81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0,168</w:t>
            </w:r>
          </w:p>
        </w:tc>
        <w:tc>
          <w:tcPr>
            <w:tcW w:w="89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0,091</w:t>
            </w:r>
          </w:p>
        </w:tc>
        <w:tc>
          <w:tcPr>
            <w:tcW w:w="52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c>
          <w:tcPr>
            <w:tcW w:w="69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0,476</w:t>
            </w:r>
          </w:p>
        </w:tc>
        <w:tc>
          <w:tcPr>
            <w:tcW w:w="77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0,139</w:t>
            </w:r>
          </w:p>
        </w:tc>
        <w:tc>
          <w:tcPr>
            <w:tcW w:w="39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r>
      <w:tr w:rsidR="00B20BA4" w:rsidRPr="00DC52BB" w:rsidTr="001765CB">
        <w:trPr>
          <w:jc w:val="center"/>
        </w:trPr>
        <w:tc>
          <w:tcPr>
            <w:tcW w:w="90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1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0,052</w:t>
            </w:r>
          </w:p>
        </w:tc>
        <w:tc>
          <w:tcPr>
            <w:tcW w:w="89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0,513</w:t>
            </w:r>
          </w:p>
        </w:tc>
        <w:tc>
          <w:tcPr>
            <w:tcW w:w="52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p>
        </w:tc>
        <w:tc>
          <w:tcPr>
            <w:tcW w:w="69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0,052</w:t>
            </w:r>
          </w:p>
        </w:tc>
        <w:tc>
          <w:tcPr>
            <w:tcW w:w="77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0,624</w:t>
            </w:r>
          </w:p>
        </w:tc>
        <w:tc>
          <w:tcPr>
            <w:tcW w:w="39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p>
        </w:tc>
      </w:tr>
      <w:tr w:rsidR="00B20BA4" w:rsidRPr="00DC52BB" w:rsidTr="001765CB">
        <w:trPr>
          <w:jc w:val="center"/>
        </w:trPr>
        <w:tc>
          <w:tcPr>
            <w:tcW w:w="90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1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0,339</w:t>
            </w:r>
          </w:p>
        </w:tc>
        <w:tc>
          <w:tcPr>
            <w:tcW w:w="89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0,051</w:t>
            </w:r>
          </w:p>
        </w:tc>
        <w:tc>
          <w:tcPr>
            <w:tcW w:w="52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c>
          <w:tcPr>
            <w:tcW w:w="69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0,117</w:t>
            </w:r>
          </w:p>
        </w:tc>
        <w:tc>
          <w:tcPr>
            <w:tcW w:w="77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0,054</w:t>
            </w:r>
          </w:p>
        </w:tc>
        <w:tc>
          <w:tcPr>
            <w:tcW w:w="39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r>
      <w:tr w:rsidR="00B20BA4" w:rsidRPr="00DC52BB" w:rsidTr="001765CB">
        <w:trPr>
          <w:jc w:val="center"/>
        </w:trPr>
        <w:tc>
          <w:tcPr>
            <w:tcW w:w="90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1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0,827</w:t>
            </w:r>
          </w:p>
        </w:tc>
        <w:tc>
          <w:tcPr>
            <w:tcW w:w="89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0,193</w:t>
            </w:r>
          </w:p>
        </w:tc>
        <w:tc>
          <w:tcPr>
            <w:tcW w:w="52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c>
          <w:tcPr>
            <w:tcW w:w="69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0,878</w:t>
            </w:r>
          </w:p>
        </w:tc>
        <w:tc>
          <w:tcPr>
            <w:tcW w:w="77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0,117</w:t>
            </w:r>
          </w:p>
        </w:tc>
        <w:tc>
          <w:tcPr>
            <w:tcW w:w="39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r>
    </w:tbl>
    <w:p w:rsidR="00675F78" w:rsidRPr="00F71B34" w:rsidRDefault="00675F78" w:rsidP="00DC52BB">
      <w:pPr>
        <w:spacing w:after="0" w:line="360" w:lineRule="auto"/>
        <w:ind w:right="-79"/>
        <w:jc w:val="both"/>
        <w:rPr>
          <w:rFonts w:ascii="Times New Roman" w:eastAsia="Times New Roman" w:hAnsi="Times New Roman"/>
          <w:sz w:val="28"/>
          <w:szCs w:val="28"/>
          <w:lang w:eastAsia="ru-RU"/>
        </w:rPr>
      </w:pPr>
    </w:p>
    <w:p w:rsidR="00165967" w:rsidRPr="00F71B34" w:rsidRDefault="00165967" w:rsidP="00165967">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При анализе влияния четырехлетней терапии на денситометрические показатели шейки бедра установлено, что у больных, получавших РТМ и МТХ, независимо от длительности заболевания МПК и Т-критерий статистически значимо повышались относительно исходных данных. </w:t>
      </w:r>
    </w:p>
    <w:p w:rsidR="00165967" w:rsidRPr="00F71B34" w:rsidRDefault="00165967" w:rsidP="00165967">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У пациентов с монотерапией МТХ с давностью заболевания &lt;10 лет денситометрические показатели  через 4 года терапии снижались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=0,018 и р=0,018), в то время как у больных РА с длительностью заболевания ≥10 лет данные показатели оставались стабильными (р=0,678 и р=0,260).</w:t>
      </w:r>
    </w:p>
    <w:p w:rsidR="00165967" w:rsidRDefault="00165967" w:rsidP="00165967">
      <w:pPr>
        <w:spacing w:after="0" w:line="360" w:lineRule="auto"/>
        <w:ind w:right="-82" w:firstLine="708"/>
        <w:jc w:val="both"/>
        <w:rPr>
          <w:rFonts w:ascii="Times New Roman" w:eastAsia="Times New Roman" w:hAnsi="Times New Roman"/>
          <w:spacing w:val="40"/>
          <w:sz w:val="28"/>
          <w:szCs w:val="28"/>
          <w:lang w:eastAsia="ru-RU"/>
        </w:rPr>
      </w:pPr>
      <w:r w:rsidRPr="00F71B34">
        <w:rPr>
          <w:rFonts w:ascii="Times New Roman" w:eastAsia="Times New Roman" w:hAnsi="Times New Roman"/>
          <w:sz w:val="28"/>
          <w:szCs w:val="28"/>
          <w:lang w:eastAsia="ru-RU"/>
        </w:rPr>
        <w:t>В обеих группах больных зависимости денситометрических показателей поясничного отдела позвоночника от длительности заболевания проследить не удалось как исходно, так и через 48 месяцев терапии</w:t>
      </w:r>
      <w:r>
        <w:rPr>
          <w:rFonts w:ascii="Times New Roman" w:eastAsia="Times New Roman" w:hAnsi="Times New Roman"/>
          <w:sz w:val="28"/>
          <w:szCs w:val="28"/>
          <w:lang w:eastAsia="ru-RU"/>
        </w:rPr>
        <w:t xml:space="preserve"> (табл. 9)</w:t>
      </w:r>
      <w:r w:rsidRPr="00F71B34">
        <w:rPr>
          <w:rFonts w:ascii="Times New Roman" w:eastAsia="Times New Roman" w:hAnsi="Times New Roman"/>
          <w:sz w:val="28"/>
          <w:szCs w:val="28"/>
          <w:lang w:eastAsia="ru-RU"/>
        </w:rPr>
        <w:t>.</w:t>
      </w:r>
    </w:p>
    <w:p w:rsidR="00165967" w:rsidRDefault="00165967" w:rsidP="00F71B34">
      <w:pPr>
        <w:spacing w:after="0" w:line="360" w:lineRule="auto"/>
        <w:ind w:right="-82" w:firstLine="708"/>
        <w:jc w:val="both"/>
        <w:rPr>
          <w:rFonts w:ascii="Times New Roman" w:eastAsia="Times New Roman" w:hAnsi="Times New Roman"/>
          <w:spacing w:val="40"/>
          <w:sz w:val="28"/>
          <w:szCs w:val="28"/>
          <w:lang w:eastAsia="ru-RU"/>
        </w:rPr>
      </w:pPr>
    </w:p>
    <w:p w:rsidR="00B20BA4" w:rsidRPr="00F71B34" w:rsidRDefault="00165967" w:rsidP="00F71B34">
      <w:pPr>
        <w:spacing w:after="0" w:line="360" w:lineRule="auto"/>
        <w:ind w:right="-82" w:firstLine="708"/>
        <w:jc w:val="both"/>
        <w:rPr>
          <w:rFonts w:ascii="Times New Roman" w:eastAsia="Times New Roman" w:hAnsi="Times New Roman"/>
          <w:sz w:val="28"/>
          <w:szCs w:val="28"/>
          <w:lang w:eastAsia="ru-RU"/>
        </w:rPr>
      </w:pPr>
      <w:r w:rsidRPr="0059597F">
        <w:rPr>
          <w:rFonts w:ascii="Times New Roman" w:eastAsia="Times New Roman" w:hAnsi="Times New Roman"/>
          <w:spacing w:val="40"/>
          <w:sz w:val="28"/>
          <w:szCs w:val="28"/>
          <w:lang w:eastAsia="ru-RU"/>
        </w:rPr>
        <w:t>Таблица</w:t>
      </w:r>
      <w:r w:rsidR="00B20BA4" w:rsidRPr="00F71B34">
        <w:rPr>
          <w:rFonts w:ascii="Times New Roman" w:eastAsia="Times New Roman" w:hAnsi="Times New Roman"/>
          <w:sz w:val="28"/>
          <w:szCs w:val="28"/>
          <w:lang w:eastAsia="ru-RU"/>
        </w:rPr>
        <w:t xml:space="preserve"> 9</w:t>
      </w:r>
      <w:r w:rsidR="00CD2EDC">
        <w:rPr>
          <w:rFonts w:ascii="Times New Roman" w:eastAsia="Times New Roman" w:hAnsi="Times New Roman"/>
          <w:sz w:val="28"/>
          <w:szCs w:val="28"/>
          <w:lang w:eastAsia="ru-RU"/>
        </w:rPr>
        <w:t xml:space="preserve"> – </w:t>
      </w:r>
      <w:r w:rsidR="00B20BA4" w:rsidRPr="00F71B34">
        <w:rPr>
          <w:rFonts w:ascii="Times New Roman" w:eastAsia="Times New Roman" w:hAnsi="Times New Roman"/>
          <w:sz w:val="28"/>
          <w:szCs w:val="28"/>
          <w:lang w:eastAsia="ru-RU"/>
        </w:rPr>
        <w:t>Денситометрические показатели поясничного отдела позвоночника у больных РА в зависимости от длительности заболевания и варианта терапии исходно и через 4</w:t>
      </w:r>
      <w:r>
        <w:rPr>
          <w:rFonts w:ascii="Times New Roman" w:eastAsia="Times New Roman" w:hAnsi="Times New Roman"/>
          <w:sz w:val="28"/>
          <w:szCs w:val="28"/>
          <w:lang w:eastAsia="ru-RU"/>
        </w:rPr>
        <w:t>8 месяцев</w:t>
      </w:r>
      <w:r w:rsidR="00B20BA4" w:rsidRPr="00F71B34">
        <w:rPr>
          <w:rFonts w:ascii="Times New Roman" w:eastAsia="Times New Roman" w:hAnsi="Times New Roman"/>
          <w:sz w:val="28"/>
          <w:szCs w:val="28"/>
          <w:lang w:eastAsia="ru-RU"/>
        </w:rPr>
        <w:t xml:space="preserve"> наблюдения (М±</w:t>
      </w:r>
      <w:r w:rsidR="00B20BA4" w:rsidRPr="00F71B34">
        <w:rPr>
          <w:rFonts w:ascii="Times New Roman" w:eastAsia="Times New Roman" w:hAnsi="Times New Roman"/>
          <w:sz w:val="28"/>
          <w:szCs w:val="28"/>
          <w:lang w:val="en-US" w:eastAsia="ru-RU"/>
        </w:rPr>
        <w:t>m</w:t>
      </w:r>
      <w:r w:rsidR="00B20BA4" w:rsidRPr="00F71B34">
        <w:rPr>
          <w:rFonts w:ascii="Times New Roman" w:eastAsia="Times New Roman" w:hAnsi="Times New Roman"/>
          <w:sz w:val="28"/>
          <w:szCs w:val="28"/>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877"/>
        <w:gridCol w:w="1651"/>
        <w:gridCol w:w="1651"/>
        <w:gridCol w:w="903"/>
        <w:gridCol w:w="1326"/>
        <w:gridCol w:w="1818"/>
        <w:gridCol w:w="831"/>
      </w:tblGrid>
      <w:tr w:rsidR="00165967" w:rsidRPr="00DC52BB" w:rsidTr="00165967">
        <w:trPr>
          <w:trHeight w:val="539"/>
          <w:jc w:val="center"/>
        </w:trPr>
        <w:tc>
          <w:tcPr>
            <w:tcW w:w="933" w:type="pct"/>
            <w:vMerge w:val="restart"/>
            <w:shd w:val="clear" w:color="auto" w:fill="auto"/>
            <w:vAlign w:val="center"/>
          </w:tcPr>
          <w:p w:rsidR="00165967" w:rsidRPr="00654A6C" w:rsidRDefault="00165967"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 </w:t>
            </w:r>
          </w:p>
          <w:p w:rsidR="00165967" w:rsidRPr="00654A6C" w:rsidRDefault="00165967"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 xml:space="preserve">(А – &lt;10 лет, </w:t>
            </w:r>
            <w:proofErr w:type="gramEnd"/>
          </w:p>
          <w:p w:rsidR="00165967" w:rsidRPr="00654A6C" w:rsidRDefault="00165967"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В – ≥10 лет)</w:t>
            </w:r>
            <w:proofErr w:type="gramEnd"/>
          </w:p>
        </w:tc>
        <w:tc>
          <w:tcPr>
            <w:tcW w:w="4067" w:type="pct"/>
            <w:gridSpan w:val="6"/>
            <w:shd w:val="clear" w:color="auto" w:fill="auto"/>
            <w:vAlign w:val="center"/>
          </w:tcPr>
          <w:p w:rsidR="00165967" w:rsidRPr="00654A6C" w:rsidRDefault="00165967"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165967" w:rsidRPr="00DC52BB" w:rsidTr="00165967">
        <w:trPr>
          <w:trHeight w:val="434"/>
          <w:jc w:val="center"/>
        </w:trPr>
        <w:tc>
          <w:tcPr>
            <w:tcW w:w="933" w:type="pct"/>
            <w:vMerge/>
            <w:shd w:val="clear" w:color="auto" w:fill="auto"/>
            <w:vAlign w:val="center"/>
          </w:tcPr>
          <w:p w:rsidR="00165967" w:rsidRPr="00654A6C" w:rsidRDefault="00165967" w:rsidP="00654A6C">
            <w:pPr>
              <w:spacing w:after="0" w:line="360" w:lineRule="auto"/>
              <w:ind w:right="-82"/>
              <w:jc w:val="center"/>
              <w:rPr>
                <w:rFonts w:ascii="Times New Roman" w:eastAsia="Times New Roman" w:hAnsi="Times New Roman"/>
                <w:sz w:val="24"/>
                <w:szCs w:val="24"/>
                <w:lang w:eastAsia="ru-RU"/>
              </w:rPr>
            </w:pPr>
          </w:p>
        </w:tc>
        <w:tc>
          <w:tcPr>
            <w:tcW w:w="2091" w:type="pct"/>
            <w:gridSpan w:val="3"/>
            <w:shd w:val="clear" w:color="auto" w:fill="auto"/>
            <w:vAlign w:val="center"/>
          </w:tcPr>
          <w:p w:rsidR="00165967" w:rsidRPr="00654A6C" w:rsidRDefault="00165967"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976" w:type="pct"/>
            <w:gridSpan w:val="3"/>
            <w:tcBorders>
              <w:bottom w:val="single" w:sz="4" w:space="0" w:color="auto"/>
            </w:tcBorders>
            <w:shd w:val="clear" w:color="auto" w:fill="auto"/>
            <w:vAlign w:val="center"/>
          </w:tcPr>
          <w:p w:rsidR="00165967" w:rsidRPr="00654A6C" w:rsidRDefault="00165967"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B20BA4" w:rsidRPr="00DC52BB" w:rsidTr="00654A6C">
        <w:trPr>
          <w:jc w:val="center"/>
        </w:trPr>
        <w:tc>
          <w:tcPr>
            <w:tcW w:w="933" w:type="pct"/>
            <w:vMerge/>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821" w:type="pct"/>
            <w:shd w:val="clear" w:color="auto" w:fill="auto"/>
            <w:vAlign w:val="center"/>
          </w:tcPr>
          <w:p w:rsidR="00B20BA4" w:rsidRPr="00654A6C" w:rsidRDefault="00165967"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821" w:type="pct"/>
            <w:shd w:val="clear" w:color="auto" w:fill="auto"/>
            <w:vAlign w:val="center"/>
          </w:tcPr>
          <w:p w:rsidR="00B20BA4" w:rsidRPr="00654A6C" w:rsidRDefault="00165967"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44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59" w:type="pct"/>
            <w:tcBorders>
              <w:top w:val="single" w:sz="4" w:space="0" w:color="auto"/>
            </w:tcBorders>
            <w:shd w:val="clear" w:color="auto" w:fill="auto"/>
            <w:vAlign w:val="center"/>
          </w:tcPr>
          <w:p w:rsidR="00B20BA4" w:rsidRPr="00654A6C" w:rsidRDefault="00165967"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904" w:type="pct"/>
            <w:tcBorders>
              <w:top w:val="single" w:sz="4" w:space="0" w:color="auto"/>
            </w:tcBorders>
            <w:shd w:val="clear" w:color="auto" w:fill="auto"/>
            <w:vAlign w:val="center"/>
          </w:tcPr>
          <w:p w:rsidR="00B20BA4" w:rsidRPr="00654A6C" w:rsidRDefault="00165967"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r>
              <w:rPr>
                <w:rFonts w:ascii="Times New Roman" w:eastAsia="Times New Roman" w:hAnsi="Times New Roman"/>
                <w:sz w:val="24"/>
                <w:szCs w:val="24"/>
                <w:lang w:eastAsia="ru-RU"/>
              </w:rPr>
              <w:t>.</w:t>
            </w:r>
          </w:p>
        </w:tc>
        <w:tc>
          <w:tcPr>
            <w:tcW w:w="413" w:type="pct"/>
            <w:tcBorders>
              <w:top w:val="single" w:sz="4" w:space="0" w:color="auto"/>
            </w:tcBorders>
            <w:shd w:val="clear" w:color="auto" w:fill="auto"/>
            <w:vAlign w:val="center"/>
          </w:tcPr>
          <w:p w:rsidR="00B20BA4" w:rsidRPr="00654A6C" w:rsidRDefault="0040423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B20BA4" w:rsidRPr="00DC52BB" w:rsidTr="00654A6C">
        <w:trPr>
          <w:jc w:val="center"/>
        </w:trPr>
        <w:tc>
          <w:tcPr>
            <w:tcW w:w="93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0,9999±0,072</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1,013±0,10</w:t>
            </w:r>
          </w:p>
        </w:tc>
        <w:tc>
          <w:tcPr>
            <w:tcW w:w="44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0,173</w:t>
            </w:r>
          </w:p>
        </w:tc>
        <w:tc>
          <w:tcPr>
            <w:tcW w:w="65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-0,59±0,28</w:t>
            </w:r>
          </w:p>
        </w:tc>
        <w:tc>
          <w:tcPr>
            <w:tcW w:w="90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-0,57±0,53</w:t>
            </w:r>
          </w:p>
        </w:tc>
        <w:tc>
          <w:tcPr>
            <w:tcW w:w="41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0,826</w:t>
            </w:r>
          </w:p>
        </w:tc>
      </w:tr>
      <w:tr w:rsidR="00B20BA4" w:rsidRPr="00DC52BB" w:rsidTr="00654A6C">
        <w:trPr>
          <w:jc w:val="center"/>
        </w:trPr>
        <w:tc>
          <w:tcPr>
            <w:tcW w:w="93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0,9374±0,030</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0,9209±0,035</w:t>
            </w:r>
          </w:p>
        </w:tc>
        <w:tc>
          <w:tcPr>
            <w:tcW w:w="44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0,334</w:t>
            </w:r>
          </w:p>
        </w:tc>
        <w:tc>
          <w:tcPr>
            <w:tcW w:w="65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-0,95±0,18</w:t>
            </w:r>
          </w:p>
        </w:tc>
        <w:tc>
          <w:tcPr>
            <w:tcW w:w="90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-1,13±0,22</w:t>
            </w:r>
          </w:p>
        </w:tc>
        <w:tc>
          <w:tcPr>
            <w:tcW w:w="41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0,983</w:t>
            </w:r>
          </w:p>
        </w:tc>
      </w:tr>
      <w:tr w:rsidR="00B20BA4" w:rsidRPr="00DC52BB" w:rsidTr="00654A6C">
        <w:trPr>
          <w:jc w:val="center"/>
        </w:trPr>
        <w:tc>
          <w:tcPr>
            <w:tcW w:w="93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0,9957±0,039</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 xml:space="preserve"> 0,9247±0,020</w:t>
            </w:r>
          </w:p>
        </w:tc>
        <w:tc>
          <w:tcPr>
            <w:tcW w:w="44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0,068</w:t>
            </w:r>
          </w:p>
        </w:tc>
        <w:tc>
          <w:tcPr>
            <w:tcW w:w="65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-0,34±0,26</w:t>
            </w:r>
          </w:p>
        </w:tc>
        <w:tc>
          <w:tcPr>
            <w:tcW w:w="90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-0,85±0,20</w:t>
            </w:r>
          </w:p>
        </w:tc>
        <w:tc>
          <w:tcPr>
            <w:tcW w:w="41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0,068</w:t>
            </w:r>
          </w:p>
        </w:tc>
      </w:tr>
      <w:tr w:rsidR="00B20BA4" w:rsidRPr="00DC52BB" w:rsidTr="00654A6C">
        <w:trPr>
          <w:jc w:val="center"/>
        </w:trPr>
        <w:tc>
          <w:tcPr>
            <w:tcW w:w="93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0,9769±0,032</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0,8685±0,039</w:t>
            </w:r>
          </w:p>
        </w:tc>
        <w:tc>
          <w:tcPr>
            <w:tcW w:w="44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0,093</w:t>
            </w:r>
          </w:p>
        </w:tc>
        <w:tc>
          <w:tcPr>
            <w:tcW w:w="65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-0,52±0,28</w:t>
            </w:r>
          </w:p>
        </w:tc>
        <w:tc>
          <w:tcPr>
            <w:tcW w:w="90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 xml:space="preserve">-1,18±0,29 </w:t>
            </w:r>
          </w:p>
        </w:tc>
        <w:tc>
          <w:tcPr>
            <w:tcW w:w="41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0,051</w:t>
            </w:r>
          </w:p>
        </w:tc>
      </w:tr>
      <w:tr w:rsidR="00B20BA4" w:rsidRPr="00DC52BB" w:rsidTr="00654A6C">
        <w:trPr>
          <w:jc w:val="center"/>
        </w:trPr>
        <w:tc>
          <w:tcPr>
            <w:tcW w:w="93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val="en-US" w:eastAsia="ru-RU"/>
              </w:rPr>
              <w:t xml:space="preserve"> 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0,465</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0,245</w:t>
            </w:r>
          </w:p>
        </w:tc>
        <w:tc>
          <w:tcPr>
            <w:tcW w:w="44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c>
          <w:tcPr>
            <w:tcW w:w="65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0,319</w:t>
            </w:r>
          </w:p>
        </w:tc>
        <w:tc>
          <w:tcPr>
            <w:tcW w:w="90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0,319</w:t>
            </w:r>
          </w:p>
        </w:tc>
        <w:tc>
          <w:tcPr>
            <w:tcW w:w="41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r>
      <w:tr w:rsidR="00B20BA4" w:rsidRPr="00DC52BB" w:rsidTr="00654A6C">
        <w:trPr>
          <w:jc w:val="center"/>
        </w:trPr>
        <w:tc>
          <w:tcPr>
            <w:tcW w:w="93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0,936</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0,627</w:t>
            </w:r>
          </w:p>
        </w:tc>
        <w:tc>
          <w:tcPr>
            <w:tcW w:w="44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p>
        </w:tc>
        <w:tc>
          <w:tcPr>
            <w:tcW w:w="65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0,534</w:t>
            </w:r>
          </w:p>
        </w:tc>
        <w:tc>
          <w:tcPr>
            <w:tcW w:w="90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0,565</w:t>
            </w:r>
          </w:p>
        </w:tc>
        <w:tc>
          <w:tcPr>
            <w:tcW w:w="41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r>
      <w:tr w:rsidR="00B20BA4" w:rsidRPr="00DC52BB" w:rsidTr="00654A6C">
        <w:trPr>
          <w:jc w:val="center"/>
        </w:trPr>
        <w:tc>
          <w:tcPr>
            <w:tcW w:w="93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0,622</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0,314</w:t>
            </w:r>
          </w:p>
        </w:tc>
        <w:tc>
          <w:tcPr>
            <w:tcW w:w="44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c>
          <w:tcPr>
            <w:tcW w:w="65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0,562</w:t>
            </w:r>
          </w:p>
        </w:tc>
        <w:tc>
          <w:tcPr>
            <w:tcW w:w="90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0,524</w:t>
            </w:r>
          </w:p>
        </w:tc>
        <w:tc>
          <w:tcPr>
            <w:tcW w:w="41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p>
        </w:tc>
      </w:tr>
      <w:tr w:rsidR="00B20BA4" w:rsidRPr="00DC52BB" w:rsidTr="00654A6C">
        <w:trPr>
          <w:jc w:val="center"/>
        </w:trPr>
        <w:tc>
          <w:tcPr>
            <w:tcW w:w="93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0,189</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0,396</w:t>
            </w:r>
          </w:p>
        </w:tc>
        <w:tc>
          <w:tcPr>
            <w:tcW w:w="44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c>
          <w:tcPr>
            <w:tcW w:w="65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0,252</w:t>
            </w:r>
          </w:p>
        </w:tc>
        <w:tc>
          <w:tcPr>
            <w:tcW w:w="90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0,637</w:t>
            </w:r>
          </w:p>
        </w:tc>
        <w:tc>
          <w:tcPr>
            <w:tcW w:w="41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p>
        </w:tc>
      </w:tr>
    </w:tbl>
    <w:p w:rsidR="00B20BA4" w:rsidRPr="00F71B34" w:rsidRDefault="00B20BA4" w:rsidP="00F71B34">
      <w:pPr>
        <w:spacing w:after="0" w:line="360" w:lineRule="auto"/>
        <w:ind w:right="-79" w:firstLine="708"/>
        <w:jc w:val="both"/>
        <w:rPr>
          <w:rFonts w:ascii="Times New Roman" w:eastAsia="Times New Roman" w:hAnsi="Times New Roman"/>
          <w:sz w:val="28"/>
          <w:szCs w:val="28"/>
          <w:lang w:eastAsia="ru-RU"/>
        </w:rPr>
      </w:pPr>
    </w:p>
    <w:p w:rsidR="00B20BA4" w:rsidRDefault="00B20BA4" w:rsidP="00F71B34">
      <w:pPr>
        <w:spacing w:after="0" w:line="360" w:lineRule="auto"/>
        <w:ind w:left="57" w:firstLine="651"/>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Независимо от давности заболевания РА статистически значимых различий уровня МПК и Т-критерия в поясничном отделе позвоночника на фоне лечения относительно исходных данных как в группе больных с комбинированной терапией РТМ и МТХ, так и в группе пациентов с монотерапией МТХ не отмечено.</w:t>
      </w:r>
    </w:p>
    <w:p w:rsidR="00165967" w:rsidRPr="00F71B34" w:rsidRDefault="00165967" w:rsidP="00F71B34">
      <w:pPr>
        <w:spacing w:after="0" w:line="360" w:lineRule="auto"/>
        <w:ind w:left="57" w:firstLine="651"/>
        <w:jc w:val="both"/>
        <w:rPr>
          <w:rFonts w:ascii="Times New Roman" w:eastAsia="Times New Roman" w:hAnsi="Times New Roman"/>
          <w:sz w:val="28"/>
          <w:szCs w:val="28"/>
          <w:lang w:eastAsia="ru-RU"/>
        </w:rPr>
      </w:pPr>
      <w:proofErr w:type="gramStart"/>
      <w:r w:rsidRPr="00F71B34">
        <w:rPr>
          <w:rFonts w:ascii="Times New Roman" w:eastAsia="Times New Roman" w:hAnsi="Times New Roman"/>
          <w:sz w:val="28"/>
          <w:szCs w:val="28"/>
          <w:lang w:eastAsia="ru-RU"/>
        </w:rPr>
        <w:t>При анализе динамики МПК установлено, что независимо от длительности заболевания Δ</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шейки бедра в группе больных с комбинированной терапией РТМ и МТХ статистически значимо больше данного показателя в группе пациентов с монотерапией МТХ, в то время как в поясничном отделе позвоночника Δ</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группы 1 и группы 2 достоверно не различались (табл. 10).</w:t>
      </w:r>
      <w:proofErr w:type="gramEnd"/>
    </w:p>
    <w:p w:rsidR="00B20BA4" w:rsidRDefault="00B20BA4" w:rsidP="00F71B34">
      <w:pPr>
        <w:spacing w:after="0" w:line="360" w:lineRule="auto"/>
        <w:ind w:left="57" w:firstLine="651"/>
        <w:jc w:val="both"/>
        <w:rPr>
          <w:rFonts w:ascii="Times New Roman" w:eastAsia="Times New Roman" w:hAnsi="Times New Roman"/>
          <w:sz w:val="28"/>
          <w:szCs w:val="28"/>
          <w:lang w:eastAsia="ru-RU"/>
        </w:rPr>
      </w:pPr>
    </w:p>
    <w:p w:rsidR="002C3A1C" w:rsidRPr="00F71B34" w:rsidRDefault="002C3A1C" w:rsidP="00F71B34">
      <w:pPr>
        <w:spacing w:after="0" w:line="360" w:lineRule="auto"/>
        <w:ind w:left="57" w:firstLine="651"/>
        <w:jc w:val="both"/>
        <w:rPr>
          <w:rFonts w:ascii="Times New Roman" w:eastAsia="Times New Roman" w:hAnsi="Times New Roman"/>
          <w:sz w:val="28"/>
          <w:szCs w:val="28"/>
          <w:lang w:eastAsia="ru-RU"/>
        </w:rPr>
      </w:pPr>
    </w:p>
    <w:p w:rsidR="00B20BA4" w:rsidRDefault="00165967" w:rsidP="00F71B34">
      <w:pPr>
        <w:spacing w:after="0" w:line="360" w:lineRule="auto"/>
        <w:ind w:firstLine="708"/>
        <w:jc w:val="both"/>
        <w:rPr>
          <w:rFonts w:ascii="Times New Roman" w:eastAsia="Times New Roman" w:hAnsi="Times New Roman"/>
          <w:sz w:val="28"/>
          <w:szCs w:val="28"/>
          <w:lang w:eastAsia="ru-RU"/>
        </w:rPr>
      </w:pPr>
      <w:r w:rsidRPr="0059597F">
        <w:rPr>
          <w:rFonts w:ascii="Times New Roman" w:eastAsia="Times New Roman" w:hAnsi="Times New Roman"/>
          <w:spacing w:val="40"/>
          <w:sz w:val="28"/>
          <w:szCs w:val="28"/>
          <w:lang w:eastAsia="ru-RU"/>
        </w:rPr>
        <w:lastRenderedPageBreak/>
        <w:t>Таблица</w:t>
      </w:r>
      <w:r w:rsidR="00B20BA4" w:rsidRPr="00F71B34">
        <w:rPr>
          <w:rFonts w:ascii="Times New Roman" w:eastAsia="Times New Roman" w:hAnsi="Times New Roman"/>
          <w:sz w:val="28"/>
          <w:szCs w:val="28"/>
          <w:lang w:eastAsia="ru-RU"/>
        </w:rPr>
        <w:t xml:space="preserve"> 10</w:t>
      </w:r>
      <w:r w:rsidR="00CD2EDC">
        <w:rPr>
          <w:rFonts w:ascii="Times New Roman" w:eastAsia="Times New Roman" w:hAnsi="Times New Roman"/>
          <w:sz w:val="28"/>
          <w:szCs w:val="28"/>
          <w:lang w:eastAsia="ru-RU"/>
        </w:rPr>
        <w:t xml:space="preserve"> – </w:t>
      </w:r>
      <w:r w:rsidR="00F8440D" w:rsidRPr="00F71B34">
        <w:rPr>
          <w:rFonts w:ascii="Times New Roman" w:eastAsia="Times New Roman" w:hAnsi="Times New Roman"/>
          <w:sz w:val="28"/>
          <w:szCs w:val="28"/>
          <w:lang w:eastAsia="ru-RU"/>
        </w:rPr>
        <w:t>Δ</w:t>
      </w:r>
      <w:r w:rsidR="00F8440D">
        <w:rPr>
          <w:rFonts w:ascii="Times New Roman" w:eastAsia="Times New Roman" w:hAnsi="Times New Roman"/>
          <w:sz w:val="28"/>
          <w:szCs w:val="28"/>
          <w:lang w:eastAsia="ru-RU"/>
        </w:rPr>
        <w:t xml:space="preserve"> </w:t>
      </w:r>
      <w:r w:rsidR="00F8440D" w:rsidRPr="00F71B34">
        <w:rPr>
          <w:rFonts w:ascii="Times New Roman" w:eastAsia="Times New Roman" w:hAnsi="Times New Roman"/>
          <w:sz w:val="28"/>
          <w:szCs w:val="28"/>
          <w:lang w:eastAsia="ru-RU"/>
        </w:rPr>
        <w:t xml:space="preserve">МПК </w:t>
      </w:r>
      <w:r w:rsidR="00B20BA4" w:rsidRPr="00F71B34">
        <w:rPr>
          <w:rFonts w:ascii="Times New Roman" w:eastAsia="Times New Roman" w:hAnsi="Times New Roman"/>
          <w:sz w:val="28"/>
          <w:szCs w:val="28"/>
          <w:lang w:eastAsia="ru-RU"/>
        </w:rPr>
        <w:t>шейки бедра и поясничного отдела позвоночника у больных РА в зависимости от длительности заболевания и варианта терапии (М±m)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703"/>
        <w:gridCol w:w="4466"/>
      </w:tblGrid>
      <w:tr w:rsidR="00165967" w:rsidRPr="00DC52BB" w:rsidTr="00165967">
        <w:trPr>
          <w:trHeight w:val="586"/>
        </w:trPr>
        <w:tc>
          <w:tcPr>
            <w:tcW w:w="1464" w:type="pct"/>
            <w:vMerge w:val="restart"/>
            <w:tcBorders>
              <w:top w:val="single" w:sz="4" w:space="0" w:color="auto"/>
              <w:left w:val="single" w:sz="4" w:space="0" w:color="auto"/>
              <w:right w:val="single" w:sz="4" w:space="0" w:color="auto"/>
            </w:tcBorders>
            <w:vAlign w:val="center"/>
          </w:tcPr>
          <w:p w:rsidR="00165967" w:rsidRPr="00DC52BB" w:rsidRDefault="00165967" w:rsidP="00165967">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Групп</w:t>
            </w:r>
            <w:r>
              <w:rPr>
                <w:rFonts w:ascii="Times New Roman" w:hAnsi="Times New Roman"/>
                <w:sz w:val="24"/>
                <w:szCs w:val="24"/>
                <w:lang w:eastAsia="ru-RU"/>
              </w:rPr>
              <w:t>а</w:t>
            </w:r>
            <w:r w:rsidRPr="00DC52BB">
              <w:rPr>
                <w:rFonts w:ascii="Times New Roman" w:hAnsi="Times New Roman"/>
                <w:sz w:val="24"/>
                <w:szCs w:val="24"/>
                <w:lang w:eastAsia="ru-RU"/>
              </w:rPr>
              <w:t xml:space="preserve"> больных </w:t>
            </w:r>
          </w:p>
          <w:p w:rsidR="00165967" w:rsidRPr="00DC52BB" w:rsidRDefault="00165967" w:rsidP="00165967">
            <w:pPr>
              <w:spacing w:after="0" w:line="360" w:lineRule="auto"/>
              <w:ind w:right="-82"/>
              <w:jc w:val="center"/>
              <w:rPr>
                <w:rFonts w:ascii="Times New Roman" w:hAnsi="Times New Roman"/>
                <w:sz w:val="24"/>
                <w:szCs w:val="24"/>
                <w:lang w:eastAsia="ru-RU"/>
              </w:rPr>
            </w:pPr>
            <w:proofErr w:type="gramStart"/>
            <w:r w:rsidRPr="00DC52BB">
              <w:rPr>
                <w:rFonts w:ascii="Times New Roman" w:hAnsi="Times New Roman"/>
                <w:sz w:val="24"/>
                <w:szCs w:val="24"/>
                <w:lang w:eastAsia="ru-RU"/>
              </w:rPr>
              <w:t xml:space="preserve">(А – &lt;10 лет, </w:t>
            </w:r>
            <w:proofErr w:type="gramEnd"/>
          </w:p>
          <w:p w:rsidR="00165967" w:rsidRPr="00DC52BB" w:rsidRDefault="00165967" w:rsidP="00165967">
            <w:pPr>
              <w:spacing w:after="0" w:line="360" w:lineRule="auto"/>
              <w:ind w:right="-82"/>
              <w:jc w:val="center"/>
              <w:rPr>
                <w:rFonts w:ascii="Times New Roman" w:hAnsi="Times New Roman"/>
                <w:sz w:val="24"/>
                <w:szCs w:val="24"/>
                <w:lang w:eastAsia="ru-RU"/>
              </w:rPr>
            </w:pPr>
            <w:proofErr w:type="gramStart"/>
            <w:r w:rsidRPr="00DC52BB">
              <w:rPr>
                <w:rFonts w:ascii="Times New Roman" w:hAnsi="Times New Roman"/>
                <w:sz w:val="24"/>
                <w:szCs w:val="24"/>
                <w:lang w:eastAsia="ru-RU"/>
              </w:rPr>
              <w:t>В – ≥10 лет)</w:t>
            </w:r>
            <w:proofErr w:type="gramEnd"/>
          </w:p>
        </w:tc>
        <w:tc>
          <w:tcPr>
            <w:tcW w:w="3536" w:type="pct"/>
            <w:gridSpan w:val="2"/>
            <w:tcBorders>
              <w:top w:val="single" w:sz="4" w:space="0" w:color="auto"/>
              <w:left w:val="single" w:sz="4" w:space="0" w:color="auto"/>
              <w:bottom w:val="single" w:sz="4" w:space="0" w:color="auto"/>
              <w:right w:val="single" w:sz="4" w:space="0" w:color="auto"/>
            </w:tcBorders>
            <w:vAlign w:val="center"/>
          </w:tcPr>
          <w:p w:rsidR="00165967" w:rsidRPr="00DC52BB" w:rsidRDefault="00165967" w:rsidP="00165967">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Δ МПК</w:t>
            </w:r>
          </w:p>
        </w:tc>
      </w:tr>
      <w:tr w:rsidR="00165967" w:rsidRPr="00DC52BB" w:rsidTr="00B27E28">
        <w:tc>
          <w:tcPr>
            <w:tcW w:w="1464" w:type="pct"/>
            <w:vMerge/>
            <w:tcBorders>
              <w:left w:val="single" w:sz="4" w:space="0" w:color="auto"/>
              <w:bottom w:val="single" w:sz="4" w:space="0" w:color="auto"/>
              <w:right w:val="single" w:sz="4" w:space="0" w:color="auto"/>
            </w:tcBorders>
            <w:vAlign w:val="center"/>
          </w:tcPr>
          <w:p w:rsidR="00165967" w:rsidRPr="00DC52BB" w:rsidRDefault="00165967" w:rsidP="00165967">
            <w:pPr>
              <w:spacing w:after="0" w:line="360" w:lineRule="auto"/>
              <w:ind w:right="-82"/>
              <w:jc w:val="center"/>
              <w:rPr>
                <w:rFonts w:ascii="Times New Roman" w:hAnsi="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vAlign w:val="center"/>
          </w:tcPr>
          <w:p w:rsidR="00165967" w:rsidRPr="00DC52BB" w:rsidRDefault="00165967" w:rsidP="00165967">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шейки бедра</w:t>
            </w:r>
            <w:proofErr w:type="gramStart"/>
            <w:r w:rsidR="00F8440D">
              <w:rPr>
                <w:rFonts w:ascii="Times New Roman" w:hAnsi="Times New Roman"/>
                <w:sz w:val="24"/>
                <w:szCs w:val="24"/>
                <w:lang w:eastAsia="ru-RU"/>
              </w:rPr>
              <w:t xml:space="preserve"> (%)</w:t>
            </w:r>
            <w:proofErr w:type="gramEnd"/>
          </w:p>
        </w:tc>
        <w:tc>
          <w:tcPr>
            <w:tcW w:w="2203" w:type="pct"/>
            <w:tcBorders>
              <w:top w:val="single" w:sz="4" w:space="0" w:color="auto"/>
              <w:left w:val="single" w:sz="4" w:space="0" w:color="auto"/>
              <w:bottom w:val="single" w:sz="4" w:space="0" w:color="auto"/>
              <w:right w:val="single" w:sz="4" w:space="0" w:color="auto"/>
            </w:tcBorders>
            <w:vAlign w:val="center"/>
          </w:tcPr>
          <w:p w:rsidR="00165967" w:rsidRPr="00DC52BB" w:rsidRDefault="00165967" w:rsidP="00165967">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поясничного отдела позвоночника</w:t>
            </w:r>
            <w:proofErr w:type="gramStart"/>
            <w:r w:rsidR="00F8440D">
              <w:rPr>
                <w:rFonts w:ascii="Times New Roman" w:hAnsi="Times New Roman"/>
                <w:sz w:val="24"/>
                <w:szCs w:val="24"/>
                <w:lang w:eastAsia="ru-RU"/>
              </w:rPr>
              <w:t xml:space="preserve"> (%)</w:t>
            </w:r>
            <w:proofErr w:type="gramEnd"/>
          </w:p>
        </w:tc>
      </w:tr>
      <w:tr w:rsidR="00FA0EC9" w:rsidRPr="00DC52BB" w:rsidTr="00B27E28">
        <w:tc>
          <w:tcPr>
            <w:tcW w:w="1464" w:type="pct"/>
            <w:tcBorders>
              <w:top w:val="single" w:sz="4" w:space="0" w:color="auto"/>
              <w:left w:val="single" w:sz="4" w:space="0" w:color="auto"/>
              <w:bottom w:val="single" w:sz="4" w:space="0" w:color="auto"/>
              <w:right w:val="single" w:sz="4" w:space="0" w:color="auto"/>
            </w:tcBorders>
            <w:vAlign w:val="center"/>
          </w:tcPr>
          <w:p w:rsidR="00FA0EC9" w:rsidRPr="00654A6C" w:rsidRDefault="00FA0EC9" w:rsidP="00C956FF">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1333" w:type="pct"/>
            <w:tcBorders>
              <w:top w:val="single" w:sz="4" w:space="0" w:color="auto"/>
              <w:left w:val="single" w:sz="4" w:space="0" w:color="auto"/>
              <w:bottom w:val="single" w:sz="4" w:space="0" w:color="auto"/>
              <w:right w:val="single" w:sz="4" w:space="0" w:color="auto"/>
            </w:tcBorders>
            <w:vAlign w:val="center"/>
          </w:tcPr>
          <w:p w:rsidR="00FA0EC9" w:rsidRPr="00DC52BB" w:rsidRDefault="009A064C" w:rsidP="009A064C">
            <w:pPr>
              <w:spacing w:after="0" w:line="360" w:lineRule="auto"/>
              <w:ind w:right="-82"/>
              <w:jc w:val="center"/>
              <w:rPr>
                <w:rFonts w:ascii="Times New Roman" w:hAnsi="Times New Roman"/>
                <w:sz w:val="24"/>
                <w:szCs w:val="24"/>
                <w:lang w:eastAsia="ru-RU"/>
              </w:rPr>
            </w:pPr>
            <w:r>
              <w:rPr>
                <w:rFonts w:ascii="Times New Roman" w:hAnsi="Times New Roman"/>
                <w:sz w:val="24"/>
                <w:szCs w:val="24"/>
                <w:lang w:eastAsia="ru-RU"/>
              </w:rPr>
              <w:t>4,87</w:t>
            </w:r>
            <w:r w:rsidR="00FA0EC9" w:rsidRPr="00DC52BB">
              <w:rPr>
                <w:rFonts w:ascii="Times New Roman" w:hAnsi="Times New Roman"/>
                <w:sz w:val="24"/>
                <w:szCs w:val="24"/>
                <w:lang w:eastAsia="ru-RU"/>
              </w:rPr>
              <w:t>±</w:t>
            </w:r>
            <w:r>
              <w:rPr>
                <w:rFonts w:ascii="Times New Roman" w:hAnsi="Times New Roman"/>
                <w:sz w:val="24"/>
                <w:szCs w:val="24"/>
                <w:lang w:eastAsia="ru-RU"/>
              </w:rPr>
              <w:t>2,23</w:t>
            </w:r>
          </w:p>
        </w:tc>
        <w:tc>
          <w:tcPr>
            <w:tcW w:w="220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9A064C">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w:t>
            </w:r>
            <w:r w:rsidR="009A064C">
              <w:rPr>
                <w:rFonts w:ascii="Times New Roman" w:hAnsi="Times New Roman"/>
                <w:sz w:val="24"/>
                <w:szCs w:val="24"/>
                <w:lang w:eastAsia="ru-RU"/>
              </w:rPr>
              <w:t>1,92</w:t>
            </w:r>
            <w:r w:rsidRPr="00DC52BB">
              <w:rPr>
                <w:rFonts w:ascii="Times New Roman" w:hAnsi="Times New Roman"/>
                <w:sz w:val="24"/>
                <w:szCs w:val="24"/>
                <w:lang w:eastAsia="ru-RU"/>
              </w:rPr>
              <w:t>±</w:t>
            </w:r>
            <w:r w:rsidR="009A064C">
              <w:rPr>
                <w:rFonts w:ascii="Times New Roman" w:hAnsi="Times New Roman"/>
                <w:sz w:val="24"/>
                <w:szCs w:val="24"/>
                <w:lang w:eastAsia="ru-RU"/>
              </w:rPr>
              <w:t>1,20</w:t>
            </w:r>
          </w:p>
        </w:tc>
      </w:tr>
      <w:tr w:rsidR="00FA0EC9" w:rsidRPr="00DC52BB" w:rsidTr="00B27E28">
        <w:tc>
          <w:tcPr>
            <w:tcW w:w="1464" w:type="pct"/>
            <w:tcBorders>
              <w:top w:val="single" w:sz="4" w:space="0" w:color="auto"/>
              <w:left w:val="single" w:sz="4" w:space="0" w:color="auto"/>
              <w:bottom w:val="single" w:sz="4" w:space="0" w:color="auto"/>
              <w:right w:val="single" w:sz="4" w:space="0" w:color="auto"/>
            </w:tcBorders>
            <w:vAlign w:val="center"/>
          </w:tcPr>
          <w:p w:rsidR="00FA0EC9" w:rsidRPr="00654A6C" w:rsidRDefault="00FA0EC9" w:rsidP="00C956FF">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1333" w:type="pct"/>
            <w:tcBorders>
              <w:top w:val="single" w:sz="4" w:space="0" w:color="auto"/>
              <w:left w:val="single" w:sz="4" w:space="0" w:color="auto"/>
              <w:bottom w:val="single" w:sz="4" w:space="0" w:color="auto"/>
              <w:right w:val="single" w:sz="4" w:space="0" w:color="auto"/>
            </w:tcBorders>
            <w:vAlign w:val="center"/>
          </w:tcPr>
          <w:p w:rsidR="00FA0EC9" w:rsidRPr="00DC52BB" w:rsidRDefault="009A064C" w:rsidP="009A064C">
            <w:pPr>
              <w:spacing w:after="0" w:line="360" w:lineRule="auto"/>
              <w:ind w:right="-82"/>
              <w:jc w:val="center"/>
              <w:rPr>
                <w:rFonts w:ascii="Times New Roman" w:hAnsi="Times New Roman"/>
                <w:sz w:val="24"/>
                <w:szCs w:val="24"/>
                <w:lang w:eastAsia="ru-RU"/>
              </w:rPr>
            </w:pPr>
            <w:r>
              <w:rPr>
                <w:rFonts w:ascii="Times New Roman" w:hAnsi="Times New Roman"/>
                <w:sz w:val="24"/>
                <w:szCs w:val="24"/>
                <w:lang w:eastAsia="ru-RU"/>
              </w:rPr>
              <w:t>7,92</w:t>
            </w:r>
            <w:r w:rsidR="00FA0EC9" w:rsidRPr="00DC52BB">
              <w:rPr>
                <w:rFonts w:ascii="Times New Roman" w:hAnsi="Times New Roman"/>
                <w:sz w:val="24"/>
                <w:szCs w:val="24"/>
                <w:lang w:eastAsia="ru-RU"/>
              </w:rPr>
              <w:t>±</w:t>
            </w:r>
            <w:r>
              <w:rPr>
                <w:rFonts w:ascii="Times New Roman" w:hAnsi="Times New Roman"/>
                <w:sz w:val="24"/>
                <w:szCs w:val="24"/>
                <w:lang w:eastAsia="ru-RU"/>
              </w:rPr>
              <w:t>1,37</w:t>
            </w:r>
          </w:p>
        </w:tc>
        <w:tc>
          <w:tcPr>
            <w:tcW w:w="220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9A064C">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w:t>
            </w:r>
            <w:r w:rsidR="009A064C">
              <w:rPr>
                <w:rFonts w:ascii="Times New Roman" w:hAnsi="Times New Roman"/>
                <w:sz w:val="24"/>
                <w:szCs w:val="24"/>
                <w:lang w:eastAsia="ru-RU"/>
              </w:rPr>
              <w:t>1,33</w:t>
            </w:r>
            <w:r w:rsidRPr="00DC52BB">
              <w:rPr>
                <w:rFonts w:ascii="Times New Roman" w:hAnsi="Times New Roman"/>
                <w:sz w:val="24"/>
                <w:szCs w:val="24"/>
                <w:lang w:eastAsia="ru-RU"/>
              </w:rPr>
              <w:t>±</w:t>
            </w:r>
            <w:r w:rsidR="009A064C">
              <w:rPr>
                <w:rFonts w:ascii="Times New Roman" w:hAnsi="Times New Roman"/>
                <w:sz w:val="24"/>
                <w:szCs w:val="24"/>
                <w:lang w:eastAsia="ru-RU"/>
              </w:rPr>
              <w:t>1,83</w:t>
            </w:r>
          </w:p>
        </w:tc>
      </w:tr>
      <w:tr w:rsidR="00FA0EC9" w:rsidRPr="00DC52BB" w:rsidTr="00B27E28">
        <w:tc>
          <w:tcPr>
            <w:tcW w:w="1464" w:type="pct"/>
            <w:tcBorders>
              <w:top w:val="single" w:sz="4" w:space="0" w:color="auto"/>
              <w:left w:val="single" w:sz="4" w:space="0" w:color="auto"/>
              <w:bottom w:val="single" w:sz="4" w:space="0" w:color="auto"/>
              <w:right w:val="single" w:sz="4" w:space="0" w:color="auto"/>
            </w:tcBorders>
            <w:vAlign w:val="center"/>
          </w:tcPr>
          <w:p w:rsidR="00FA0EC9" w:rsidRPr="00654A6C" w:rsidRDefault="00FA0EC9" w:rsidP="00C956FF">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133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9A064C">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w:t>
            </w:r>
            <w:r w:rsidR="009A064C">
              <w:rPr>
                <w:rFonts w:ascii="Times New Roman" w:hAnsi="Times New Roman"/>
                <w:sz w:val="24"/>
                <w:szCs w:val="24"/>
                <w:lang w:eastAsia="ru-RU"/>
              </w:rPr>
              <w:t>6,73</w:t>
            </w:r>
            <w:r w:rsidRPr="00DC52BB">
              <w:rPr>
                <w:rFonts w:ascii="Times New Roman" w:hAnsi="Times New Roman"/>
                <w:sz w:val="24"/>
                <w:szCs w:val="24"/>
                <w:lang w:eastAsia="ru-RU"/>
              </w:rPr>
              <w:t>±</w:t>
            </w:r>
            <w:r w:rsidR="009A064C">
              <w:rPr>
                <w:rFonts w:ascii="Times New Roman" w:hAnsi="Times New Roman"/>
                <w:sz w:val="24"/>
                <w:szCs w:val="24"/>
                <w:lang w:eastAsia="ru-RU"/>
              </w:rPr>
              <w:t>1,74</w:t>
            </w:r>
          </w:p>
        </w:tc>
        <w:tc>
          <w:tcPr>
            <w:tcW w:w="220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9A064C">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w:t>
            </w:r>
            <w:r w:rsidR="009A064C">
              <w:rPr>
                <w:rFonts w:ascii="Times New Roman" w:hAnsi="Times New Roman"/>
                <w:sz w:val="24"/>
                <w:szCs w:val="24"/>
                <w:lang w:eastAsia="ru-RU"/>
              </w:rPr>
              <w:t>2,68</w:t>
            </w:r>
            <w:r w:rsidRPr="00DC52BB">
              <w:rPr>
                <w:rFonts w:ascii="Times New Roman" w:hAnsi="Times New Roman"/>
                <w:sz w:val="24"/>
                <w:szCs w:val="24"/>
                <w:lang w:eastAsia="ru-RU"/>
              </w:rPr>
              <w:t>±0,</w:t>
            </w:r>
            <w:r w:rsidR="009A064C">
              <w:rPr>
                <w:rFonts w:ascii="Times New Roman" w:hAnsi="Times New Roman"/>
                <w:sz w:val="24"/>
                <w:szCs w:val="24"/>
                <w:lang w:eastAsia="ru-RU"/>
              </w:rPr>
              <w:t>81</w:t>
            </w:r>
          </w:p>
        </w:tc>
      </w:tr>
      <w:tr w:rsidR="00FA0EC9" w:rsidRPr="00DC52BB" w:rsidTr="00B27E28">
        <w:tc>
          <w:tcPr>
            <w:tcW w:w="1464" w:type="pct"/>
            <w:tcBorders>
              <w:top w:val="single" w:sz="4" w:space="0" w:color="auto"/>
              <w:left w:val="single" w:sz="4" w:space="0" w:color="auto"/>
              <w:bottom w:val="single" w:sz="4" w:space="0" w:color="auto"/>
              <w:right w:val="single" w:sz="4" w:space="0" w:color="auto"/>
            </w:tcBorders>
            <w:vAlign w:val="center"/>
          </w:tcPr>
          <w:p w:rsidR="00FA0EC9" w:rsidRPr="00654A6C" w:rsidRDefault="00FA0EC9" w:rsidP="00C956FF">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1333" w:type="pct"/>
            <w:tcBorders>
              <w:top w:val="single" w:sz="4" w:space="0" w:color="auto"/>
              <w:left w:val="single" w:sz="4" w:space="0" w:color="auto"/>
              <w:bottom w:val="single" w:sz="4" w:space="0" w:color="auto"/>
              <w:right w:val="single" w:sz="4" w:space="0" w:color="auto"/>
            </w:tcBorders>
            <w:vAlign w:val="center"/>
          </w:tcPr>
          <w:p w:rsidR="00FA0EC9" w:rsidRPr="00DC52BB" w:rsidRDefault="006E4BBF" w:rsidP="009A064C">
            <w:pPr>
              <w:spacing w:after="0" w:line="360" w:lineRule="auto"/>
              <w:ind w:right="-82"/>
              <w:jc w:val="center"/>
              <w:rPr>
                <w:rFonts w:ascii="Times New Roman" w:hAnsi="Times New Roman"/>
                <w:sz w:val="24"/>
                <w:szCs w:val="24"/>
                <w:lang w:eastAsia="ru-RU"/>
              </w:rPr>
            </w:pPr>
            <w:r>
              <w:rPr>
                <w:rFonts w:ascii="Times New Roman" w:hAnsi="Times New Roman"/>
                <w:sz w:val="24"/>
                <w:szCs w:val="24"/>
                <w:lang w:eastAsia="ru-RU"/>
              </w:rPr>
              <w:t>-</w:t>
            </w:r>
            <w:r w:rsidR="009A064C">
              <w:rPr>
                <w:rFonts w:ascii="Times New Roman" w:hAnsi="Times New Roman"/>
                <w:sz w:val="24"/>
                <w:szCs w:val="24"/>
                <w:lang w:eastAsia="ru-RU"/>
              </w:rPr>
              <w:t>0,45</w:t>
            </w:r>
            <w:r w:rsidR="00FA0EC9" w:rsidRPr="00DC52BB">
              <w:rPr>
                <w:rFonts w:ascii="Times New Roman" w:hAnsi="Times New Roman"/>
                <w:sz w:val="24"/>
                <w:szCs w:val="24"/>
                <w:lang w:eastAsia="ru-RU"/>
              </w:rPr>
              <w:t>±</w:t>
            </w:r>
            <w:r w:rsidR="009A064C">
              <w:rPr>
                <w:rFonts w:ascii="Times New Roman" w:hAnsi="Times New Roman"/>
                <w:sz w:val="24"/>
                <w:szCs w:val="24"/>
                <w:lang w:eastAsia="ru-RU"/>
              </w:rPr>
              <w:t>1,72</w:t>
            </w:r>
          </w:p>
        </w:tc>
        <w:tc>
          <w:tcPr>
            <w:tcW w:w="220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9A064C">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w:t>
            </w:r>
            <w:r w:rsidR="009A064C">
              <w:rPr>
                <w:rFonts w:ascii="Times New Roman" w:hAnsi="Times New Roman"/>
                <w:sz w:val="24"/>
                <w:szCs w:val="24"/>
                <w:lang w:eastAsia="ru-RU"/>
              </w:rPr>
              <w:t>8,32</w:t>
            </w:r>
            <w:r w:rsidRPr="00DC52BB">
              <w:rPr>
                <w:rFonts w:ascii="Times New Roman" w:hAnsi="Times New Roman"/>
                <w:sz w:val="24"/>
                <w:szCs w:val="24"/>
                <w:lang w:eastAsia="ru-RU"/>
              </w:rPr>
              <w:t>±</w:t>
            </w:r>
            <w:r w:rsidR="006E4BBF">
              <w:rPr>
                <w:rFonts w:ascii="Times New Roman" w:hAnsi="Times New Roman"/>
                <w:sz w:val="24"/>
                <w:szCs w:val="24"/>
                <w:lang w:eastAsia="ru-RU"/>
              </w:rPr>
              <w:t>4,</w:t>
            </w:r>
            <w:r w:rsidR="009A064C">
              <w:rPr>
                <w:rFonts w:ascii="Times New Roman" w:hAnsi="Times New Roman"/>
                <w:sz w:val="24"/>
                <w:szCs w:val="24"/>
                <w:lang w:eastAsia="ru-RU"/>
              </w:rPr>
              <w:t>37</w:t>
            </w:r>
          </w:p>
        </w:tc>
      </w:tr>
      <w:tr w:rsidR="00FA0EC9" w:rsidRPr="00DC52BB" w:rsidTr="00B27E28">
        <w:tc>
          <w:tcPr>
            <w:tcW w:w="1464" w:type="pct"/>
            <w:tcBorders>
              <w:top w:val="single" w:sz="4" w:space="0" w:color="auto"/>
              <w:left w:val="single" w:sz="4" w:space="0" w:color="auto"/>
              <w:bottom w:val="single" w:sz="4" w:space="0" w:color="auto"/>
              <w:right w:val="single" w:sz="4" w:space="0" w:color="auto"/>
            </w:tcBorders>
            <w:vAlign w:val="center"/>
          </w:tcPr>
          <w:p w:rsidR="00FA0EC9" w:rsidRPr="00654A6C" w:rsidRDefault="00FA0EC9" w:rsidP="00C956FF">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val="en-US" w:eastAsia="ru-RU"/>
              </w:rPr>
              <w:t xml:space="preserve"> 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133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C150CE">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0,</w:t>
            </w:r>
            <w:r w:rsidR="00C150CE">
              <w:rPr>
                <w:rFonts w:ascii="Times New Roman" w:hAnsi="Times New Roman"/>
                <w:sz w:val="24"/>
                <w:szCs w:val="24"/>
                <w:lang w:eastAsia="ru-RU"/>
              </w:rPr>
              <w:t>268</w:t>
            </w:r>
          </w:p>
        </w:tc>
        <w:tc>
          <w:tcPr>
            <w:tcW w:w="220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C150CE">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0,6</w:t>
            </w:r>
            <w:r w:rsidR="00C150CE">
              <w:rPr>
                <w:rFonts w:ascii="Times New Roman" w:hAnsi="Times New Roman"/>
                <w:sz w:val="24"/>
                <w:szCs w:val="24"/>
                <w:lang w:eastAsia="ru-RU"/>
              </w:rPr>
              <w:t>4</w:t>
            </w:r>
            <w:r w:rsidRPr="00DC52BB">
              <w:rPr>
                <w:rFonts w:ascii="Times New Roman" w:hAnsi="Times New Roman"/>
                <w:sz w:val="24"/>
                <w:szCs w:val="24"/>
                <w:lang w:eastAsia="ru-RU"/>
              </w:rPr>
              <w:t>0</w:t>
            </w:r>
          </w:p>
        </w:tc>
      </w:tr>
      <w:tr w:rsidR="00FA0EC9" w:rsidRPr="00DC52BB" w:rsidTr="00B27E28">
        <w:tc>
          <w:tcPr>
            <w:tcW w:w="1464" w:type="pct"/>
            <w:tcBorders>
              <w:top w:val="single" w:sz="4" w:space="0" w:color="auto"/>
              <w:left w:val="single" w:sz="4" w:space="0" w:color="auto"/>
              <w:bottom w:val="single" w:sz="4" w:space="0" w:color="auto"/>
              <w:right w:val="single" w:sz="4" w:space="0" w:color="auto"/>
            </w:tcBorders>
            <w:vAlign w:val="center"/>
          </w:tcPr>
          <w:p w:rsidR="00FA0EC9" w:rsidRPr="00654A6C" w:rsidRDefault="00FA0EC9" w:rsidP="00C956FF">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1333" w:type="pct"/>
            <w:tcBorders>
              <w:top w:val="single" w:sz="4" w:space="0" w:color="auto"/>
              <w:left w:val="single" w:sz="4" w:space="0" w:color="auto"/>
              <w:bottom w:val="single" w:sz="4" w:space="0" w:color="auto"/>
              <w:right w:val="single" w:sz="4" w:space="0" w:color="auto"/>
            </w:tcBorders>
            <w:vAlign w:val="center"/>
          </w:tcPr>
          <w:p w:rsidR="00FA0EC9" w:rsidRPr="00DC52BB" w:rsidRDefault="00C150CE" w:rsidP="00C150CE">
            <w:pPr>
              <w:spacing w:after="0" w:line="360" w:lineRule="auto"/>
              <w:ind w:right="-82"/>
              <w:jc w:val="center"/>
              <w:rPr>
                <w:rFonts w:ascii="Times New Roman" w:hAnsi="Times New Roman"/>
                <w:sz w:val="24"/>
                <w:szCs w:val="24"/>
                <w:lang w:eastAsia="ru-RU"/>
              </w:rPr>
            </w:pPr>
            <w:r>
              <w:rPr>
                <w:rFonts w:ascii="Times New Roman" w:hAnsi="Times New Roman"/>
                <w:sz w:val="24"/>
                <w:szCs w:val="24"/>
                <w:lang w:eastAsia="ru-RU"/>
              </w:rPr>
              <w:t>0,051</w:t>
            </w:r>
          </w:p>
        </w:tc>
        <w:tc>
          <w:tcPr>
            <w:tcW w:w="220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C150CE">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0,</w:t>
            </w:r>
            <w:r w:rsidR="00C150CE">
              <w:rPr>
                <w:rFonts w:ascii="Times New Roman" w:hAnsi="Times New Roman"/>
                <w:sz w:val="24"/>
                <w:szCs w:val="24"/>
                <w:lang w:eastAsia="ru-RU"/>
              </w:rPr>
              <w:t>24</w:t>
            </w:r>
            <w:r w:rsidRPr="00DC52BB">
              <w:rPr>
                <w:rFonts w:ascii="Times New Roman" w:hAnsi="Times New Roman"/>
                <w:sz w:val="24"/>
                <w:szCs w:val="24"/>
                <w:lang w:eastAsia="ru-RU"/>
              </w:rPr>
              <w:t>7</w:t>
            </w:r>
          </w:p>
        </w:tc>
      </w:tr>
      <w:tr w:rsidR="00FA0EC9" w:rsidRPr="00DC52BB" w:rsidTr="00B27E28">
        <w:tc>
          <w:tcPr>
            <w:tcW w:w="1464" w:type="pct"/>
            <w:tcBorders>
              <w:top w:val="single" w:sz="4" w:space="0" w:color="auto"/>
              <w:left w:val="single" w:sz="4" w:space="0" w:color="auto"/>
              <w:bottom w:val="single" w:sz="4" w:space="0" w:color="auto"/>
              <w:right w:val="single" w:sz="4" w:space="0" w:color="auto"/>
            </w:tcBorders>
            <w:vAlign w:val="center"/>
          </w:tcPr>
          <w:p w:rsidR="00FA0EC9" w:rsidRPr="00654A6C" w:rsidRDefault="00FA0EC9" w:rsidP="00C956FF">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133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9A064C">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0,00</w:t>
            </w:r>
            <w:r w:rsidR="009A064C">
              <w:rPr>
                <w:rFonts w:ascii="Times New Roman" w:hAnsi="Times New Roman"/>
                <w:sz w:val="24"/>
                <w:szCs w:val="24"/>
                <w:lang w:eastAsia="ru-RU"/>
              </w:rPr>
              <w:t>9</w:t>
            </w:r>
          </w:p>
        </w:tc>
        <w:tc>
          <w:tcPr>
            <w:tcW w:w="220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9A064C">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0,4</w:t>
            </w:r>
            <w:r w:rsidR="009A064C">
              <w:rPr>
                <w:rFonts w:ascii="Times New Roman" w:hAnsi="Times New Roman"/>
                <w:sz w:val="24"/>
                <w:szCs w:val="24"/>
                <w:lang w:eastAsia="ru-RU"/>
              </w:rPr>
              <w:t>75</w:t>
            </w:r>
          </w:p>
        </w:tc>
      </w:tr>
      <w:tr w:rsidR="00FA0EC9" w:rsidRPr="00DC52BB" w:rsidTr="00B27E28">
        <w:tc>
          <w:tcPr>
            <w:tcW w:w="1464" w:type="pct"/>
            <w:tcBorders>
              <w:top w:val="single" w:sz="4" w:space="0" w:color="auto"/>
              <w:left w:val="single" w:sz="4" w:space="0" w:color="auto"/>
              <w:bottom w:val="single" w:sz="4" w:space="0" w:color="auto"/>
              <w:right w:val="single" w:sz="4" w:space="0" w:color="auto"/>
            </w:tcBorders>
            <w:vAlign w:val="center"/>
          </w:tcPr>
          <w:p w:rsidR="00FA0EC9" w:rsidRPr="00654A6C" w:rsidRDefault="00FA0EC9" w:rsidP="00C956FF">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1333" w:type="pct"/>
            <w:tcBorders>
              <w:top w:val="single" w:sz="4" w:space="0" w:color="auto"/>
              <w:left w:val="single" w:sz="4" w:space="0" w:color="auto"/>
              <w:bottom w:val="single" w:sz="4" w:space="0" w:color="auto"/>
              <w:right w:val="single" w:sz="4" w:space="0" w:color="auto"/>
            </w:tcBorders>
            <w:vAlign w:val="center"/>
          </w:tcPr>
          <w:p w:rsidR="00FA0EC9" w:rsidRPr="00DC52BB" w:rsidRDefault="0069775F" w:rsidP="006E4BBF">
            <w:pPr>
              <w:spacing w:after="0" w:line="360" w:lineRule="auto"/>
              <w:ind w:right="-82"/>
              <w:jc w:val="center"/>
              <w:rPr>
                <w:rFonts w:ascii="Times New Roman" w:hAnsi="Times New Roman"/>
                <w:sz w:val="24"/>
                <w:szCs w:val="24"/>
                <w:lang w:eastAsia="ru-RU"/>
              </w:rPr>
            </w:pPr>
            <w:r>
              <w:rPr>
                <w:rFonts w:ascii="Times New Roman" w:hAnsi="Times New Roman"/>
                <w:sz w:val="24"/>
                <w:szCs w:val="24"/>
                <w:lang w:eastAsia="ru-RU"/>
              </w:rPr>
              <w:t>0,003</w:t>
            </w:r>
          </w:p>
        </w:tc>
        <w:tc>
          <w:tcPr>
            <w:tcW w:w="2203" w:type="pct"/>
            <w:tcBorders>
              <w:top w:val="single" w:sz="4" w:space="0" w:color="auto"/>
              <w:left w:val="single" w:sz="4" w:space="0" w:color="auto"/>
              <w:bottom w:val="single" w:sz="4" w:space="0" w:color="auto"/>
              <w:right w:val="single" w:sz="4" w:space="0" w:color="auto"/>
            </w:tcBorders>
            <w:vAlign w:val="center"/>
          </w:tcPr>
          <w:p w:rsidR="00FA0EC9" w:rsidRPr="00DC52BB" w:rsidRDefault="00FA0EC9" w:rsidP="00056D5C">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0,</w:t>
            </w:r>
            <w:r w:rsidR="00056D5C">
              <w:rPr>
                <w:rFonts w:ascii="Times New Roman" w:hAnsi="Times New Roman"/>
                <w:sz w:val="24"/>
                <w:szCs w:val="24"/>
                <w:lang w:eastAsia="ru-RU"/>
              </w:rPr>
              <w:t>106</w:t>
            </w:r>
          </w:p>
        </w:tc>
      </w:tr>
    </w:tbl>
    <w:p w:rsidR="00B20BA4" w:rsidRPr="00F71B34" w:rsidRDefault="00B20BA4" w:rsidP="00F71B34">
      <w:pPr>
        <w:spacing w:after="0" w:line="360" w:lineRule="auto"/>
        <w:jc w:val="both"/>
        <w:rPr>
          <w:rFonts w:ascii="Times New Roman" w:eastAsia="Times New Roman" w:hAnsi="Times New Roman"/>
          <w:color w:val="FF0000"/>
          <w:sz w:val="28"/>
          <w:szCs w:val="28"/>
          <w:lang w:eastAsia="ru-RU"/>
        </w:rPr>
      </w:pPr>
    </w:p>
    <w:p w:rsidR="00FD3CED" w:rsidRPr="00F71B34" w:rsidRDefault="00165967" w:rsidP="00165967">
      <w:pPr>
        <w:spacing w:after="0" w:line="360" w:lineRule="auto"/>
        <w:ind w:left="1062"/>
        <w:jc w:val="both"/>
        <w:rPr>
          <w:rFonts w:ascii="Times New Roman" w:eastAsia="Times New Roman" w:hAnsi="Times New Roman"/>
          <w:sz w:val="28"/>
          <w:szCs w:val="28"/>
          <w:lang w:eastAsia="ru-RU"/>
        </w:rPr>
      </w:pPr>
      <w:r>
        <w:rPr>
          <w:color w:val="000000"/>
          <w:sz w:val="28"/>
          <w:szCs w:val="28"/>
        </w:rPr>
        <w:t xml:space="preserve">▪ </w:t>
      </w:r>
      <w:r w:rsidR="00FD3CED" w:rsidRPr="002C3A1C">
        <w:rPr>
          <w:rFonts w:ascii="Times New Roman" w:eastAsia="Times New Roman" w:hAnsi="Times New Roman"/>
          <w:sz w:val="28"/>
          <w:szCs w:val="28"/>
          <w:lang w:eastAsia="ru-RU"/>
        </w:rPr>
        <w:t>Динамика денситометрических показателей в зависимости от исходной активности РА</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proofErr w:type="gramStart"/>
      <w:r w:rsidRPr="00F71B34">
        <w:rPr>
          <w:rFonts w:ascii="Times New Roman" w:eastAsia="Times New Roman" w:hAnsi="Times New Roman"/>
          <w:sz w:val="28"/>
          <w:szCs w:val="28"/>
          <w:lang w:eastAsia="ru-RU"/>
        </w:rPr>
        <w:t xml:space="preserve">Для изучения </w:t>
      </w:r>
      <w:r w:rsidR="002A4224">
        <w:rPr>
          <w:rFonts w:ascii="Times New Roman" w:eastAsia="Times New Roman" w:hAnsi="Times New Roman"/>
          <w:sz w:val="28"/>
          <w:szCs w:val="28"/>
          <w:lang w:eastAsia="ru-RU"/>
        </w:rPr>
        <w:t xml:space="preserve">динамики </w:t>
      </w:r>
      <w:r w:rsidRPr="00F71B34">
        <w:rPr>
          <w:rFonts w:ascii="Times New Roman" w:eastAsia="Times New Roman" w:hAnsi="Times New Roman"/>
          <w:sz w:val="28"/>
          <w:szCs w:val="28"/>
          <w:lang w:eastAsia="ru-RU"/>
        </w:rPr>
        <w:t>денситометрически</w:t>
      </w:r>
      <w:r w:rsidR="002A4224">
        <w:rPr>
          <w:rFonts w:ascii="Times New Roman" w:eastAsia="Times New Roman" w:hAnsi="Times New Roman"/>
          <w:sz w:val="28"/>
          <w:szCs w:val="28"/>
          <w:lang w:eastAsia="ru-RU"/>
        </w:rPr>
        <w:t>х</w:t>
      </w:r>
      <w:r w:rsidRPr="00F71B34">
        <w:rPr>
          <w:rFonts w:ascii="Times New Roman" w:eastAsia="Times New Roman" w:hAnsi="Times New Roman"/>
          <w:sz w:val="28"/>
          <w:szCs w:val="28"/>
          <w:lang w:eastAsia="ru-RU"/>
        </w:rPr>
        <w:t xml:space="preserve"> показател</w:t>
      </w:r>
      <w:r w:rsidR="002A4224">
        <w:rPr>
          <w:rFonts w:ascii="Times New Roman" w:eastAsia="Times New Roman" w:hAnsi="Times New Roman"/>
          <w:sz w:val="28"/>
          <w:szCs w:val="28"/>
          <w:lang w:eastAsia="ru-RU"/>
        </w:rPr>
        <w:t>ей</w:t>
      </w:r>
      <w:r w:rsidRPr="00F71B34">
        <w:rPr>
          <w:rFonts w:ascii="Times New Roman" w:eastAsia="Times New Roman" w:hAnsi="Times New Roman"/>
          <w:sz w:val="28"/>
          <w:szCs w:val="28"/>
          <w:lang w:eastAsia="ru-RU"/>
        </w:rPr>
        <w:t xml:space="preserve"> </w:t>
      </w:r>
      <w:r w:rsidR="002A4224">
        <w:rPr>
          <w:rFonts w:ascii="Times New Roman" w:eastAsia="Times New Roman" w:hAnsi="Times New Roman"/>
          <w:sz w:val="28"/>
          <w:szCs w:val="28"/>
          <w:lang w:eastAsia="ru-RU"/>
        </w:rPr>
        <w:t xml:space="preserve">в зависимости от исходной </w:t>
      </w:r>
      <w:r w:rsidRPr="00F71B34">
        <w:rPr>
          <w:rFonts w:ascii="Times New Roman" w:eastAsia="Times New Roman" w:hAnsi="Times New Roman"/>
          <w:sz w:val="28"/>
          <w:szCs w:val="28"/>
          <w:lang w:eastAsia="ru-RU"/>
        </w:rPr>
        <w:t>активност</w:t>
      </w:r>
      <w:r w:rsidR="002A4224">
        <w:rPr>
          <w:rFonts w:ascii="Times New Roman" w:eastAsia="Times New Roman" w:hAnsi="Times New Roman"/>
          <w:sz w:val="28"/>
          <w:szCs w:val="28"/>
          <w:lang w:eastAsia="ru-RU"/>
        </w:rPr>
        <w:t>и</w:t>
      </w:r>
      <w:r w:rsidRPr="00F71B34">
        <w:rPr>
          <w:rFonts w:ascii="Times New Roman" w:eastAsia="Times New Roman" w:hAnsi="Times New Roman"/>
          <w:sz w:val="28"/>
          <w:szCs w:val="28"/>
          <w:lang w:eastAsia="ru-RU"/>
        </w:rPr>
        <w:t xml:space="preserve"> ревматоидного воспаления больные в каждой из групп</w:t>
      </w:r>
      <w:proofErr w:type="gramEnd"/>
      <w:r w:rsidRPr="00F71B34">
        <w:rPr>
          <w:rFonts w:ascii="Times New Roman" w:eastAsia="Times New Roman" w:hAnsi="Times New Roman"/>
          <w:sz w:val="28"/>
          <w:szCs w:val="28"/>
          <w:lang w:eastAsia="ru-RU"/>
        </w:rPr>
        <w:t xml:space="preserve"> были разделены на две подгруппы: А – пациенты с </w:t>
      </w:r>
      <w:r w:rsidR="00165967">
        <w:rPr>
          <w:rFonts w:ascii="Times New Roman" w:eastAsia="Times New Roman" w:hAnsi="Times New Roman"/>
          <w:sz w:val="28"/>
          <w:szCs w:val="28"/>
          <w:lang w:eastAsia="ru-RU"/>
        </w:rPr>
        <w:t>первой</w:t>
      </w:r>
      <w:r w:rsidR="00404230">
        <w:rPr>
          <w:rFonts w:ascii="Times New Roman" w:eastAsia="Times New Roman" w:hAnsi="Times New Roman"/>
          <w:sz w:val="28"/>
          <w:szCs w:val="28"/>
          <w:lang w:eastAsia="ru-RU"/>
        </w:rPr>
        <w:t xml:space="preserve"> – </w:t>
      </w:r>
      <w:r w:rsidR="00165967">
        <w:rPr>
          <w:rFonts w:ascii="Times New Roman" w:eastAsia="Times New Roman" w:hAnsi="Times New Roman"/>
          <w:sz w:val="28"/>
          <w:szCs w:val="28"/>
          <w:lang w:eastAsia="ru-RU"/>
        </w:rPr>
        <w:t>второ</w:t>
      </w:r>
      <w:r w:rsidRPr="00F71B34">
        <w:rPr>
          <w:rFonts w:ascii="Times New Roman" w:eastAsia="Times New Roman" w:hAnsi="Times New Roman"/>
          <w:sz w:val="28"/>
          <w:szCs w:val="28"/>
          <w:lang w:eastAsia="ru-RU"/>
        </w:rPr>
        <w:t xml:space="preserve">й степенью активности, </w:t>
      </w:r>
      <w:proofErr w:type="gramStart"/>
      <w:r w:rsidRPr="00F71B34">
        <w:rPr>
          <w:rFonts w:ascii="Times New Roman" w:eastAsia="Times New Roman" w:hAnsi="Times New Roman"/>
          <w:sz w:val="28"/>
          <w:szCs w:val="28"/>
          <w:lang w:eastAsia="ru-RU"/>
        </w:rPr>
        <w:t>В</w:t>
      </w:r>
      <w:proofErr w:type="gramEnd"/>
      <w:r w:rsidRPr="00F71B34">
        <w:rPr>
          <w:rFonts w:ascii="Times New Roman" w:eastAsia="Times New Roman" w:hAnsi="Times New Roman"/>
          <w:sz w:val="28"/>
          <w:szCs w:val="28"/>
          <w:lang w:eastAsia="ru-RU"/>
        </w:rPr>
        <w:t xml:space="preserve"> – </w:t>
      </w:r>
      <w:proofErr w:type="gramStart"/>
      <w:r w:rsidRPr="00F71B34">
        <w:rPr>
          <w:rFonts w:ascii="Times New Roman" w:eastAsia="Times New Roman" w:hAnsi="Times New Roman"/>
          <w:sz w:val="28"/>
          <w:szCs w:val="28"/>
          <w:lang w:eastAsia="ru-RU"/>
        </w:rPr>
        <w:t>с</w:t>
      </w:r>
      <w:proofErr w:type="gramEnd"/>
      <w:r w:rsidRPr="00F71B34">
        <w:rPr>
          <w:rFonts w:ascii="Times New Roman" w:eastAsia="Times New Roman" w:hAnsi="Times New Roman"/>
          <w:sz w:val="28"/>
          <w:szCs w:val="28"/>
          <w:lang w:eastAsia="ru-RU"/>
        </w:rPr>
        <w:t xml:space="preserve"> </w:t>
      </w:r>
      <w:r w:rsidR="00165967">
        <w:rPr>
          <w:rFonts w:ascii="Times New Roman" w:eastAsia="Times New Roman" w:hAnsi="Times New Roman"/>
          <w:sz w:val="28"/>
          <w:szCs w:val="28"/>
          <w:lang w:eastAsia="ru-RU"/>
        </w:rPr>
        <w:t>третье</w:t>
      </w:r>
      <w:r w:rsidRPr="00F71B34">
        <w:rPr>
          <w:rFonts w:ascii="Times New Roman" w:eastAsia="Times New Roman" w:hAnsi="Times New Roman"/>
          <w:sz w:val="28"/>
          <w:szCs w:val="28"/>
          <w:lang w:eastAsia="ru-RU"/>
        </w:rPr>
        <w:t>й степенью активности. Больные распределились по группам следующим образом: А</w:t>
      </w:r>
      <w:proofErr w:type="gramStart"/>
      <w:r w:rsidRPr="00F71B34">
        <w:rPr>
          <w:rFonts w:ascii="Times New Roman" w:eastAsia="Times New Roman" w:hAnsi="Times New Roman"/>
          <w:sz w:val="28"/>
          <w:szCs w:val="28"/>
          <w:vertAlign w:val="subscript"/>
          <w:lang w:eastAsia="ru-RU"/>
        </w:rPr>
        <w:t>1</w:t>
      </w:r>
      <w:proofErr w:type="gramEnd"/>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пациенты </w:t>
      </w:r>
      <w:r w:rsidR="00E660FC" w:rsidRPr="00F71B34">
        <w:rPr>
          <w:rFonts w:ascii="Times New Roman" w:eastAsia="Times New Roman" w:hAnsi="Times New Roman"/>
          <w:sz w:val="28"/>
          <w:szCs w:val="28"/>
          <w:lang w:eastAsia="ru-RU"/>
        </w:rPr>
        <w:t xml:space="preserve">группы 1 </w:t>
      </w:r>
      <w:r w:rsidRPr="00F71B34">
        <w:rPr>
          <w:rFonts w:ascii="Times New Roman" w:eastAsia="Times New Roman" w:hAnsi="Times New Roman"/>
          <w:sz w:val="28"/>
          <w:szCs w:val="28"/>
          <w:lang w:eastAsia="ru-RU"/>
        </w:rPr>
        <w:t xml:space="preserve">с </w:t>
      </w:r>
      <w:r w:rsidR="00165967">
        <w:rPr>
          <w:rFonts w:ascii="Times New Roman" w:eastAsia="Times New Roman" w:hAnsi="Times New Roman"/>
          <w:sz w:val="28"/>
          <w:szCs w:val="28"/>
          <w:lang w:eastAsia="ru-RU"/>
        </w:rPr>
        <w:t>первой</w:t>
      </w:r>
      <w:r w:rsidR="00404230">
        <w:rPr>
          <w:rFonts w:ascii="Times New Roman" w:eastAsia="Times New Roman" w:hAnsi="Times New Roman"/>
          <w:sz w:val="28"/>
          <w:szCs w:val="28"/>
          <w:lang w:eastAsia="ru-RU"/>
        </w:rPr>
        <w:t xml:space="preserve"> – </w:t>
      </w:r>
      <w:r w:rsidR="00165967">
        <w:rPr>
          <w:rFonts w:ascii="Times New Roman" w:eastAsia="Times New Roman" w:hAnsi="Times New Roman"/>
          <w:sz w:val="28"/>
          <w:szCs w:val="28"/>
          <w:lang w:eastAsia="ru-RU"/>
        </w:rPr>
        <w:t>второ</w:t>
      </w:r>
      <w:r w:rsidR="00165967" w:rsidRPr="00F71B34">
        <w:rPr>
          <w:rFonts w:ascii="Times New Roman" w:eastAsia="Times New Roman" w:hAnsi="Times New Roman"/>
          <w:sz w:val="28"/>
          <w:szCs w:val="28"/>
          <w:lang w:eastAsia="ru-RU"/>
        </w:rPr>
        <w:t>й</w:t>
      </w:r>
      <w:r w:rsidRPr="00F71B34">
        <w:rPr>
          <w:rFonts w:ascii="Times New Roman" w:eastAsia="Times New Roman" w:hAnsi="Times New Roman"/>
          <w:sz w:val="28"/>
          <w:szCs w:val="28"/>
          <w:lang w:eastAsia="ru-RU"/>
        </w:rPr>
        <w:t xml:space="preserve"> степенью активности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=18), В</w:t>
      </w:r>
      <w:r w:rsidRPr="00F71B34">
        <w:rPr>
          <w:rFonts w:ascii="Times New Roman" w:eastAsia="Times New Roman" w:hAnsi="Times New Roman"/>
          <w:sz w:val="28"/>
          <w:szCs w:val="28"/>
          <w:vertAlign w:val="subscript"/>
          <w:lang w:eastAsia="ru-RU"/>
        </w:rPr>
        <w:t>1</w:t>
      </w:r>
      <w:r w:rsidRPr="00F71B34">
        <w:rPr>
          <w:rFonts w:ascii="Times New Roman" w:eastAsia="Times New Roman" w:hAnsi="Times New Roman"/>
          <w:sz w:val="28"/>
          <w:szCs w:val="28"/>
          <w:lang w:eastAsia="ru-RU"/>
        </w:rPr>
        <w:t xml:space="preserve"> </w:t>
      </w:r>
      <w:r w:rsidR="00E660FC"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 </w:t>
      </w:r>
      <w:r w:rsidR="00E660FC" w:rsidRPr="00F71B34">
        <w:rPr>
          <w:rFonts w:ascii="Times New Roman" w:eastAsia="Times New Roman" w:hAnsi="Times New Roman"/>
          <w:sz w:val="28"/>
          <w:szCs w:val="28"/>
          <w:lang w:eastAsia="ru-RU"/>
        </w:rPr>
        <w:t xml:space="preserve">больные группы 1 </w:t>
      </w:r>
      <w:r w:rsidRPr="00F71B34">
        <w:rPr>
          <w:rFonts w:ascii="Times New Roman" w:eastAsia="Times New Roman" w:hAnsi="Times New Roman"/>
          <w:sz w:val="28"/>
          <w:szCs w:val="28"/>
          <w:lang w:eastAsia="ru-RU"/>
        </w:rPr>
        <w:t xml:space="preserve">с </w:t>
      </w:r>
      <w:r w:rsidR="00165967">
        <w:rPr>
          <w:rFonts w:ascii="Times New Roman" w:eastAsia="Times New Roman" w:hAnsi="Times New Roman"/>
          <w:sz w:val="28"/>
          <w:szCs w:val="28"/>
          <w:lang w:eastAsia="ru-RU"/>
        </w:rPr>
        <w:t>третье</w:t>
      </w:r>
      <w:r w:rsidRPr="00F71B34">
        <w:rPr>
          <w:rFonts w:ascii="Times New Roman" w:eastAsia="Times New Roman" w:hAnsi="Times New Roman"/>
          <w:sz w:val="28"/>
          <w:szCs w:val="28"/>
          <w:lang w:eastAsia="ru-RU"/>
        </w:rPr>
        <w:t>й степенью активности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=26), А</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w:t>
      </w:r>
      <w:r w:rsidR="00165967">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 xml:space="preserve">больные </w:t>
      </w:r>
      <w:r w:rsidR="00E660FC" w:rsidRPr="00F71B34">
        <w:rPr>
          <w:rFonts w:ascii="Times New Roman" w:eastAsia="Times New Roman" w:hAnsi="Times New Roman"/>
          <w:sz w:val="28"/>
          <w:szCs w:val="28"/>
          <w:lang w:eastAsia="ru-RU"/>
        </w:rPr>
        <w:t xml:space="preserve">группы 2 </w:t>
      </w:r>
      <w:r w:rsidRPr="00F71B34">
        <w:rPr>
          <w:rFonts w:ascii="Times New Roman" w:eastAsia="Times New Roman" w:hAnsi="Times New Roman"/>
          <w:sz w:val="28"/>
          <w:szCs w:val="28"/>
          <w:lang w:eastAsia="ru-RU"/>
        </w:rPr>
        <w:t xml:space="preserve">с </w:t>
      </w:r>
      <w:r w:rsidR="00165967">
        <w:rPr>
          <w:rFonts w:ascii="Times New Roman" w:eastAsia="Times New Roman" w:hAnsi="Times New Roman"/>
          <w:sz w:val="28"/>
          <w:szCs w:val="28"/>
          <w:lang w:eastAsia="ru-RU"/>
        </w:rPr>
        <w:t>первой</w:t>
      </w:r>
      <w:r w:rsidR="00404230">
        <w:rPr>
          <w:rFonts w:ascii="Times New Roman" w:eastAsia="Times New Roman" w:hAnsi="Times New Roman"/>
          <w:sz w:val="28"/>
          <w:szCs w:val="28"/>
          <w:lang w:eastAsia="ru-RU"/>
        </w:rPr>
        <w:t xml:space="preserve"> – </w:t>
      </w:r>
      <w:r w:rsidR="00165967">
        <w:rPr>
          <w:rFonts w:ascii="Times New Roman" w:eastAsia="Times New Roman" w:hAnsi="Times New Roman"/>
          <w:sz w:val="28"/>
          <w:szCs w:val="28"/>
          <w:lang w:eastAsia="ru-RU"/>
        </w:rPr>
        <w:t>второ</w:t>
      </w:r>
      <w:r w:rsidR="00165967" w:rsidRPr="00F71B34">
        <w:rPr>
          <w:rFonts w:ascii="Times New Roman" w:eastAsia="Times New Roman" w:hAnsi="Times New Roman"/>
          <w:sz w:val="28"/>
          <w:szCs w:val="28"/>
          <w:lang w:eastAsia="ru-RU"/>
        </w:rPr>
        <w:t>й</w:t>
      </w:r>
      <w:r w:rsidRPr="00F71B34">
        <w:rPr>
          <w:rFonts w:ascii="Times New Roman" w:eastAsia="Times New Roman" w:hAnsi="Times New Roman"/>
          <w:sz w:val="28"/>
          <w:szCs w:val="28"/>
          <w:lang w:eastAsia="ru-RU"/>
        </w:rPr>
        <w:t xml:space="preserve"> степенью активности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=18),  В</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w:t>
      </w:r>
      <w:r w:rsidR="00E660FC"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 </w:t>
      </w:r>
      <w:r w:rsidR="00E660FC" w:rsidRPr="00F71B34">
        <w:rPr>
          <w:rFonts w:ascii="Times New Roman" w:eastAsia="Times New Roman" w:hAnsi="Times New Roman"/>
          <w:sz w:val="28"/>
          <w:szCs w:val="28"/>
          <w:lang w:eastAsia="ru-RU"/>
        </w:rPr>
        <w:t xml:space="preserve">больные группы 2 </w:t>
      </w:r>
      <w:r w:rsidRPr="00F71B34">
        <w:rPr>
          <w:rFonts w:ascii="Times New Roman" w:eastAsia="Times New Roman" w:hAnsi="Times New Roman"/>
          <w:sz w:val="28"/>
          <w:szCs w:val="28"/>
          <w:lang w:eastAsia="ru-RU"/>
        </w:rPr>
        <w:t xml:space="preserve">с </w:t>
      </w:r>
      <w:r w:rsidR="00165967">
        <w:rPr>
          <w:rFonts w:ascii="Times New Roman" w:eastAsia="Times New Roman" w:hAnsi="Times New Roman"/>
          <w:sz w:val="28"/>
          <w:szCs w:val="28"/>
          <w:lang w:eastAsia="ru-RU"/>
        </w:rPr>
        <w:t>третье</w:t>
      </w:r>
      <w:r w:rsidRPr="00F71B34">
        <w:rPr>
          <w:rFonts w:ascii="Times New Roman" w:eastAsia="Times New Roman" w:hAnsi="Times New Roman"/>
          <w:sz w:val="28"/>
          <w:szCs w:val="28"/>
          <w:lang w:eastAsia="ru-RU"/>
        </w:rPr>
        <w:t>й степенью активности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 xml:space="preserve">=17). </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Результаты анализа МПК и Т-критерия в зависимости от активности РА представлены в табл</w:t>
      </w:r>
      <w:r w:rsidR="00165967">
        <w:rPr>
          <w:rFonts w:ascii="Times New Roman" w:eastAsia="Times New Roman" w:hAnsi="Times New Roman"/>
          <w:sz w:val="28"/>
          <w:szCs w:val="28"/>
          <w:lang w:eastAsia="ru-RU"/>
        </w:rPr>
        <w:t>ицах</w:t>
      </w:r>
      <w:r w:rsidRPr="00F71B34">
        <w:rPr>
          <w:rFonts w:ascii="Times New Roman" w:eastAsia="Times New Roman" w:hAnsi="Times New Roman"/>
          <w:sz w:val="28"/>
          <w:szCs w:val="28"/>
          <w:lang w:eastAsia="ru-RU"/>
        </w:rPr>
        <w:t xml:space="preserve"> 11 и 12. </w:t>
      </w:r>
    </w:p>
    <w:p w:rsidR="00B20BA4" w:rsidRPr="00F71B34" w:rsidRDefault="00B20BA4" w:rsidP="00F71B34">
      <w:pPr>
        <w:spacing w:after="0" w:line="360" w:lineRule="auto"/>
        <w:ind w:firstLine="708"/>
        <w:jc w:val="both"/>
        <w:rPr>
          <w:rFonts w:ascii="Times New Roman" w:eastAsia="Times New Roman" w:hAnsi="Times New Roman"/>
          <w:color w:val="FF0000"/>
          <w:sz w:val="28"/>
          <w:szCs w:val="28"/>
          <w:lang w:eastAsia="ru-RU"/>
        </w:rPr>
      </w:pP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165967">
        <w:rPr>
          <w:rFonts w:ascii="Times New Roman" w:eastAsia="Times New Roman" w:hAnsi="Times New Roman"/>
          <w:spacing w:val="40"/>
          <w:sz w:val="28"/>
          <w:szCs w:val="28"/>
          <w:lang w:eastAsia="ru-RU"/>
        </w:rPr>
        <w:lastRenderedPageBreak/>
        <w:t>Таблица</w:t>
      </w:r>
      <w:r w:rsidRPr="00F71B34">
        <w:rPr>
          <w:rFonts w:ascii="Times New Roman" w:eastAsia="Times New Roman" w:hAnsi="Times New Roman"/>
          <w:sz w:val="28"/>
          <w:szCs w:val="28"/>
          <w:lang w:eastAsia="ru-RU"/>
        </w:rPr>
        <w:t xml:space="preserve"> 11</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Денситометрические показатели шейки бедра у больных РА в зависимости от степени активности и варианта терапии исходно и через 4</w:t>
      </w:r>
      <w:r w:rsidR="00165967">
        <w:rPr>
          <w:rFonts w:ascii="Times New Roman" w:eastAsia="Times New Roman" w:hAnsi="Times New Roman"/>
          <w:sz w:val="28"/>
          <w:szCs w:val="28"/>
          <w:lang w:eastAsia="ru-RU"/>
        </w:rPr>
        <w:t>8 месяцев</w:t>
      </w:r>
      <w:r w:rsidRPr="00F71B34">
        <w:rPr>
          <w:rFonts w:ascii="Times New Roman" w:eastAsia="Times New Roman" w:hAnsi="Times New Roman"/>
          <w:sz w:val="28"/>
          <w:szCs w:val="28"/>
          <w:lang w:eastAsia="ru-RU"/>
        </w:rPr>
        <w:t xml:space="preserve"> наблюдения (М±</w:t>
      </w:r>
      <w:r w:rsidRPr="00F71B34">
        <w:rPr>
          <w:rFonts w:ascii="Times New Roman" w:eastAsia="Times New Roman" w:hAnsi="Times New Roman"/>
          <w:sz w:val="28"/>
          <w:szCs w:val="28"/>
          <w:lang w:val="en-US" w:eastAsia="ru-RU"/>
        </w:rPr>
        <w:t>m</w:t>
      </w:r>
      <w:r w:rsidRPr="00F71B34">
        <w:rPr>
          <w:rFonts w:ascii="Times New Roman" w:eastAsia="Times New Roman" w:hAnsi="Times New Roman"/>
          <w:sz w:val="28"/>
          <w:szCs w:val="28"/>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705"/>
        <w:gridCol w:w="1778"/>
        <w:gridCol w:w="1778"/>
        <w:gridCol w:w="911"/>
        <w:gridCol w:w="1338"/>
        <w:gridCol w:w="1724"/>
        <w:gridCol w:w="823"/>
      </w:tblGrid>
      <w:tr w:rsidR="000361F4" w:rsidRPr="00DC52BB" w:rsidTr="000361F4">
        <w:trPr>
          <w:trHeight w:val="510"/>
          <w:jc w:val="center"/>
        </w:trPr>
        <w:tc>
          <w:tcPr>
            <w:tcW w:w="848" w:type="pct"/>
            <w:vMerge w:val="restart"/>
            <w:shd w:val="clear" w:color="auto" w:fill="auto"/>
            <w:vAlign w:val="center"/>
          </w:tcPr>
          <w:p w:rsidR="000361F4" w:rsidRPr="00654A6C" w:rsidRDefault="000361F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w:t>
            </w:r>
            <w:r>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eastAsia="ru-RU"/>
              </w:rPr>
              <w:t>(А – 1</w:t>
            </w:r>
            <w:r>
              <w:rPr>
                <w:rFonts w:ascii="Times New Roman" w:eastAsia="Times New Roman" w:hAnsi="Times New Roman"/>
                <w:sz w:val="24"/>
                <w:szCs w:val="24"/>
                <w:lang w:eastAsia="ru-RU"/>
              </w:rPr>
              <w:t>–</w:t>
            </w:r>
            <w:r w:rsidRPr="00654A6C">
              <w:rPr>
                <w:rFonts w:ascii="Times New Roman" w:eastAsia="Times New Roman" w:hAnsi="Times New Roman"/>
                <w:sz w:val="24"/>
                <w:szCs w:val="24"/>
                <w:lang w:eastAsia="ru-RU"/>
              </w:rPr>
              <w:t>2</w:t>
            </w:r>
            <w:r>
              <w:rPr>
                <w:rFonts w:ascii="Times New Roman" w:eastAsia="Times New Roman" w:hAnsi="Times New Roman"/>
                <w:sz w:val="24"/>
                <w:szCs w:val="24"/>
                <w:lang w:eastAsia="ru-RU"/>
              </w:rPr>
              <w:t>-я</w:t>
            </w:r>
            <w:r w:rsidRPr="00654A6C">
              <w:rPr>
                <w:rFonts w:ascii="Times New Roman" w:eastAsia="Times New Roman" w:hAnsi="Times New Roman"/>
                <w:sz w:val="24"/>
                <w:szCs w:val="24"/>
                <w:lang w:eastAsia="ru-RU"/>
              </w:rPr>
              <w:t xml:space="preserve"> степень, </w:t>
            </w:r>
            <w:proofErr w:type="gramEnd"/>
          </w:p>
          <w:p w:rsidR="000361F4" w:rsidRPr="000361F4" w:rsidRDefault="000361F4" w:rsidP="00654A6C">
            <w:pPr>
              <w:spacing w:after="0" w:line="360" w:lineRule="auto"/>
              <w:ind w:right="-82"/>
              <w:jc w:val="center"/>
              <w:rPr>
                <w:rFonts w:ascii="Times New Roman" w:eastAsia="Times New Roman" w:hAnsi="Times New Roman"/>
                <w:spacing w:val="-6"/>
                <w:sz w:val="24"/>
                <w:szCs w:val="24"/>
                <w:lang w:eastAsia="ru-RU"/>
              </w:rPr>
            </w:pPr>
            <w:proofErr w:type="gramStart"/>
            <w:r w:rsidRPr="000361F4">
              <w:rPr>
                <w:rFonts w:ascii="Times New Roman" w:eastAsia="Times New Roman" w:hAnsi="Times New Roman"/>
                <w:spacing w:val="-6"/>
                <w:sz w:val="24"/>
                <w:szCs w:val="24"/>
                <w:lang w:eastAsia="ru-RU"/>
              </w:rPr>
              <w:t>В – 3-я степень)</w:t>
            </w:r>
            <w:proofErr w:type="gramEnd"/>
          </w:p>
        </w:tc>
        <w:tc>
          <w:tcPr>
            <w:tcW w:w="4152" w:type="pct"/>
            <w:gridSpan w:val="6"/>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0361F4" w:rsidRPr="00DC52BB" w:rsidTr="000361F4">
        <w:trPr>
          <w:trHeight w:val="417"/>
          <w:jc w:val="center"/>
        </w:trPr>
        <w:tc>
          <w:tcPr>
            <w:tcW w:w="848" w:type="pct"/>
            <w:vMerge/>
            <w:shd w:val="clear" w:color="auto" w:fill="auto"/>
            <w:vAlign w:val="center"/>
          </w:tcPr>
          <w:p w:rsidR="000361F4" w:rsidRPr="00654A6C" w:rsidRDefault="000361F4" w:rsidP="00654A6C">
            <w:pPr>
              <w:spacing w:after="0" w:line="360" w:lineRule="auto"/>
              <w:ind w:right="-82"/>
              <w:jc w:val="center"/>
              <w:rPr>
                <w:rFonts w:ascii="Times New Roman" w:eastAsia="Times New Roman" w:hAnsi="Times New Roman"/>
                <w:sz w:val="24"/>
                <w:szCs w:val="24"/>
                <w:lang w:eastAsia="ru-RU"/>
              </w:rPr>
            </w:pPr>
          </w:p>
        </w:tc>
        <w:tc>
          <w:tcPr>
            <w:tcW w:w="2221" w:type="pct"/>
            <w:gridSpan w:val="3"/>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931" w:type="pct"/>
            <w:gridSpan w:val="3"/>
            <w:tcBorders>
              <w:bottom w:val="single" w:sz="4" w:space="0" w:color="auto"/>
            </w:tcBorders>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E660FC" w:rsidRPr="00DC52BB" w:rsidTr="00654A6C">
        <w:trPr>
          <w:jc w:val="center"/>
        </w:trPr>
        <w:tc>
          <w:tcPr>
            <w:tcW w:w="848" w:type="pct"/>
            <w:vMerge/>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884" w:type="pct"/>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884" w:type="pct"/>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65" w:type="pct"/>
            <w:tcBorders>
              <w:top w:val="single" w:sz="4" w:space="0" w:color="auto"/>
            </w:tcBorders>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857" w:type="pct"/>
            <w:tcBorders>
              <w:top w:val="single" w:sz="4" w:space="0" w:color="auto"/>
            </w:tcBorders>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409" w:type="pct"/>
            <w:tcBorders>
              <w:top w:val="single" w:sz="4" w:space="0" w:color="auto"/>
            </w:tcBorders>
            <w:shd w:val="clear" w:color="auto" w:fill="auto"/>
            <w:vAlign w:val="center"/>
          </w:tcPr>
          <w:p w:rsidR="00B20BA4" w:rsidRPr="00654A6C" w:rsidRDefault="0040423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E660FC"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val="en-US" w:eastAsia="ru-RU"/>
              </w:rPr>
            </w:pPr>
            <w:r w:rsidRPr="00654A6C">
              <w:rPr>
                <w:rFonts w:ascii="Times New Roman" w:eastAsia="Times New Roman" w:hAnsi="Times New Roman"/>
                <w:sz w:val="24"/>
                <w:szCs w:val="24"/>
                <w:lang w:eastAsia="ru-RU"/>
              </w:rPr>
              <w:t>0,8322±0,026</w:t>
            </w:r>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val="en-US" w:eastAsia="ru-RU"/>
              </w:rPr>
            </w:pPr>
            <w:r w:rsidRPr="00654A6C">
              <w:rPr>
                <w:rFonts w:ascii="Times New Roman" w:eastAsia="Times New Roman" w:hAnsi="Times New Roman"/>
                <w:sz w:val="24"/>
                <w:szCs w:val="24"/>
                <w:lang w:eastAsia="ru-RU"/>
              </w:rPr>
              <w:t>0,8828±0,040</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0,038</w:t>
            </w: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-1,55±0,20</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-1,17±0,32</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0,046</w:t>
            </w:r>
          </w:p>
        </w:tc>
      </w:tr>
      <w:tr w:rsidR="00E660FC"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0,7232±0,019</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0,8035±0,024</w:t>
            </w:r>
          </w:p>
        </w:tc>
        <w:tc>
          <w:tcPr>
            <w:tcW w:w="45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0,0004</w:t>
            </w: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-2,39±0,17</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-1,72±0,18</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0,001</w:t>
            </w:r>
          </w:p>
        </w:tc>
      </w:tr>
      <w:tr w:rsidR="00E660FC"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0,8263±0,030</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0,7675±0,046</w:t>
            </w:r>
          </w:p>
        </w:tc>
        <w:tc>
          <w:tcPr>
            <w:tcW w:w="45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0,028</w:t>
            </w: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-1,42±0,26</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-1,97±0,39</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0,038</w:t>
            </w:r>
          </w:p>
        </w:tc>
      </w:tr>
      <w:tr w:rsidR="00E660FC"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0,7446±0,020</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0,7118±0,026</w:t>
            </w:r>
          </w:p>
        </w:tc>
        <w:tc>
          <w:tcPr>
            <w:tcW w:w="45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0,310</w:t>
            </w: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-2,21±0,19</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-2,62±0,22</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0,176</w:t>
            </w:r>
          </w:p>
        </w:tc>
      </w:tr>
      <w:tr w:rsidR="00E660FC"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0,0049</w:t>
            </w:r>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0,106</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0,0097</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0,137</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E660FC"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0,026</w:t>
            </w:r>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0,253</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0,022</w:t>
            </w:r>
          </w:p>
        </w:tc>
        <w:tc>
          <w:tcPr>
            <w:tcW w:w="8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0,288</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E660FC"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0,865</w:t>
            </w:r>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0,091</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0,461</w:t>
            </w:r>
          </w:p>
        </w:tc>
        <w:tc>
          <w:tcPr>
            <w:tcW w:w="8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0,159</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E660FC"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0,412</w:t>
            </w:r>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0,032</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0,618</w:t>
            </w:r>
          </w:p>
        </w:tc>
        <w:tc>
          <w:tcPr>
            <w:tcW w:w="8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0,012</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bl>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p>
    <w:p w:rsidR="00DC52BB" w:rsidRPr="00F71B34" w:rsidRDefault="00DC52BB" w:rsidP="00DC52BB">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При сравнительном анализе установлено, что большей степени активности  заболевания соответствуют более низкие исходные показатели МПК в шейке бедра. Так, средние значения МПК и Т-критерия шейки бедра у больных с </w:t>
      </w:r>
      <w:r w:rsidR="000361F4">
        <w:rPr>
          <w:rFonts w:ascii="Times New Roman" w:eastAsia="Times New Roman" w:hAnsi="Times New Roman"/>
          <w:sz w:val="28"/>
          <w:szCs w:val="28"/>
          <w:lang w:eastAsia="ru-RU"/>
        </w:rPr>
        <w:t>третье</w:t>
      </w:r>
      <w:r w:rsidRPr="00F71B34">
        <w:rPr>
          <w:rFonts w:ascii="Times New Roman" w:eastAsia="Times New Roman" w:hAnsi="Times New Roman"/>
          <w:sz w:val="28"/>
          <w:szCs w:val="28"/>
          <w:lang w:eastAsia="ru-RU"/>
        </w:rPr>
        <w:t xml:space="preserve">й степенью активности были достоверно ниже, чем у больных с </w:t>
      </w:r>
      <w:r w:rsidR="000361F4">
        <w:rPr>
          <w:rFonts w:ascii="Times New Roman" w:eastAsia="Times New Roman" w:hAnsi="Times New Roman"/>
          <w:sz w:val="28"/>
          <w:szCs w:val="28"/>
          <w:lang w:eastAsia="ru-RU"/>
        </w:rPr>
        <w:t>перво</w:t>
      </w:r>
      <w:r w:rsidRPr="00F71B34">
        <w:rPr>
          <w:rFonts w:ascii="Times New Roman" w:eastAsia="Times New Roman" w:hAnsi="Times New Roman"/>
          <w:sz w:val="28"/>
          <w:szCs w:val="28"/>
          <w:lang w:eastAsia="ru-RU"/>
        </w:rPr>
        <w:t xml:space="preserve">й и </w:t>
      </w:r>
      <w:r w:rsidR="000361F4">
        <w:rPr>
          <w:rFonts w:ascii="Times New Roman" w:eastAsia="Times New Roman" w:hAnsi="Times New Roman"/>
          <w:sz w:val="28"/>
          <w:szCs w:val="28"/>
          <w:lang w:eastAsia="ru-RU"/>
        </w:rPr>
        <w:t>второ</w:t>
      </w:r>
      <w:r w:rsidRPr="00F71B34">
        <w:rPr>
          <w:rFonts w:ascii="Times New Roman" w:eastAsia="Times New Roman" w:hAnsi="Times New Roman"/>
          <w:sz w:val="28"/>
          <w:szCs w:val="28"/>
          <w:lang w:eastAsia="ru-RU"/>
        </w:rPr>
        <w:t>й степенью, как в группе 1, так и в группе 2. Через 48 месяцев наблюдения статистически значимых различий между показателями не отмечено. Таким образом, можно полагать, что применение базисной противовоспалительной терапии оказывает протективное действие на МПК у больных РА.</w:t>
      </w:r>
    </w:p>
    <w:p w:rsidR="002C3A1C" w:rsidRPr="00F71B34" w:rsidRDefault="002C3A1C" w:rsidP="002C3A1C">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У больных группы 1 с </w:t>
      </w:r>
      <w:r>
        <w:rPr>
          <w:rFonts w:ascii="Times New Roman" w:eastAsia="Times New Roman" w:hAnsi="Times New Roman"/>
          <w:sz w:val="28"/>
          <w:szCs w:val="28"/>
          <w:lang w:eastAsia="ru-RU"/>
        </w:rPr>
        <w:t>первой – второ</w:t>
      </w:r>
      <w:r w:rsidRPr="00F71B34">
        <w:rPr>
          <w:rFonts w:ascii="Times New Roman" w:eastAsia="Times New Roman" w:hAnsi="Times New Roman"/>
          <w:sz w:val="28"/>
          <w:szCs w:val="28"/>
          <w:lang w:eastAsia="ru-RU"/>
        </w:rPr>
        <w:t>й степенью активности</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РА</w:t>
      </w:r>
      <w:r>
        <w:rPr>
          <w:rFonts w:ascii="Times New Roman" w:eastAsia="Times New Roman" w:hAnsi="Times New Roman"/>
          <w:sz w:val="28"/>
          <w:szCs w:val="28"/>
          <w:lang w:eastAsia="ru-RU"/>
        </w:rPr>
        <w:t xml:space="preserve"> показатели</w:t>
      </w:r>
      <w:r w:rsidRPr="00F71B34">
        <w:rPr>
          <w:rFonts w:ascii="Times New Roman" w:eastAsia="Times New Roman" w:hAnsi="Times New Roman"/>
          <w:sz w:val="28"/>
          <w:szCs w:val="28"/>
          <w:lang w:eastAsia="ru-RU"/>
        </w:rPr>
        <w:t xml:space="preserve"> МПК и Т-критери</w:t>
      </w:r>
      <w:r>
        <w:rPr>
          <w:rFonts w:ascii="Times New Roman" w:eastAsia="Times New Roman" w:hAnsi="Times New Roman"/>
          <w:sz w:val="28"/>
          <w:szCs w:val="28"/>
          <w:lang w:eastAsia="ru-RU"/>
        </w:rPr>
        <w:t>я</w:t>
      </w:r>
      <w:r w:rsidRPr="00F71B34">
        <w:rPr>
          <w:rFonts w:ascii="Times New Roman" w:eastAsia="Times New Roman" w:hAnsi="Times New Roman"/>
          <w:sz w:val="28"/>
          <w:szCs w:val="28"/>
          <w:lang w:eastAsia="ru-RU"/>
        </w:rPr>
        <w:t xml:space="preserve"> шейки бедра были сопоставимы с показателями пациентов группы 2 с аналогичной степенью активности заболевания как исходно, так и через 48 месяцев наблюдения. </w:t>
      </w:r>
    </w:p>
    <w:p w:rsidR="002C3A1C" w:rsidRPr="00F71B34" w:rsidRDefault="002C3A1C" w:rsidP="002C3A1C">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Плотностные значения кости у больных группы 1 и группы 2  с высокой степенью активности исходно не различались. Через 48 месяцев наблюдения у пациентов с высокой степенью активности, получавших РТМ и МТХ, </w:t>
      </w:r>
      <w:r w:rsidRPr="00F71B34">
        <w:rPr>
          <w:rFonts w:ascii="Times New Roman" w:eastAsia="Times New Roman" w:hAnsi="Times New Roman"/>
          <w:sz w:val="28"/>
          <w:szCs w:val="28"/>
          <w:lang w:eastAsia="ru-RU"/>
        </w:rPr>
        <w:lastRenderedPageBreak/>
        <w:t>денситометрические показатели шейки бедра были достоверно выше, чем у пациентов с монотерапией МТХ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=0,032 и р=0,012). </w:t>
      </w:r>
    </w:p>
    <w:p w:rsidR="002C3A1C" w:rsidRPr="00F71B34" w:rsidRDefault="002C3A1C" w:rsidP="002C3A1C">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У больных РА, получавших РТМ, независимо от степени активности на фоне четырехлетней терапии отмечено увеличение МПК и Т-критерия шейки бедра относительно исходных данных. У пациентов с монотерапией МТХ с </w:t>
      </w:r>
      <w:r>
        <w:rPr>
          <w:rFonts w:ascii="Times New Roman" w:eastAsia="Times New Roman" w:hAnsi="Times New Roman"/>
          <w:sz w:val="28"/>
          <w:szCs w:val="28"/>
          <w:lang w:eastAsia="ru-RU"/>
        </w:rPr>
        <w:t>первой-второ</w:t>
      </w:r>
      <w:r w:rsidRPr="00F71B34">
        <w:rPr>
          <w:rFonts w:ascii="Times New Roman" w:eastAsia="Times New Roman" w:hAnsi="Times New Roman"/>
          <w:sz w:val="28"/>
          <w:szCs w:val="28"/>
          <w:lang w:eastAsia="ru-RU"/>
        </w:rPr>
        <w:t>й степенью активности РА зарегистрировано статистически значимое снижение плотностных значений кости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=0,028 и р=0,038), в то время как у больных данной группы с </w:t>
      </w:r>
      <w:r>
        <w:rPr>
          <w:rFonts w:ascii="Times New Roman" w:eastAsia="Times New Roman" w:hAnsi="Times New Roman"/>
          <w:sz w:val="28"/>
          <w:szCs w:val="28"/>
          <w:lang w:eastAsia="ru-RU"/>
        </w:rPr>
        <w:t>третье</w:t>
      </w:r>
      <w:r w:rsidRPr="00F71B34">
        <w:rPr>
          <w:rFonts w:ascii="Times New Roman" w:eastAsia="Times New Roman" w:hAnsi="Times New Roman"/>
          <w:sz w:val="28"/>
          <w:szCs w:val="28"/>
          <w:lang w:eastAsia="ru-RU"/>
        </w:rPr>
        <w:t>й степенью активности  денситометрические показатели на фоне терапии достоверно не изменились.</w:t>
      </w:r>
    </w:p>
    <w:p w:rsidR="00E660FC" w:rsidRPr="00F71B34" w:rsidRDefault="00E660FC" w:rsidP="00F71B34">
      <w:pPr>
        <w:spacing w:after="0" w:line="360" w:lineRule="auto"/>
        <w:ind w:firstLine="708"/>
        <w:jc w:val="both"/>
        <w:rPr>
          <w:rFonts w:ascii="Times New Roman" w:eastAsia="Times New Roman" w:hAnsi="Times New Roman"/>
          <w:sz w:val="28"/>
          <w:szCs w:val="28"/>
          <w:lang w:eastAsia="ru-RU"/>
        </w:rPr>
      </w:pP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165967">
        <w:rPr>
          <w:rFonts w:ascii="Times New Roman" w:eastAsia="Times New Roman" w:hAnsi="Times New Roman"/>
          <w:spacing w:val="40"/>
          <w:sz w:val="28"/>
          <w:szCs w:val="28"/>
          <w:lang w:eastAsia="ru-RU"/>
        </w:rPr>
        <w:t>Таблица</w:t>
      </w:r>
      <w:r w:rsidRPr="00F71B34">
        <w:rPr>
          <w:rFonts w:ascii="Times New Roman" w:eastAsia="Times New Roman" w:hAnsi="Times New Roman"/>
          <w:sz w:val="28"/>
          <w:szCs w:val="28"/>
          <w:lang w:eastAsia="ru-RU"/>
        </w:rPr>
        <w:t xml:space="preserve"> 12</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Денситометрические показатели поясничного отдела позвоночника у больных РА в зависимости от степени активности и варианта терапии исходно и через 4</w:t>
      </w:r>
      <w:r w:rsidR="000361F4">
        <w:rPr>
          <w:rFonts w:ascii="Times New Roman" w:eastAsia="Times New Roman" w:hAnsi="Times New Roman"/>
          <w:sz w:val="28"/>
          <w:szCs w:val="28"/>
          <w:lang w:eastAsia="ru-RU"/>
        </w:rPr>
        <w:t>8 месяцев</w:t>
      </w:r>
      <w:r w:rsidRPr="00F71B34">
        <w:rPr>
          <w:rFonts w:ascii="Times New Roman" w:eastAsia="Times New Roman" w:hAnsi="Times New Roman"/>
          <w:sz w:val="28"/>
          <w:szCs w:val="28"/>
          <w:lang w:eastAsia="ru-RU"/>
        </w:rPr>
        <w:t xml:space="preserve"> наблюдения (М±</w:t>
      </w:r>
      <w:r w:rsidRPr="00F71B34">
        <w:rPr>
          <w:rFonts w:ascii="Times New Roman" w:eastAsia="Times New Roman" w:hAnsi="Times New Roman"/>
          <w:sz w:val="28"/>
          <w:szCs w:val="28"/>
          <w:lang w:val="en-US" w:eastAsia="ru-RU"/>
        </w:rPr>
        <w:t>m</w:t>
      </w:r>
      <w:r w:rsidRPr="00F71B34">
        <w:rPr>
          <w:rFonts w:ascii="Times New Roman" w:eastAsia="Times New Roman" w:hAnsi="Times New Roman"/>
          <w:sz w:val="28"/>
          <w:szCs w:val="28"/>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705"/>
        <w:gridCol w:w="1778"/>
        <w:gridCol w:w="1778"/>
        <w:gridCol w:w="911"/>
        <w:gridCol w:w="1338"/>
        <w:gridCol w:w="1724"/>
        <w:gridCol w:w="823"/>
      </w:tblGrid>
      <w:tr w:rsidR="000361F4" w:rsidRPr="00DC52BB" w:rsidTr="000361F4">
        <w:trPr>
          <w:trHeight w:val="375"/>
          <w:jc w:val="center"/>
        </w:trPr>
        <w:tc>
          <w:tcPr>
            <w:tcW w:w="848" w:type="pct"/>
            <w:vMerge w:val="restart"/>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w:t>
            </w:r>
            <w:r>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eastAsia="ru-RU"/>
              </w:rPr>
              <w:t>(А – 1</w:t>
            </w:r>
            <w:r>
              <w:rPr>
                <w:rFonts w:ascii="Times New Roman" w:eastAsia="Times New Roman" w:hAnsi="Times New Roman"/>
                <w:sz w:val="24"/>
                <w:szCs w:val="24"/>
                <w:lang w:eastAsia="ru-RU"/>
              </w:rPr>
              <w:t>–</w:t>
            </w:r>
            <w:r w:rsidRPr="00654A6C">
              <w:rPr>
                <w:rFonts w:ascii="Times New Roman" w:eastAsia="Times New Roman" w:hAnsi="Times New Roman"/>
                <w:sz w:val="24"/>
                <w:szCs w:val="24"/>
                <w:lang w:eastAsia="ru-RU"/>
              </w:rPr>
              <w:t>2</w:t>
            </w:r>
            <w:r>
              <w:rPr>
                <w:rFonts w:ascii="Times New Roman" w:eastAsia="Times New Roman" w:hAnsi="Times New Roman"/>
                <w:sz w:val="24"/>
                <w:szCs w:val="24"/>
                <w:lang w:eastAsia="ru-RU"/>
              </w:rPr>
              <w:t>-я</w:t>
            </w:r>
            <w:r w:rsidRPr="00654A6C">
              <w:rPr>
                <w:rFonts w:ascii="Times New Roman" w:eastAsia="Times New Roman" w:hAnsi="Times New Roman"/>
                <w:sz w:val="24"/>
                <w:szCs w:val="24"/>
                <w:lang w:eastAsia="ru-RU"/>
              </w:rPr>
              <w:t xml:space="preserve"> степень, </w:t>
            </w:r>
            <w:proofErr w:type="gramEnd"/>
          </w:p>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proofErr w:type="gramStart"/>
            <w:r w:rsidRPr="000361F4">
              <w:rPr>
                <w:rFonts w:ascii="Times New Roman" w:eastAsia="Times New Roman" w:hAnsi="Times New Roman"/>
                <w:spacing w:val="-6"/>
                <w:sz w:val="24"/>
                <w:szCs w:val="24"/>
                <w:lang w:eastAsia="ru-RU"/>
              </w:rPr>
              <w:t>В – 3-я степень)</w:t>
            </w:r>
            <w:proofErr w:type="gramEnd"/>
          </w:p>
        </w:tc>
        <w:tc>
          <w:tcPr>
            <w:tcW w:w="4152" w:type="pct"/>
            <w:gridSpan w:val="6"/>
            <w:shd w:val="clear" w:color="auto" w:fill="auto"/>
            <w:vAlign w:val="center"/>
          </w:tcPr>
          <w:p w:rsidR="000361F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0361F4" w:rsidRPr="00DC52BB" w:rsidTr="000361F4">
        <w:trPr>
          <w:trHeight w:val="367"/>
          <w:jc w:val="center"/>
        </w:trPr>
        <w:tc>
          <w:tcPr>
            <w:tcW w:w="848" w:type="pct"/>
            <w:vMerge/>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p>
        </w:tc>
        <w:tc>
          <w:tcPr>
            <w:tcW w:w="2221" w:type="pct"/>
            <w:gridSpan w:val="3"/>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931" w:type="pct"/>
            <w:gridSpan w:val="3"/>
            <w:tcBorders>
              <w:bottom w:val="single" w:sz="4" w:space="0" w:color="auto"/>
            </w:tcBorders>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B20BA4" w:rsidRPr="00DC52BB" w:rsidTr="00654A6C">
        <w:trPr>
          <w:jc w:val="center"/>
        </w:trPr>
        <w:tc>
          <w:tcPr>
            <w:tcW w:w="848" w:type="pct"/>
            <w:vMerge/>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884" w:type="pct"/>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884" w:type="pct"/>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65" w:type="pct"/>
            <w:tcBorders>
              <w:top w:val="single" w:sz="4" w:space="0" w:color="auto"/>
            </w:tcBorders>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857" w:type="pct"/>
            <w:tcBorders>
              <w:top w:val="single" w:sz="4" w:space="0" w:color="auto"/>
            </w:tcBorders>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409" w:type="pct"/>
            <w:tcBorders>
              <w:top w:val="single" w:sz="4" w:space="0" w:color="auto"/>
            </w:tcBorders>
            <w:shd w:val="clear" w:color="auto" w:fill="auto"/>
            <w:vAlign w:val="center"/>
          </w:tcPr>
          <w:p w:rsidR="00B20BA4" w:rsidRPr="00654A6C" w:rsidRDefault="0040423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B20BA4"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0,9966±0,062</w:t>
            </w:r>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val="en-US" w:eastAsia="ru-RU"/>
              </w:rPr>
            </w:pPr>
            <w:r w:rsidRPr="00654A6C">
              <w:rPr>
                <w:rFonts w:ascii="Times New Roman" w:eastAsia="Times New Roman" w:hAnsi="Times New Roman"/>
                <w:spacing w:val="-8"/>
                <w:sz w:val="24"/>
                <w:szCs w:val="24"/>
                <w:lang w:eastAsia="ru-RU"/>
              </w:rPr>
              <w:t>1,020±0,074</w:t>
            </w:r>
          </w:p>
        </w:tc>
        <w:tc>
          <w:tcPr>
            <w:tcW w:w="45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0,139</w:t>
            </w: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-0,62±0,26</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-0,53±0,35</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0,161</w:t>
            </w:r>
          </w:p>
        </w:tc>
      </w:tr>
      <w:tr w:rsidR="00B20BA4"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0,9282±0,027</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0,8930±0,033</w:t>
            </w:r>
          </w:p>
        </w:tc>
        <w:tc>
          <w:tcPr>
            <w:tcW w:w="45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0,530</w:t>
            </w: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-0,99±0,18</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-1,30±0,25</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0,388</w:t>
            </w:r>
          </w:p>
        </w:tc>
      </w:tr>
      <w:tr w:rsidR="00B20BA4"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1,017±0,030</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0,8937±0,035</w:t>
            </w:r>
          </w:p>
        </w:tc>
        <w:tc>
          <w:tcPr>
            <w:tcW w:w="45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0,110</w:t>
            </w: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-0,26±0,26</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-0,99±0,26</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0,068</w:t>
            </w:r>
          </w:p>
        </w:tc>
      </w:tr>
      <w:tr w:rsidR="00B20BA4"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0,9459±0,038</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0,9003±0,027</w:t>
            </w:r>
          </w:p>
        </w:tc>
        <w:tc>
          <w:tcPr>
            <w:tcW w:w="45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0,345</w:t>
            </w: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-0,67±0,33</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-1,04±0,24</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0,249</w:t>
            </w:r>
          </w:p>
        </w:tc>
      </w:tr>
      <w:tr w:rsidR="00B20BA4"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0,664</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0,152</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0,240</w:t>
            </w:r>
          </w:p>
        </w:tc>
        <w:tc>
          <w:tcPr>
            <w:tcW w:w="85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0,120</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B20BA4"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0,153</w:t>
            </w:r>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0,929</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0,164</w:t>
            </w:r>
          </w:p>
        </w:tc>
        <w:tc>
          <w:tcPr>
            <w:tcW w:w="8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0,929</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B20BA4"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0,219</w:t>
            </w:r>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0,291</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0,335</w:t>
            </w:r>
          </w:p>
        </w:tc>
        <w:tc>
          <w:tcPr>
            <w:tcW w:w="8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0,245</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B20BA4" w:rsidRPr="00DC52BB" w:rsidTr="00654A6C">
        <w:trPr>
          <w:jc w:val="center"/>
        </w:trPr>
        <w:tc>
          <w:tcPr>
            <w:tcW w:w="848"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8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0,795</w:t>
            </w:r>
          </w:p>
        </w:tc>
        <w:tc>
          <w:tcPr>
            <w:tcW w:w="88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0,624</w:t>
            </w:r>
          </w:p>
        </w:tc>
        <w:tc>
          <w:tcPr>
            <w:tcW w:w="45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6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0,495</w:t>
            </w:r>
          </w:p>
        </w:tc>
        <w:tc>
          <w:tcPr>
            <w:tcW w:w="8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0,501</w:t>
            </w:r>
          </w:p>
        </w:tc>
        <w:tc>
          <w:tcPr>
            <w:tcW w:w="40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bl>
    <w:p w:rsidR="00B20BA4" w:rsidRPr="00F71B34" w:rsidRDefault="00B20BA4" w:rsidP="00F71B34">
      <w:pPr>
        <w:spacing w:after="0" w:line="360" w:lineRule="auto"/>
        <w:jc w:val="both"/>
        <w:rPr>
          <w:rFonts w:ascii="Times New Roman" w:eastAsia="Times New Roman" w:hAnsi="Times New Roman"/>
          <w:sz w:val="28"/>
          <w:szCs w:val="28"/>
          <w:lang w:eastAsia="ru-RU"/>
        </w:rPr>
      </w:pP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Зависимости плотностных значений кости поясничного отдела позвоночника от степени активности РА и варианта терапии исходно и через 4</w:t>
      </w:r>
      <w:r w:rsidR="00F45E35" w:rsidRPr="00F71B34">
        <w:rPr>
          <w:rFonts w:ascii="Times New Roman" w:eastAsia="Times New Roman" w:hAnsi="Times New Roman"/>
          <w:sz w:val="28"/>
          <w:szCs w:val="28"/>
          <w:lang w:eastAsia="ru-RU"/>
        </w:rPr>
        <w:t>8 месяцев</w:t>
      </w:r>
      <w:r w:rsidRPr="00F71B34">
        <w:rPr>
          <w:rFonts w:ascii="Times New Roman" w:eastAsia="Times New Roman" w:hAnsi="Times New Roman"/>
          <w:sz w:val="28"/>
          <w:szCs w:val="28"/>
          <w:lang w:eastAsia="ru-RU"/>
        </w:rPr>
        <w:t xml:space="preserve"> наблюдения не отмечено.</w:t>
      </w:r>
    </w:p>
    <w:p w:rsidR="00DB0FD6" w:rsidRPr="00F71B34" w:rsidRDefault="00DB0FD6" w:rsidP="00F71B34">
      <w:pPr>
        <w:spacing w:after="0" w:line="360" w:lineRule="auto"/>
        <w:ind w:firstLine="708"/>
        <w:jc w:val="both"/>
        <w:rPr>
          <w:rFonts w:ascii="Times New Roman" w:eastAsia="Times New Roman" w:hAnsi="Times New Roman"/>
          <w:color w:val="FF0000"/>
          <w:sz w:val="28"/>
          <w:szCs w:val="28"/>
          <w:lang w:eastAsia="ru-RU"/>
        </w:rPr>
      </w:pP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0361F4">
        <w:rPr>
          <w:rFonts w:ascii="Times New Roman" w:eastAsia="Times New Roman" w:hAnsi="Times New Roman"/>
          <w:spacing w:val="40"/>
          <w:sz w:val="28"/>
          <w:szCs w:val="28"/>
          <w:lang w:eastAsia="ru-RU"/>
        </w:rPr>
        <w:lastRenderedPageBreak/>
        <w:t>Таблица</w:t>
      </w:r>
      <w:r w:rsidRPr="00F71B34">
        <w:rPr>
          <w:rFonts w:ascii="Times New Roman" w:eastAsia="Times New Roman" w:hAnsi="Times New Roman"/>
          <w:sz w:val="28"/>
          <w:szCs w:val="28"/>
          <w:lang w:eastAsia="ru-RU"/>
        </w:rPr>
        <w:t xml:space="preserve"> 13</w:t>
      </w:r>
      <w:r w:rsidR="00CD2EDC">
        <w:rPr>
          <w:rFonts w:ascii="Times New Roman" w:eastAsia="Times New Roman" w:hAnsi="Times New Roman"/>
          <w:sz w:val="28"/>
          <w:szCs w:val="28"/>
          <w:lang w:eastAsia="ru-RU"/>
        </w:rPr>
        <w:t xml:space="preserve"> – </w:t>
      </w:r>
      <w:r w:rsidR="00F8440D" w:rsidRPr="00F71B34">
        <w:rPr>
          <w:rFonts w:ascii="Times New Roman" w:eastAsia="Times New Roman" w:hAnsi="Times New Roman"/>
          <w:sz w:val="28"/>
          <w:szCs w:val="28"/>
          <w:lang w:eastAsia="ru-RU"/>
        </w:rPr>
        <w:t>Δ</w:t>
      </w:r>
      <w:r w:rsidR="00F8440D">
        <w:rPr>
          <w:rFonts w:ascii="Times New Roman" w:eastAsia="Times New Roman" w:hAnsi="Times New Roman"/>
          <w:sz w:val="28"/>
          <w:szCs w:val="28"/>
          <w:lang w:eastAsia="ru-RU"/>
        </w:rPr>
        <w:t xml:space="preserve"> </w:t>
      </w:r>
      <w:r w:rsidR="00F8440D" w:rsidRPr="00F71B34">
        <w:rPr>
          <w:rFonts w:ascii="Times New Roman" w:eastAsia="Times New Roman" w:hAnsi="Times New Roman"/>
          <w:sz w:val="28"/>
          <w:szCs w:val="28"/>
          <w:lang w:eastAsia="ru-RU"/>
        </w:rPr>
        <w:t xml:space="preserve">МПК </w:t>
      </w:r>
      <w:r w:rsidRPr="00F71B34">
        <w:rPr>
          <w:rFonts w:ascii="Times New Roman" w:eastAsia="Times New Roman" w:hAnsi="Times New Roman"/>
          <w:sz w:val="28"/>
          <w:szCs w:val="28"/>
          <w:lang w:eastAsia="ru-RU"/>
        </w:rPr>
        <w:t>шейки бедра и поясничного отдела позвоночника у больных РА за 48 месяцев наблюдения в зависимости от степени активности и варианта терапии (М±m)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984"/>
        <w:gridCol w:w="4916"/>
      </w:tblGrid>
      <w:tr w:rsidR="000361F4" w:rsidRPr="00DC52BB" w:rsidTr="000361F4">
        <w:tc>
          <w:tcPr>
            <w:tcW w:w="1103" w:type="pct"/>
            <w:vMerge w:val="restart"/>
            <w:tcBorders>
              <w:top w:val="single" w:sz="4" w:space="0" w:color="auto"/>
              <w:left w:val="single" w:sz="4" w:space="0" w:color="auto"/>
              <w:right w:val="single" w:sz="4" w:space="0" w:color="auto"/>
            </w:tcBorders>
            <w:vAlign w:val="center"/>
          </w:tcPr>
          <w:p w:rsidR="000361F4" w:rsidRPr="00DC52BB" w:rsidRDefault="000361F4" w:rsidP="00F71B34">
            <w:pPr>
              <w:spacing w:after="0" w:line="360" w:lineRule="auto"/>
              <w:ind w:right="-82"/>
              <w:jc w:val="center"/>
              <w:rPr>
                <w:rFonts w:ascii="Times New Roman" w:hAnsi="Times New Roman"/>
                <w:sz w:val="24"/>
                <w:szCs w:val="24"/>
                <w:lang w:eastAsia="ru-RU"/>
              </w:rPr>
            </w:pPr>
            <w:proofErr w:type="gramStart"/>
            <w:r w:rsidRPr="00DC52BB">
              <w:rPr>
                <w:rFonts w:ascii="Times New Roman" w:hAnsi="Times New Roman"/>
                <w:sz w:val="24"/>
                <w:szCs w:val="24"/>
                <w:lang w:eastAsia="ru-RU"/>
              </w:rPr>
              <w:t>Групп</w:t>
            </w:r>
            <w:r>
              <w:rPr>
                <w:rFonts w:ascii="Times New Roman" w:hAnsi="Times New Roman"/>
                <w:sz w:val="24"/>
                <w:szCs w:val="24"/>
                <w:lang w:eastAsia="ru-RU"/>
              </w:rPr>
              <w:t>а</w:t>
            </w:r>
            <w:r w:rsidRPr="00DC52BB">
              <w:rPr>
                <w:rFonts w:ascii="Times New Roman" w:hAnsi="Times New Roman"/>
                <w:sz w:val="24"/>
                <w:szCs w:val="24"/>
                <w:lang w:eastAsia="ru-RU"/>
              </w:rPr>
              <w:t xml:space="preserve"> больных (А – 1</w:t>
            </w:r>
            <w:r>
              <w:rPr>
                <w:rFonts w:ascii="Times New Roman" w:hAnsi="Times New Roman"/>
                <w:sz w:val="24"/>
                <w:szCs w:val="24"/>
                <w:lang w:eastAsia="ru-RU"/>
              </w:rPr>
              <w:t>–</w:t>
            </w:r>
            <w:r w:rsidRPr="00DC52BB">
              <w:rPr>
                <w:rFonts w:ascii="Times New Roman" w:hAnsi="Times New Roman"/>
                <w:sz w:val="24"/>
                <w:szCs w:val="24"/>
                <w:lang w:eastAsia="ru-RU"/>
              </w:rPr>
              <w:t>2</w:t>
            </w:r>
            <w:r>
              <w:rPr>
                <w:rFonts w:ascii="Times New Roman" w:hAnsi="Times New Roman"/>
                <w:sz w:val="24"/>
                <w:szCs w:val="24"/>
                <w:lang w:eastAsia="ru-RU"/>
              </w:rPr>
              <w:t>-я</w:t>
            </w:r>
            <w:r w:rsidRPr="00DC52BB">
              <w:rPr>
                <w:rFonts w:ascii="Times New Roman" w:hAnsi="Times New Roman"/>
                <w:sz w:val="24"/>
                <w:szCs w:val="24"/>
                <w:lang w:eastAsia="ru-RU"/>
              </w:rPr>
              <w:t xml:space="preserve"> степень, </w:t>
            </w:r>
            <w:proofErr w:type="gramEnd"/>
          </w:p>
          <w:p w:rsidR="000361F4" w:rsidRPr="00DC52BB" w:rsidRDefault="000361F4" w:rsidP="00F71B34">
            <w:pPr>
              <w:spacing w:after="0" w:line="360" w:lineRule="auto"/>
              <w:ind w:right="-82"/>
              <w:jc w:val="center"/>
              <w:rPr>
                <w:rFonts w:ascii="Times New Roman" w:hAnsi="Times New Roman"/>
                <w:sz w:val="24"/>
                <w:szCs w:val="24"/>
                <w:lang w:eastAsia="ru-RU"/>
              </w:rPr>
            </w:pPr>
            <w:proofErr w:type="gramStart"/>
            <w:r w:rsidRPr="00DC52BB">
              <w:rPr>
                <w:rFonts w:ascii="Times New Roman" w:hAnsi="Times New Roman"/>
                <w:sz w:val="24"/>
                <w:szCs w:val="24"/>
                <w:lang w:eastAsia="ru-RU"/>
              </w:rPr>
              <w:t>В – 3</w:t>
            </w:r>
            <w:r>
              <w:rPr>
                <w:rFonts w:ascii="Times New Roman" w:hAnsi="Times New Roman"/>
                <w:sz w:val="24"/>
                <w:szCs w:val="24"/>
                <w:lang w:eastAsia="ru-RU"/>
              </w:rPr>
              <w:t>-я</w:t>
            </w:r>
            <w:r w:rsidRPr="00DC52BB">
              <w:rPr>
                <w:rFonts w:ascii="Times New Roman" w:hAnsi="Times New Roman"/>
                <w:sz w:val="24"/>
                <w:szCs w:val="24"/>
                <w:lang w:eastAsia="ru-RU"/>
              </w:rPr>
              <w:t xml:space="preserve"> степень)</w:t>
            </w:r>
            <w:proofErr w:type="gramEnd"/>
          </w:p>
        </w:tc>
        <w:tc>
          <w:tcPr>
            <w:tcW w:w="3897" w:type="pct"/>
            <w:gridSpan w:val="2"/>
            <w:tcBorders>
              <w:top w:val="single" w:sz="4" w:space="0" w:color="auto"/>
              <w:left w:val="single" w:sz="4" w:space="0" w:color="auto"/>
              <w:bottom w:val="single" w:sz="4" w:space="0" w:color="auto"/>
              <w:right w:val="single" w:sz="4" w:space="0" w:color="auto"/>
            </w:tcBorders>
            <w:vAlign w:val="center"/>
          </w:tcPr>
          <w:p w:rsidR="000361F4" w:rsidRPr="00DC52BB" w:rsidRDefault="000361F4" w:rsidP="000361F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 xml:space="preserve">Δ МПК </w:t>
            </w:r>
          </w:p>
        </w:tc>
      </w:tr>
      <w:tr w:rsidR="000361F4" w:rsidRPr="00DC52BB" w:rsidTr="00B27E28">
        <w:tc>
          <w:tcPr>
            <w:tcW w:w="1103" w:type="pct"/>
            <w:vMerge/>
            <w:tcBorders>
              <w:left w:val="single" w:sz="4" w:space="0" w:color="auto"/>
              <w:bottom w:val="single" w:sz="4" w:space="0" w:color="auto"/>
              <w:right w:val="single" w:sz="4" w:space="0" w:color="auto"/>
            </w:tcBorders>
            <w:vAlign w:val="center"/>
          </w:tcPr>
          <w:p w:rsidR="000361F4" w:rsidRPr="00DC52BB" w:rsidRDefault="000361F4" w:rsidP="00F71B34">
            <w:pPr>
              <w:spacing w:after="0" w:line="360" w:lineRule="auto"/>
              <w:ind w:right="-82"/>
              <w:jc w:val="center"/>
              <w:rPr>
                <w:rFonts w:ascii="Times New Roman" w:hAnsi="Times New Roman"/>
                <w:sz w:val="24"/>
                <w:szCs w:val="24"/>
                <w:lang w:eastAsia="ru-RU"/>
              </w:rPr>
            </w:pPr>
          </w:p>
        </w:tc>
        <w:tc>
          <w:tcPr>
            <w:tcW w:w="1472" w:type="pct"/>
            <w:tcBorders>
              <w:top w:val="single" w:sz="4" w:space="0" w:color="auto"/>
              <w:left w:val="single" w:sz="4" w:space="0" w:color="auto"/>
              <w:bottom w:val="single" w:sz="4" w:space="0" w:color="auto"/>
              <w:right w:val="single" w:sz="4" w:space="0" w:color="auto"/>
            </w:tcBorders>
            <w:vAlign w:val="center"/>
          </w:tcPr>
          <w:p w:rsidR="000361F4" w:rsidRPr="00DC52BB" w:rsidRDefault="000361F4"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шейки бедра</w:t>
            </w:r>
            <w:proofErr w:type="gramStart"/>
            <w:r w:rsidR="00F8440D">
              <w:rPr>
                <w:rFonts w:ascii="Times New Roman" w:hAnsi="Times New Roman"/>
                <w:sz w:val="24"/>
                <w:szCs w:val="24"/>
                <w:lang w:eastAsia="ru-RU"/>
              </w:rPr>
              <w:t xml:space="preserve"> (%)</w:t>
            </w:r>
            <w:proofErr w:type="gramEnd"/>
          </w:p>
        </w:tc>
        <w:tc>
          <w:tcPr>
            <w:tcW w:w="2425" w:type="pct"/>
            <w:tcBorders>
              <w:top w:val="single" w:sz="4" w:space="0" w:color="auto"/>
              <w:left w:val="single" w:sz="4" w:space="0" w:color="auto"/>
              <w:bottom w:val="single" w:sz="4" w:space="0" w:color="auto"/>
              <w:right w:val="single" w:sz="4" w:space="0" w:color="auto"/>
            </w:tcBorders>
            <w:vAlign w:val="center"/>
          </w:tcPr>
          <w:p w:rsidR="000361F4" w:rsidRPr="00DC52BB" w:rsidRDefault="000361F4" w:rsidP="000361F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поясничного отдела</w:t>
            </w:r>
            <w:r w:rsidR="00B27E28">
              <w:rPr>
                <w:rFonts w:ascii="Times New Roman" w:hAnsi="Times New Roman"/>
                <w:sz w:val="24"/>
                <w:szCs w:val="24"/>
                <w:lang w:eastAsia="ru-RU"/>
              </w:rPr>
              <w:t xml:space="preserve"> </w:t>
            </w:r>
            <w:r w:rsidRPr="00DC52BB">
              <w:rPr>
                <w:rFonts w:ascii="Times New Roman" w:hAnsi="Times New Roman"/>
                <w:sz w:val="24"/>
                <w:szCs w:val="24"/>
                <w:lang w:eastAsia="ru-RU"/>
              </w:rPr>
              <w:t>позвоночника</w:t>
            </w:r>
            <w:proofErr w:type="gramStart"/>
            <w:r w:rsidR="00F8440D">
              <w:rPr>
                <w:rFonts w:ascii="Times New Roman" w:hAnsi="Times New Roman"/>
                <w:sz w:val="24"/>
                <w:szCs w:val="24"/>
                <w:lang w:eastAsia="ru-RU"/>
              </w:rPr>
              <w:t xml:space="preserve"> (%)</w:t>
            </w:r>
            <w:proofErr w:type="gramEnd"/>
          </w:p>
        </w:tc>
      </w:tr>
      <w:tr w:rsidR="00B20BA4" w:rsidRPr="00DC52BB" w:rsidTr="00B27E28">
        <w:tc>
          <w:tcPr>
            <w:tcW w:w="1103"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А</w:t>
            </w:r>
            <w:proofErr w:type="gramStart"/>
            <w:r w:rsidRPr="00DC52BB">
              <w:rPr>
                <w:rFonts w:ascii="Times New Roman" w:hAnsi="Times New Roman"/>
                <w:sz w:val="24"/>
                <w:szCs w:val="24"/>
                <w:vertAlign w:val="subscript"/>
                <w:lang w:eastAsia="ru-RU"/>
              </w:rPr>
              <w:t>1</w:t>
            </w:r>
            <w:proofErr w:type="gramEnd"/>
          </w:p>
        </w:tc>
        <w:tc>
          <w:tcPr>
            <w:tcW w:w="1472" w:type="pct"/>
            <w:tcBorders>
              <w:top w:val="single" w:sz="4" w:space="0" w:color="auto"/>
              <w:left w:val="single" w:sz="4" w:space="0" w:color="auto"/>
              <w:bottom w:val="single" w:sz="4" w:space="0" w:color="auto"/>
              <w:right w:val="single" w:sz="4" w:space="0" w:color="auto"/>
            </w:tcBorders>
            <w:vAlign w:val="center"/>
          </w:tcPr>
          <w:p w:rsidR="00B20BA4" w:rsidRPr="00DC52BB" w:rsidRDefault="009E4CEB" w:rsidP="009E4CE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5,32</w:t>
            </w:r>
            <w:r w:rsidR="00B20BA4" w:rsidRPr="00DC52BB">
              <w:rPr>
                <w:rFonts w:ascii="Times New Roman" w:hAnsi="Times New Roman"/>
                <w:sz w:val="24"/>
                <w:szCs w:val="24"/>
                <w:lang w:eastAsia="ru-RU"/>
              </w:rPr>
              <w:t>±</w:t>
            </w:r>
            <w:r>
              <w:rPr>
                <w:rFonts w:ascii="Times New Roman" w:hAnsi="Times New Roman"/>
                <w:sz w:val="24"/>
                <w:szCs w:val="24"/>
                <w:lang w:eastAsia="ru-RU"/>
              </w:rPr>
              <w:t>2,40</w:t>
            </w:r>
          </w:p>
        </w:tc>
        <w:tc>
          <w:tcPr>
            <w:tcW w:w="2425" w:type="pct"/>
            <w:tcBorders>
              <w:top w:val="single" w:sz="4" w:space="0" w:color="auto"/>
              <w:left w:val="single" w:sz="4" w:space="0" w:color="auto"/>
              <w:bottom w:val="single" w:sz="4" w:space="0" w:color="auto"/>
              <w:right w:val="single" w:sz="4" w:space="0" w:color="auto"/>
            </w:tcBorders>
            <w:vAlign w:val="center"/>
          </w:tcPr>
          <w:p w:rsidR="00B20BA4" w:rsidRPr="00DC52BB" w:rsidRDefault="009E4CEB" w:rsidP="009E4CE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-1,81</w:t>
            </w:r>
            <w:r w:rsidR="00B20BA4" w:rsidRPr="00DC52BB">
              <w:rPr>
                <w:rFonts w:ascii="Times New Roman" w:hAnsi="Times New Roman"/>
                <w:sz w:val="24"/>
                <w:szCs w:val="24"/>
                <w:lang w:eastAsia="ru-RU"/>
              </w:rPr>
              <w:t>±0,</w:t>
            </w:r>
            <w:r>
              <w:rPr>
                <w:rFonts w:ascii="Times New Roman" w:hAnsi="Times New Roman"/>
                <w:sz w:val="24"/>
                <w:szCs w:val="24"/>
                <w:lang w:eastAsia="ru-RU"/>
              </w:rPr>
              <w:t>911</w:t>
            </w:r>
          </w:p>
        </w:tc>
      </w:tr>
      <w:tr w:rsidR="00B20BA4" w:rsidRPr="00DC52BB" w:rsidTr="00B27E28">
        <w:tc>
          <w:tcPr>
            <w:tcW w:w="1103"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В</w:t>
            </w:r>
            <w:proofErr w:type="gramStart"/>
            <w:r w:rsidRPr="00DC52BB">
              <w:rPr>
                <w:rFonts w:ascii="Times New Roman" w:hAnsi="Times New Roman"/>
                <w:sz w:val="24"/>
                <w:szCs w:val="24"/>
                <w:vertAlign w:val="subscript"/>
                <w:lang w:eastAsia="ru-RU"/>
              </w:rPr>
              <w:t>1</w:t>
            </w:r>
            <w:proofErr w:type="gramEnd"/>
          </w:p>
        </w:tc>
        <w:tc>
          <w:tcPr>
            <w:tcW w:w="1472" w:type="pct"/>
            <w:tcBorders>
              <w:top w:val="single" w:sz="4" w:space="0" w:color="auto"/>
              <w:left w:val="single" w:sz="4" w:space="0" w:color="auto"/>
              <w:bottom w:val="single" w:sz="4" w:space="0" w:color="auto"/>
              <w:right w:val="single" w:sz="4" w:space="0" w:color="auto"/>
            </w:tcBorders>
            <w:vAlign w:val="center"/>
          </w:tcPr>
          <w:p w:rsidR="00B20BA4" w:rsidRPr="00DC52BB" w:rsidRDefault="002E503D" w:rsidP="002E503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8,028</w:t>
            </w:r>
            <w:r w:rsidR="00B20BA4" w:rsidRPr="00DC52BB">
              <w:rPr>
                <w:rFonts w:ascii="Times New Roman" w:hAnsi="Times New Roman"/>
                <w:sz w:val="24"/>
                <w:szCs w:val="24"/>
                <w:lang w:eastAsia="ru-RU"/>
              </w:rPr>
              <w:t>±</w:t>
            </w:r>
            <w:r>
              <w:rPr>
                <w:rFonts w:ascii="Times New Roman" w:hAnsi="Times New Roman"/>
                <w:sz w:val="24"/>
                <w:szCs w:val="24"/>
                <w:lang w:eastAsia="ru-RU"/>
              </w:rPr>
              <w:t>1,29</w:t>
            </w:r>
          </w:p>
        </w:tc>
        <w:tc>
          <w:tcPr>
            <w:tcW w:w="2425" w:type="pct"/>
            <w:tcBorders>
              <w:top w:val="single" w:sz="4" w:space="0" w:color="auto"/>
              <w:left w:val="single" w:sz="4" w:space="0" w:color="auto"/>
              <w:bottom w:val="single" w:sz="4" w:space="0" w:color="auto"/>
              <w:right w:val="single" w:sz="4" w:space="0" w:color="auto"/>
            </w:tcBorders>
            <w:vAlign w:val="center"/>
          </w:tcPr>
          <w:p w:rsidR="00B20BA4" w:rsidRPr="00DC52BB" w:rsidRDefault="00800CFB" w:rsidP="002E503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r w:rsidR="002E503D">
              <w:rPr>
                <w:rFonts w:ascii="Times New Roman" w:hAnsi="Times New Roman"/>
                <w:sz w:val="24"/>
                <w:szCs w:val="24"/>
                <w:lang w:eastAsia="ru-RU"/>
              </w:rPr>
              <w:t>1,26</w:t>
            </w:r>
            <w:r w:rsidR="00B20BA4" w:rsidRPr="00DC52BB">
              <w:rPr>
                <w:rFonts w:ascii="Times New Roman" w:hAnsi="Times New Roman"/>
                <w:sz w:val="24"/>
                <w:szCs w:val="24"/>
                <w:lang w:eastAsia="ru-RU"/>
              </w:rPr>
              <w:t>±</w:t>
            </w:r>
            <w:r w:rsidR="002E503D">
              <w:rPr>
                <w:rFonts w:ascii="Times New Roman" w:hAnsi="Times New Roman"/>
                <w:sz w:val="24"/>
                <w:szCs w:val="24"/>
                <w:lang w:eastAsia="ru-RU"/>
              </w:rPr>
              <w:t>2,28</w:t>
            </w:r>
          </w:p>
        </w:tc>
      </w:tr>
      <w:tr w:rsidR="00B20BA4" w:rsidRPr="00DC52BB" w:rsidTr="00B27E28">
        <w:tc>
          <w:tcPr>
            <w:tcW w:w="1103"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А</w:t>
            </w:r>
            <w:proofErr w:type="gramStart"/>
            <w:r w:rsidRPr="00DC52BB">
              <w:rPr>
                <w:rFonts w:ascii="Times New Roman" w:hAnsi="Times New Roman"/>
                <w:sz w:val="24"/>
                <w:szCs w:val="24"/>
                <w:vertAlign w:val="subscript"/>
                <w:lang w:eastAsia="ru-RU"/>
              </w:rPr>
              <w:t>2</w:t>
            </w:r>
            <w:proofErr w:type="gramEnd"/>
          </w:p>
        </w:tc>
        <w:tc>
          <w:tcPr>
            <w:tcW w:w="1472"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9E4CEB">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w:t>
            </w:r>
            <w:r w:rsidR="009E4CEB">
              <w:rPr>
                <w:rFonts w:ascii="Times New Roman" w:hAnsi="Times New Roman"/>
                <w:sz w:val="24"/>
                <w:szCs w:val="24"/>
                <w:lang w:eastAsia="ru-RU"/>
              </w:rPr>
              <w:t>4,13</w:t>
            </w:r>
            <w:r w:rsidRPr="00DC52BB">
              <w:rPr>
                <w:rFonts w:ascii="Times New Roman" w:hAnsi="Times New Roman"/>
                <w:sz w:val="24"/>
                <w:szCs w:val="24"/>
                <w:lang w:eastAsia="ru-RU"/>
              </w:rPr>
              <w:t>±</w:t>
            </w:r>
            <w:r w:rsidR="009E4CEB">
              <w:rPr>
                <w:rFonts w:ascii="Times New Roman" w:hAnsi="Times New Roman"/>
                <w:sz w:val="24"/>
                <w:szCs w:val="24"/>
                <w:lang w:eastAsia="ru-RU"/>
              </w:rPr>
              <w:t>1,94</w:t>
            </w:r>
          </w:p>
        </w:tc>
        <w:tc>
          <w:tcPr>
            <w:tcW w:w="2425"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9E4CEB">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w:t>
            </w:r>
            <w:r w:rsidR="009E4CEB">
              <w:rPr>
                <w:rFonts w:ascii="Times New Roman" w:hAnsi="Times New Roman"/>
                <w:sz w:val="24"/>
                <w:szCs w:val="24"/>
                <w:lang w:eastAsia="ru-RU"/>
              </w:rPr>
              <w:t>3,57</w:t>
            </w:r>
            <w:r w:rsidRPr="00DC52BB">
              <w:rPr>
                <w:rFonts w:ascii="Times New Roman" w:hAnsi="Times New Roman"/>
                <w:sz w:val="24"/>
                <w:szCs w:val="24"/>
                <w:lang w:eastAsia="ru-RU"/>
              </w:rPr>
              <w:t>±</w:t>
            </w:r>
            <w:r w:rsidR="009E4CEB">
              <w:rPr>
                <w:rFonts w:ascii="Times New Roman" w:hAnsi="Times New Roman"/>
                <w:sz w:val="24"/>
                <w:szCs w:val="24"/>
                <w:lang w:eastAsia="ru-RU"/>
              </w:rPr>
              <w:t>3,12</w:t>
            </w:r>
          </w:p>
        </w:tc>
      </w:tr>
      <w:tr w:rsidR="00B20BA4" w:rsidRPr="00DC52BB" w:rsidTr="00B27E28">
        <w:tc>
          <w:tcPr>
            <w:tcW w:w="1103"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В</w:t>
            </w:r>
            <w:proofErr w:type="gramStart"/>
            <w:r w:rsidRPr="00DC52BB">
              <w:rPr>
                <w:rFonts w:ascii="Times New Roman" w:hAnsi="Times New Roman"/>
                <w:sz w:val="24"/>
                <w:szCs w:val="24"/>
                <w:vertAlign w:val="subscript"/>
                <w:lang w:eastAsia="ru-RU"/>
              </w:rPr>
              <w:t>2</w:t>
            </w:r>
            <w:proofErr w:type="gramEnd"/>
          </w:p>
        </w:tc>
        <w:tc>
          <w:tcPr>
            <w:tcW w:w="1472"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2E503D">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w:t>
            </w:r>
            <w:r w:rsidR="002E503D">
              <w:rPr>
                <w:rFonts w:ascii="Times New Roman" w:hAnsi="Times New Roman"/>
                <w:sz w:val="24"/>
                <w:szCs w:val="24"/>
                <w:lang w:eastAsia="ru-RU"/>
              </w:rPr>
              <w:t>2,006</w:t>
            </w:r>
            <w:r w:rsidRPr="00DC52BB">
              <w:rPr>
                <w:rFonts w:ascii="Times New Roman" w:hAnsi="Times New Roman"/>
                <w:sz w:val="24"/>
                <w:szCs w:val="24"/>
                <w:lang w:eastAsia="ru-RU"/>
              </w:rPr>
              <w:t>±</w:t>
            </w:r>
            <w:r w:rsidR="002E503D">
              <w:rPr>
                <w:rFonts w:ascii="Times New Roman" w:hAnsi="Times New Roman"/>
                <w:sz w:val="24"/>
                <w:szCs w:val="24"/>
                <w:lang w:eastAsia="ru-RU"/>
              </w:rPr>
              <w:t>2,225</w:t>
            </w:r>
          </w:p>
        </w:tc>
        <w:tc>
          <w:tcPr>
            <w:tcW w:w="2425" w:type="pct"/>
            <w:tcBorders>
              <w:top w:val="single" w:sz="4" w:space="0" w:color="auto"/>
              <w:left w:val="single" w:sz="4" w:space="0" w:color="auto"/>
              <w:bottom w:val="single" w:sz="4" w:space="0" w:color="auto"/>
              <w:right w:val="single" w:sz="4" w:space="0" w:color="auto"/>
            </w:tcBorders>
            <w:vAlign w:val="center"/>
          </w:tcPr>
          <w:p w:rsidR="00B20BA4" w:rsidRPr="00DC52BB" w:rsidRDefault="002E503D" w:rsidP="002E503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0,13</w:t>
            </w:r>
            <w:r w:rsidR="00B20BA4" w:rsidRPr="00DC52BB">
              <w:rPr>
                <w:rFonts w:ascii="Times New Roman" w:hAnsi="Times New Roman"/>
                <w:sz w:val="24"/>
                <w:szCs w:val="24"/>
                <w:lang w:eastAsia="ru-RU"/>
              </w:rPr>
              <w:t>±</w:t>
            </w:r>
            <w:r>
              <w:rPr>
                <w:rFonts w:ascii="Times New Roman" w:hAnsi="Times New Roman"/>
                <w:sz w:val="24"/>
                <w:szCs w:val="24"/>
                <w:lang w:eastAsia="ru-RU"/>
              </w:rPr>
              <w:t>2,42</w:t>
            </w:r>
          </w:p>
        </w:tc>
      </w:tr>
      <w:tr w:rsidR="00B20BA4" w:rsidRPr="00DC52BB" w:rsidTr="00B27E28">
        <w:tc>
          <w:tcPr>
            <w:tcW w:w="1103"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F71B34">
            <w:pPr>
              <w:spacing w:after="0" w:line="360" w:lineRule="auto"/>
              <w:ind w:right="-82"/>
              <w:jc w:val="center"/>
              <w:rPr>
                <w:rFonts w:ascii="Times New Roman" w:hAnsi="Times New Roman"/>
                <w:sz w:val="24"/>
                <w:szCs w:val="24"/>
                <w:lang w:eastAsia="ru-RU"/>
              </w:rPr>
            </w:pPr>
            <w:proofErr w:type="gramStart"/>
            <w:r w:rsidRPr="00DC52BB">
              <w:rPr>
                <w:rFonts w:ascii="Times New Roman" w:hAnsi="Times New Roman"/>
                <w:sz w:val="24"/>
                <w:szCs w:val="24"/>
                <w:lang w:eastAsia="ru-RU"/>
              </w:rPr>
              <w:t>р</w:t>
            </w:r>
            <w:proofErr w:type="gramEnd"/>
            <w:r w:rsidRPr="00DC52BB">
              <w:rPr>
                <w:rFonts w:ascii="Times New Roman" w:hAnsi="Times New Roman"/>
                <w:sz w:val="24"/>
                <w:szCs w:val="24"/>
                <w:lang w:eastAsia="ru-RU"/>
              </w:rPr>
              <w:t xml:space="preserve"> (А</w:t>
            </w:r>
            <w:r w:rsidRPr="00DC52BB">
              <w:rPr>
                <w:rFonts w:ascii="Times New Roman" w:hAnsi="Times New Roman"/>
                <w:sz w:val="24"/>
                <w:szCs w:val="24"/>
                <w:vertAlign w:val="subscript"/>
                <w:lang w:eastAsia="ru-RU"/>
              </w:rPr>
              <w:t>1</w:t>
            </w:r>
            <w:r w:rsidRPr="00DC52BB">
              <w:rPr>
                <w:rFonts w:ascii="Times New Roman" w:hAnsi="Times New Roman"/>
                <w:sz w:val="24"/>
                <w:szCs w:val="24"/>
                <w:lang w:eastAsia="ru-RU"/>
              </w:rPr>
              <w:t xml:space="preserve"> vs В</w:t>
            </w:r>
            <w:r w:rsidRPr="00DC52BB">
              <w:rPr>
                <w:rFonts w:ascii="Times New Roman" w:hAnsi="Times New Roman"/>
                <w:sz w:val="24"/>
                <w:szCs w:val="24"/>
                <w:vertAlign w:val="subscript"/>
                <w:lang w:eastAsia="ru-RU"/>
              </w:rPr>
              <w:t>1</w:t>
            </w:r>
            <w:r w:rsidRPr="00DC52BB">
              <w:rPr>
                <w:rFonts w:ascii="Times New Roman" w:hAnsi="Times New Roman"/>
                <w:sz w:val="24"/>
                <w:szCs w:val="24"/>
                <w:lang w:eastAsia="ru-RU"/>
              </w:rPr>
              <w:t>)</w:t>
            </w:r>
          </w:p>
        </w:tc>
        <w:tc>
          <w:tcPr>
            <w:tcW w:w="1472"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9E4CEB">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w:t>
            </w:r>
            <w:r w:rsidR="009E4CEB">
              <w:rPr>
                <w:rFonts w:ascii="Times New Roman" w:hAnsi="Times New Roman"/>
                <w:sz w:val="24"/>
                <w:szCs w:val="24"/>
                <w:lang w:eastAsia="ru-RU"/>
              </w:rPr>
              <w:t>304</w:t>
            </w:r>
          </w:p>
        </w:tc>
        <w:tc>
          <w:tcPr>
            <w:tcW w:w="2425"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76697D">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0,7</w:t>
            </w:r>
            <w:r w:rsidR="0076697D">
              <w:rPr>
                <w:rFonts w:ascii="Times New Roman" w:hAnsi="Times New Roman"/>
                <w:sz w:val="24"/>
                <w:szCs w:val="24"/>
                <w:lang w:eastAsia="ru-RU"/>
              </w:rPr>
              <w:t>22</w:t>
            </w:r>
          </w:p>
        </w:tc>
      </w:tr>
      <w:tr w:rsidR="00B20BA4" w:rsidRPr="00DC52BB" w:rsidTr="00B27E28">
        <w:tc>
          <w:tcPr>
            <w:tcW w:w="1103"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p (А</w:t>
            </w:r>
            <w:proofErr w:type="gramStart"/>
            <w:r w:rsidRPr="00DC52BB">
              <w:rPr>
                <w:rFonts w:ascii="Times New Roman" w:hAnsi="Times New Roman"/>
                <w:sz w:val="24"/>
                <w:szCs w:val="24"/>
                <w:vertAlign w:val="subscript"/>
                <w:lang w:eastAsia="ru-RU"/>
              </w:rPr>
              <w:t>2</w:t>
            </w:r>
            <w:proofErr w:type="gramEnd"/>
            <w:r w:rsidRPr="00DC52BB">
              <w:rPr>
                <w:rFonts w:ascii="Times New Roman" w:hAnsi="Times New Roman"/>
                <w:sz w:val="24"/>
                <w:szCs w:val="24"/>
                <w:lang w:eastAsia="ru-RU"/>
              </w:rPr>
              <w:t xml:space="preserve"> vs В</w:t>
            </w:r>
            <w:r w:rsidRPr="00DC52BB">
              <w:rPr>
                <w:rFonts w:ascii="Times New Roman" w:hAnsi="Times New Roman"/>
                <w:sz w:val="24"/>
                <w:szCs w:val="24"/>
                <w:vertAlign w:val="subscript"/>
                <w:lang w:eastAsia="ru-RU"/>
              </w:rPr>
              <w:t>2</w:t>
            </w:r>
            <w:r w:rsidRPr="00DC52BB">
              <w:rPr>
                <w:rFonts w:ascii="Times New Roman" w:hAnsi="Times New Roman"/>
                <w:sz w:val="24"/>
                <w:szCs w:val="24"/>
                <w:lang w:eastAsia="ru-RU"/>
              </w:rPr>
              <w:t>)</w:t>
            </w:r>
          </w:p>
        </w:tc>
        <w:tc>
          <w:tcPr>
            <w:tcW w:w="1472"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9E4CEB">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w:t>
            </w:r>
            <w:r w:rsidR="009E4CEB">
              <w:rPr>
                <w:rFonts w:ascii="Times New Roman" w:hAnsi="Times New Roman"/>
                <w:sz w:val="24"/>
                <w:szCs w:val="24"/>
                <w:lang w:eastAsia="ru-RU"/>
              </w:rPr>
              <w:t>634</w:t>
            </w:r>
          </w:p>
        </w:tc>
        <w:tc>
          <w:tcPr>
            <w:tcW w:w="2425"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76697D">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w:t>
            </w:r>
            <w:r w:rsidR="0076697D">
              <w:rPr>
                <w:rFonts w:ascii="Times New Roman" w:hAnsi="Times New Roman"/>
                <w:sz w:val="24"/>
                <w:szCs w:val="24"/>
                <w:lang w:eastAsia="ru-RU"/>
              </w:rPr>
              <w:t>153</w:t>
            </w:r>
          </w:p>
        </w:tc>
      </w:tr>
      <w:tr w:rsidR="00B20BA4" w:rsidRPr="00DC52BB" w:rsidTr="00B27E28">
        <w:tc>
          <w:tcPr>
            <w:tcW w:w="1103"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p (А</w:t>
            </w:r>
            <w:proofErr w:type="gramStart"/>
            <w:r w:rsidRPr="00DC52BB">
              <w:rPr>
                <w:rFonts w:ascii="Times New Roman" w:hAnsi="Times New Roman"/>
                <w:sz w:val="24"/>
                <w:szCs w:val="24"/>
                <w:vertAlign w:val="subscript"/>
                <w:lang w:eastAsia="ru-RU"/>
              </w:rPr>
              <w:t>1</w:t>
            </w:r>
            <w:proofErr w:type="gramEnd"/>
            <w:r w:rsidRPr="00DC52BB">
              <w:rPr>
                <w:rFonts w:ascii="Times New Roman" w:hAnsi="Times New Roman"/>
                <w:sz w:val="24"/>
                <w:szCs w:val="24"/>
                <w:lang w:eastAsia="ru-RU"/>
              </w:rPr>
              <w:t xml:space="preserve"> vs А</w:t>
            </w:r>
            <w:r w:rsidRPr="00DC52BB">
              <w:rPr>
                <w:rFonts w:ascii="Times New Roman" w:hAnsi="Times New Roman"/>
                <w:sz w:val="24"/>
                <w:szCs w:val="24"/>
                <w:vertAlign w:val="subscript"/>
                <w:lang w:eastAsia="ru-RU"/>
              </w:rPr>
              <w:t>2</w:t>
            </w:r>
            <w:r w:rsidRPr="00DC52BB">
              <w:rPr>
                <w:rFonts w:ascii="Times New Roman" w:hAnsi="Times New Roman"/>
                <w:sz w:val="24"/>
                <w:szCs w:val="24"/>
                <w:lang w:eastAsia="ru-RU"/>
              </w:rPr>
              <w:t>)</w:t>
            </w:r>
          </w:p>
        </w:tc>
        <w:tc>
          <w:tcPr>
            <w:tcW w:w="1472" w:type="pct"/>
            <w:tcBorders>
              <w:top w:val="single" w:sz="4" w:space="0" w:color="auto"/>
              <w:left w:val="single" w:sz="4" w:space="0" w:color="auto"/>
              <w:bottom w:val="single" w:sz="4" w:space="0" w:color="auto"/>
              <w:right w:val="single" w:sz="4" w:space="0" w:color="auto"/>
            </w:tcBorders>
            <w:vAlign w:val="center"/>
          </w:tcPr>
          <w:p w:rsidR="00B20BA4" w:rsidRPr="00DC52BB" w:rsidRDefault="009E4CEB" w:rsidP="00F71B34">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0,01</w:t>
            </w:r>
            <w:r w:rsidR="00B20BA4" w:rsidRPr="00DC52BB">
              <w:rPr>
                <w:rFonts w:ascii="Times New Roman" w:hAnsi="Times New Roman"/>
                <w:sz w:val="24"/>
                <w:szCs w:val="24"/>
                <w:lang w:eastAsia="ru-RU"/>
              </w:rPr>
              <w:t>1</w:t>
            </w:r>
          </w:p>
        </w:tc>
        <w:tc>
          <w:tcPr>
            <w:tcW w:w="2425"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F71B34">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0,369</w:t>
            </w:r>
          </w:p>
        </w:tc>
      </w:tr>
      <w:tr w:rsidR="00B20BA4" w:rsidRPr="00DC52BB" w:rsidTr="00B27E28">
        <w:tc>
          <w:tcPr>
            <w:tcW w:w="1103"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F71B34">
            <w:pPr>
              <w:spacing w:after="0" w:line="360" w:lineRule="auto"/>
              <w:ind w:right="-82"/>
              <w:jc w:val="center"/>
              <w:rPr>
                <w:rFonts w:ascii="Times New Roman" w:hAnsi="Times New Roman"/>
                <w:sz w:val="24"/>
                <w:szCs w:val="24"/>
                <w:lang w:eastAsia="ru-RU"/>
              </w:rPr>
            </w:pPr>
            <w:proofErr w:type="gramStart"/>
            <w:r w:rsidRPr="00DC52BB">
              <w:rPr>
                <w:rFonts w:ascii="Times New Roman" w:hAnsi="Times New Roman"/>
                <w:sz w:val="24"/>
                <w:szCs w:val="24"/>
                <w:lang w:eastAsia="ru-RU"/>
              </w:rPr>
              <w:t>р</w:t>
            </w:r>
            <w:proofErr w:type="gramEnd"/>
            <w:r w:rsidRPr="00DC52BB">
              <w:rPr>
                <w:rFonts w:ascii="Times New Roman" w:hAnsi="Times New Roman"/>
                <w:sz w:val="24"/>
                <w:szCs w:val="24"/>
                <w:lang w:eastAsia="ru-RU"/>
              </w:rPr>
              <w:t xml:space="preserve"> (В</w:t>
            </w:r>
            <w:r w:rsidRPr="00DC52BB">
              <w:rPr>
                <w:rFonts w:ascii="Times New Roman" w:hAnsi="Times New Roman"/>
                <w:sz w:val="24"/>
                <w:szCs w:val="24"/>
                <w:vertAlign w:val="subscript"/>
                <w:lang w:eastAsia="ru-RU"/>
              </w:rPr>
              <w:t>1</w:t>
            </w:r>
            <w:r w:rsidRPr="00DC52BB">
              <w:rPr>
                <w:rFonts w:ascii="Times New Roman" w:hAnsi="Times New Roman"/>
                <w:sz w:val="24"/>
                <w:szCs w:val="24"/>
                <w:lang w:eastAsia="ru-RU"/>
              </w:rPr>
              <w:t xml:space="preserve"> vs В</w:t>
            </w:r>
            <w:r w:rsidRPr="00DC52BB">
              <w:rPr>
                <w:rFonts w:ascii="Times New Roman" w:hAnsi="Times New Roman"/>
                <w:sz w:val="24"/>
                <w:szCs w:val="24"/>
                <w:vertAlign w:val="subscript"/>
                <w:lang w:eastAsia="ru-RU"/>
              </w:rPr>
              <w:t>2</w:t>
            </w:r>
            <w:r w:rsidRPr="00DC52BB">
              <w:rPr>
                <w:rFonts w:ascii="Times New Roman" w:hAnsi="Times New Roman"/>
                <w:sz w:val="24"/>
                <w:szCs w:val="24"/>
                <w:lang w:eastAsia="ru-RU"/>
              </w:rPr>
              <w:t>)</w:t>
            </w:r>
          </w:p>
        </w:tc>
        <w:tc>
          <w:tcPr>
            <w:tcW w:w="1472"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2E503D">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0,00</w:t>
            </w:r>
            <w:r w:rsidR="002E503D">
              <w:rPr>
                <w:rFonts w:ascii="Times New Roman" w:hAnsi="Times New Roman"/>
                <w:sz w:val="24"/>
                <w:szCs w:val="24"/>
                <w:lang w:eastAsia="ru-RU"/>
              </w:rPr>
              <w:t>37</w:t>
            </w:r>
          </w:p>
        </w:tc>
        <w:tc>
          <w:tcPr>
            <w:tcW w:w="2425" w:type="pct"/>
            <w:tcBorders>
              <w:top w:val="single" w:sz="4" w:space="0" w:color="auto"/>
              <w:left w:val="single" w:sz="4" w:space="0" w:color="auto"/>
              <w:bottom w:val="single" w:sz="4" w:space="0" w:color="auto"/>
              <w:right w:val="single" w:sz="4" w:space="0" w:color="auto"/>
            </w:tcBorders>
            <w:vAlign w:val="center"/>
          </w:tcPr>
          <w:p w:rsidR="00B20BA4" w:rsidRPr="00DC52BB" w:rsidRDefault="00B20BA4" w:rsidP="002E503D">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w:t>
            </w:r>
            <w:r w:rsidR="002E503D">
              <w:rPr>
                <w:rFonts w:ascii="Times New Roman" w:hAnsi="Times New Roman"/>
                <w:sz w:val="24"/>
                <w:szCs w:val="24"/>
                <w:lang w:eastAsia="ru-RU"/>
              </w:rPr>
              <w:t>512</w:t>
            </w:r>
          </w:p>
        </w:tc>
      </w:tr>
    </w:tbl>
    <w:p w:rsidR="00225925" w:rsidRDefault="00225925" w:rsidP="00225925">
      <w:pPr>
        <w:spacing w:after="0" w:line="360" w:lineRule="auto"/>
        <w:ind w:firstLine="709"/>
        <w:jc w:val="both"/>
        <w:rPr>
          <w:rFonts w:ascii="Times New Roman" w:eastAsia="Times New Roman" w:hAnsi="Times New Roman"/>
          <w:sz w:val="28"/>
          <w:szCs w:val="28"/>
          <w:lang w:eastAsia="ru-RU"/>
        </w:rPr>
      </w:pPr>
    </w:p>
    <w:p w:rsidR="00225925" w:rsidRPr="00F71B34" w:rsidRDefault="00225925" w:rsidP="00225925">
      <w:pPr>
        <w:spacing w:after="0" w:line="360" w:lineRule="auto"/>
        <w:ind w:firstLine="709"/>
        <w:jc w:val="both"/>
        <w:rPr>
          <w:rFonts w:ascii="Times New Roman" w:eastAsia="Times New Roman" w:hAnsi="Times New Roman"/>
          <w:sz w:val="28"/>
          <w:szCs w:val="28"/>
          <w:lang w:eastAsia="ru-RU"/>
        </w:rPr>
      </w:pPr>
      <w:proofErr w:type="gramStart"/>
      <w:r w:rsidRPr="00F71B34">
        <w:rPr>
          <w:rFonts w:ascii="Times New Roman" w:eastAsia="Times New Roman" w:hAnsi="Times New Roman"/>
          <w:sz w:val="28"/>
          <w:szCs w:val="28"/>
          <w:lang w:eastAsia="ru-RU"/>
        </w:rPr>
        <w:t>При анализе динамики МПК за 4 года наблюдения установлено, что независимо от степени активности РА Δ</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шейки бедра в группе больных с комбинированной терапией РТМ и МТХ статистически значимо больше данного показателя в группе пациентов с монотерапией МТХ, в то время как в поясничном отделе позвоночника Δ</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группы 1 и группы 2 достоверно не различались (табл. 13).</w:t>
      </w:r>
      <w:proofErr w:type="gramEnd"/>
    </w:p>
    <w:p w:rsidR="00B20BA4" w:rsidRPr="00F71B34" w:rsidRDefault="00B20BA4" w:rsidP="00F71B34">
      <w:pPr>
        <w:spacing w:after="0" w:line="360" w:lineRule="auto"/>
        <w:jc w:val="both"/>
        <w:rPr>
          <w:rFonts w:ascii="Times New Roman" w:eastAsia="Times New Roman" w:hAnsi="Times New Roman"/>
          <w:sz w:val="28"/>
          <w:szCs w:val="28"/>
          <w:lang w:eastAsia="ru-RU"/>
        </w:rPr>
      </w:pPr>
    </w:p>
    <w:p w:rsidR="002A4224" w:rsidRPr="00F71B34" w:rsidRDefault="000361F4" w:rsidP="002C3A1C">
      <w:pPr>
        <w:spacing w:after="0" w:line="360" w:lineRule="auto"/>
        <w:ind w:left="851"/>
        <w:jc w:val="both"/>
        <w:rPr>
          <w:rFonts w:ascii="Times New Roman" w:eastAsia="Times New Roman" w:hAnsi="Times New Roman"/>
          <w:sz w:val="28"/>
          <w:szCs w:val="28"/>
          <w:lang w:eastAsia="ru-RU"/>
        </w:rPr>
      </w:pPr>
      <w:r>
        <w:rPr>
          <w:color w:val="000000"/>
          <w:sz w:val="28"/>
          <w:szCs w:val="28"/>
        </w:rPr>
        <w:t xml:space="preserve">▪ </w:t>
      </w:r>
      <w:r w:rsidR="002A4224" w:rsidRPr="002C3A1C">
        <w:rPr>
          <w:rFonts w:ascii="Times New Roman" w:eastAsia="Times New Roman" w:hAnsi="Times New Roman"/>
          <w:sz w:val="28"/>
          <w:szCs w:val="28"/>
          <w:lang w:eastAsia="ru-RU"/>
        </w:rPr>
        <w:t>Динамика денситометрических показателей в зависимости от наличия РФ</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Для изучения </w:t>
      </w:r>
      <w:r w:rsidR="002A4224">
        <w:rPr>
          <w:rFonts w:ascii="Times New Roman" w:eastAsia="Times New Roman" w:hAnsi="Times New Roman"/>
          <w:sz w:val="28"/>
          <w:szCs w:val="28"/>
          <w:lang w:eastAsia="ru-RU"/>
        </w:rPr>
        <w:t>зависимости динамики</w:t>
      </w:r>
      <w:r w:rsidRPr="00F71B34">
        <w:rPr>
          <w:rFonts w:ascii="Times New Roman" w:eastAsia="Times New Roman" w:hAnsi="Times New Roman"/>
          <w:sz w:val="28"/>
          <w:szCs w:val="28"/>
          <w:lang w:eastAsia="ru-RU"/>
        </w:rPr>
        <w:t xml:space="preserve"> денситометрически</w:t>
      </w:r>
      <w:r w:rsidR="002A4224">
        <w:rPr>
          <w:rFonts w:ascii="Times New Roman" w:eastAsia="Times New Roman" w:hAnsi="Times New Roman"/>
          <w:sz w:val="28"/>
          <w:szCs w:val="28"/>
          <w:lang w:eastAsia="ru-RU"/>
        </w:rPr>
        <w:t>х</w:t>
      </w:r>
      <w:r w:rsidRPr="00F71B34">
        <w:rPr>
          <w:rFonts w:ascii="Times New Roman" w:eastAsia="Times New Roman" w:hAnsi="Times New Roman"/>
          <w:sz w:val="28"/>
          <w:szCs w:val="28"/>
          <w:lang w:eastAsia="ru-RU"/>
        </w:rPr>
        <w:t xml:space="preserve"> показател</w:t>
      </w:r>
      <w:r w:rsidR="002A4224">
        <w:rPr>
          <w:rFonts w:ascii="Times New Roman" w:eastAsia="Times New Roman" w:hAnsi="Times New Roman"/>
          <w:sz w:val="28"/>
          <w:szCs w:val="28"/>
          <w:lang w:eastAsia="ru-RU"/>
        </w:rPr>
        <w:t>ей и наличия</w:t>
      </w:r>
      <w:r w:rsidRPr="00F71B34">
        <w:rPr>
          <w:rFonts w:ascii="Times New Roman" w:eastAsia="Times New Roman" w:hAnsi="Times New Roman"/>
          <w:sz w:val="28"/>
          <w:szCs w:val="28"/>
          <w:lang w:eastAsia="ru-RU"/>
        </w:rPr>
        <w:t xml:space="preserve"> ревматоидного фактора больные в каждой из групп были разделены на две подгруппы: А – серонегативные по РФ, В – серопозитивные по РФ. Больные распределились по </w:t>
      </w:r>
      <w:r w:rsidR="000361F4">
        <w:rPr>
          <w:rFonts w:ascii="Times New Roman" w:eastAsia="Times New Roman" w:hAnsi="Times New Roman"/>
          <w:sz w:val="28"/>
          <w:szCs w:val="28"/>
          <w:lang w:eastAsia="ru-RU"/>
        </w:rPr>
        <w:t>под</w:t>
      </w:r>
      <w:r w:rsidRPr="00F71B34">
        <w:rPr>
          <w:rFonts w:ascii="Times New Roman" w:eastAsia="Times New Roman" w:hAnsi="Times New Roman"/>
          <w:sz w:val="28"/>
          <w:szCs w:val="28"/>
          <w:lang w:eastAsia="ru-RU"/>
        </w:rPr>
        <w:t>группам следующим образом: А</w:t>
      </w:r>
      <w:proofErr w:type="gramStart"/>
      <w:r w:rsidRPr="00F71B34">
        <w:rPr>
          <w:rFonts w:ascii="Times New Roman" w:eastAsia="Times New Roman" w:hAnsi="Times New Roman"/>
          <w:sz w:val="28"/>
          <w:szCs w:val="28"/>
          <w:vertAlign w:val="subscript"/>
          <w:lang w:eastAsia="ru-RU"/>
        </w:rPr>
        <w:t>1</w:t>
      </w:r>
      <w:proofErr w:type="gramEnd"/>
      <w:r w:rsidRPr="00F71B34">
        <w:rPr>
          <w:rFonts w:ascii="Times New Roman" w:eastAsia="Times New Roman" w:hAnsi="Times New Roman"/>
          <w:sz w:val="28"/>
          <w:szCs w:val="28"/>
          <w:lang w:eastAsia="ru-RU"/>
        </w:rPr>
        <w:t xml:space="preserve"> – пациенты </w:t>
      </w:r>
      <w:r w:rsidR="00506459" w:rsidRPr="00F71B34">
        <w:rPr>
          <w:rFonts w:ascii="Times New Roman" w:eastAsia="Times New Roman" w:hAnsi="Times New Roman"/>
          <w:sz w:val="28"/>
          <w:szCs w:val="28"/>
          <w:lang w:eastAsia="ru-RU"/>
        </w:rPr>
        <w:t xml:space="preserve">группы 1 </w:t>
      </w:r>
      <w:r w:rsidRPr="00F71B34">
        <w:rPr>
          <w:rFonts w:ascii="Times New Roman" w:eastAsia="Times New Roman" w:hAnsi="Times New Roman"/>
          <w:sz w:val="28"/>
          <w:szCs w:val="28"/>
          <w:lang w:eastAsia="ru-RU"/>
        </w:rPr>
        <w:t>серонегативные по РФ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=4),  В</w:t>
      </w:r>
      <w:r w:rsidRPr="00F71B34">
        <w:rPr>
          <w:rFonts w:ascii="Times New Roman" w:eastAsia="Times New Roman" w:hAnsi="Times New Roman"/>
          <w:sz w:val="28"/>
          <w:szCs w:val="28"/>
          <w:vertAlign w:val="subscript"/>
          <w:lang w:eastAsia="ru-RU"/>
        </w:rPr>
        <w:t>1</w:t>
      </w:r>
      <w:r w:rsidRPr="00F71B34">
        <w:rPr>
          <w:rFonts w:ascii="Times New Roman" w:eastAsia="Times New Roman" w:hAnsi="Times New Roman"/>
          <w:sz w:val="28"/>
          <w:szCs w:val="28"/>
          <w:lang w:eastAsia="ru-RU"/>
        </w:rPr>
        <w:t xml:space="preserve"> –</w:t>
      </w:r>
      <w:r w:rsidR="000361F4">
        <w:rPr>
          <w:rFonts w:ascii="Times New Roman" w:eastAsia="Times New Roman" w:hAnsi="Times New Roman"/>
          <w:sz w:val="28"/>
          <w:szCs w:val="28"/>
          <w:lang w:eastAsia="ru-RU"/>
        </w:rPr>
        <w:t xml:space="preserve"> </w:t>
      </w:r>
      <w:r w:rsidR="00506459" w:rsidRPr="00F71B34">
        <w:rPr>
          <w:rFonts w:ascii="Times New Roman" w:eastAsia="Times New Roman" w:hAnsi="Times New Roman"/>
          <w:sz w:val="28"/>
          <w:szCs w:val="28"/>
          <w:lang w:eastAsia="ru-RU"/>
        </w:rPr>
        <w:t xml:space="preserve">группы 1 </w:t>
      </w:r>
      <w:r w:rsidRPr="00F71B34">
        <w:rPr>
          <w:rFonts w:ascii="Times New Roman" w:eastAsia="Times New Roman" w:hAnsi="Times New Roman"/>
          <w:sz w:val="28"/>
          <w:szCs w:val="28"/>
          <w:lang w:eastAsia="ru-RU"/>
        </w:rPr>
        <w:t>серопозитивные по РФ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=40), А</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 </w:t>
      </w:r>
      <w:r w:rsidR="00506459" w:rsidRPr="00F71B34">
        <w:rPr>
          <w:rFonts w:ascii="Times New Roman" w:eastAsia="Times New Roman" w:hAnsi="Times New Roman"/>
          <w:sz w:val="28"/>
          <w:szCs w:val="28"/>
          <w:lang w:eastAsia="ru-RU"/>
        </w:rPr>
        <w:t xml:space="preserve">больные группы 2 </w:t>
      </w:r>
      <w:r w:rsidRPr="00F71B34">
        <w:rPr>
          <w:rFonts w:ascii="Times New Roman" w:eastAsia="Times New Roman" w:hAnsi="Times New Roman"/>
          <w:sz w:val="28"/>
          <w:szCs w:val="28"/>
          <w:lang w:eastAsia="ru-RU"/>
        </w:rPr>
        <w:t>серонегативные по РФ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=4),  В</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w:t>
      </w:r>
      <w:r w:rsidR="00506459"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 </w:t>
      </w:r>
      <w:r w:rsidR="00506459" w:rsidRPr="00F71B34">
        <w:rPr>
          <w:rFonts w:ascii="Times New Roman" w:eastAsia="Times New Roman" w:hAnsi="Times New Roman"/>
          <w:sz w:val="28"/>
          <w:szCs w:val="28"/>
          <w:lang w:eastAsia="ru-RU"/>
        </w:rPr>
        <w:t xml:space="preserve">больные группы 2 </w:t>
      </w:r>
      <w:r w:rsidRPr="00F71B34">
        <w:rPr>
          <w:rFonts w:ascii="Times New Roman" w:eastAsia="Times New Roman" w:hAnsi="Times New Roman"/>
          <w:sz w:val="28"/>
          <w:szCs w:val="28"/>
          <w:lang w:eastAsia="ru-RU"/>
        </w:rPr>
        <w:t>серопозитивные по РФ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 xml:space="preserve">=31). </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lastRenderedPageBreak/>
        <w:t>Результаты анализа денситометрических значений в зависимости от наличия РФ представлены в табл</w:t>
      </w:r>
      <w:r w:rsidR="000361F4">
        <w:rPr>
          <w:rFonts w:ascii="Times New Roman" w:eastAsia="Times New Roman" w:hAnsi="Times New Roman"/>
          <w:sz w:val="28"/>
          <w:szCs w:val="28"/>
          <w:lang w:eastAsia="ru-RU"/>
        </w:rPr>
        <w:t>ицах</w:t>
      </w:r>
      <w:r w:rsidRPr="00F71B34">
        <w:rPr>
          <w:rFonts w:ascii="Times New Roman" w:eastAsia="Times New Roman" w:hAnsi="Times New Roman"/>
          <w:sz w:val="28"/>
          <w:szCs w:val="28"/>
          <w:lang w:eastAsia="ru-RU"/>
        </w:rPr>
        <w:t xml:space="preserve"> 14 и 15. </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При сопоставлении денситометрических показателей в подгруппах больных, серопозитивных и серонегативных по РФ, достоверных различий в показателях не получено как в группе 1, так и в группе 2. </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У серонегативных больных группы 1 МПК и Т-критерий шейки бедра были сопоставимы с показателями пациентов группы 2 как исходно, так и через 48 месяцев наблюдения. </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Плотностные значения кости у серопозитивных больных группы 1 и группы 2 исходно не различались. Через 4 года наблюдения у серопозитивных  пациентов, получавших РТМ и МТХ, денситометрические показатели шейки бедра были достоверно выше</w:t>
      </w:r>
      <w:r w:rsidR="001A5346"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 чем у пациентов с монотерапией МТХ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=0,016 и р=0,011). </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Зависимости МПК и Т-критерия поясничного отдела позвоночника от наличия РФ и варианта терапии не отмечено.</w:t>
      </w:r>
    </w:p>
    <w:p w:rsidR="00675F78" w:rsidRPr="002B750D" w:rsidRDefault="00675F78" w:rsidP="00DC52BB">
      <w:pPr>
        <w:spacing w:after="0" w:line="360" w:lineRule="auto"/>
        <w:jc w:val="both"/>
        <w:rPr>
          <w:rFonts w:ascii="Times New Roman" w:eastAsia="Times New Roman" w:hAnsi="Times New Roman"/>
          <w:color w:val="FF0000"/>
          <w:sz w:val="20"/>
          <w:szCs w:val="20"/>
          <w:lang w:eastAsia="ru-RU"/>
        </w:rPr>
      </w:pP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0361F4">
        <w:rPr>
          <w:rFonts w:ascii="Times New Roman" w:eastAsia="Times New Roman" w:hAnsi="Times New Roman"/>
          <w:spacing w:val="40"/>
          <w:sz w:val="28"/>
          <w:szCs w:val="28"/>
          <w:lang w:eastAsia="ru-RU"/>
        </w:rPr>
        <w:t>Таблица</w:t>
      </w:r>
      <w:r w:rsidRPr="00F71B34">
        <w:rPr>
          <w:rFonts w:ascii="Times New Roman" w:eastAsia="Times New Roman" w:hAnsi="Times New Roman"/>
          <w:sz w:val="28"/>
          <w:szCs w:val="28"/>
          <w:lang w:eastAsia="ru-RU"/>
        </w:rPr>
        <w:t xml:space="preserve"> 14</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Денситометрические показатели шейки бедра у больных РА в зависимости от наличия РФ и варианта терапии исходно и через 4</w:t>
      </w:r>
      <w:r w:rsidR="000361F4">
        <w:rPr>
          <w:rFonts w:ascii="Times New Roman" w:eastAsia="Times New Roman" w:hAnsi="Times New Roman"/>
          <w:sz w:val="28"/>
          <w:szCs w:val="28"/>
          <w:lang w:eastAsia="ru-RU"/>
        </w:rPr>
        <w:t>8 месяцев</w:t>
      </w:r>
      <w:r w:rsidRPr="00F71B34">
        <w:rPr>
          <w:rFonts w:ascii="Times New Roman" w:eastAsia="Times New Roman" w:hAnsi="Times New Roman"/>
          <w:sz w:val="28"/>
          <w:szCs w:val="28"/>
          <w:lang w:eastAsia="ru-RU"/>
        </w:rPr>
        <w:t xml:space="preserve"> наблюдения (М±</w:t>
      </w:r>
      <w:r w:rsidRPr="00F71B34">
        <w:rPr>
          <w:rFonts w:ascii="Times New Roman" w:eastAsia="Times New Roman" w:hAnsi="Times New Roman"/>
          <w:sz w:val="28"/>
          <w:szCs w:val="28"/>
          <w:lang w:val="en-US" w:eastAsia="ru-RU"/>
        </w:rPr>
        <w:t>m</w:t>
      </w:r>
      <w:r w:rsidRPr="00F71B34">
        <w:rPr>
          <w:rFonts w:ascii="Times New Roman" w:eastAsia="Times New Roman" w:hAnsi="Times New Roman"/>
          <w:sz w:val="28"/>
          <w:szCs w:val="28"/>
          <w:lang w:eastAsia="ru-RU"/>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2328"/>
        <w:gridCol w:w="1652"/>
        <w:gridCol w:w="1555"/>
        <w:gridCol w:w="914"/>
        <w:gridCol w:w="1318"/>
        <w:gridCol w:w="1588"/>
        <w:gridCol w:w="706"/>
      </w:tblGrid>
      <w:tr w:rsidR="000361F4" w:rsidRPr="00DC52BB" w:rsidTr="000361F4">
        <w:trPr>
          <w:trHeight w:val="375"/>
          <w:jc w:val="center"/>
        </w:trPr>
        <w:tc>
          <w:tcPr>
            <w:tcW w:w="1157" w:type="pct"/>
            <w:vMerge w:val="restart"/>
            <w:shd w:val="clear" w:color="auto" w:fill="auto"/>
            <w:vAlign w:val="center"/>
          </w:tcPr>
          <w:p w:rsidR="000361F4" w:rsidRPr="00654A6C" w:rsidRDefault="000361F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 </w:t>
            </w:r>
          </w:p>
          <w:p w:rsidR="000361F4" w:rsidRPr="000361F4" w:rsidRDefault="000361F4" w:rsidP="00654A6C">
            <w:pPr>
              <w:spacing w:after="0" w:line="360" w:lineRule="auto"/>
              <w:ind w:right="-82"/>
              <w:jc w:val="center"/>
              <w:rPr>
                <w:rFonts w:ascii="Times New Roman" w:eastAsia="Times New Roman" w:hAnsi="Times New Roman"/>
                <w:spacing w:val="-4"/>
                <w:sz w:val="24"/>
                <w:szCs w:val="24"/>
                <w:lang w:eastAsia="ru-RU"/>
              </w:rPr>
            </w:pPr>
            <w:proofErr w:type="gramStart"/>
            <w:r w:rsidRPr="000361F4">
              <w:rPr>
                <w:rFonts w:ascii="Times New Roman" w:eastAsia="Times New Roman" w:hAnsi="Times New Roman"/>
                <w:spacing w:val="-4"/>
                <w:sz w:val="24"/>
                <w:szCs w:val="24"/>
                <w:lang w:eastAsia="ru-RU"/>
              </w:rPr>
              <w:t xml:space="preserve">(А – серонегативные, </w:t>
            </w:r>
            <w:proofErr w:type="gramEnd"/>
          </w:p>
          <w:p w:rsidR="000361F4" w:rsidRPr="00654A6C" w:rsidRDefault="000361F4" w:rsidP="00654A6C">
            <w:pPr>
              <w:spacing w:after="0" w:line="360" w:lineRule="auto"/>
              <w:ind w:right="-82"/>
              <w:rPr>
                <w:rFonts w:ascii="Times New Roman" w:eastAsia="Times New Roman" w:hAnsi="Times New Roman"/>
                <w:sz w:val="24"/>
                <w:szCs w:val="24"/>
                <w:lang w:eastAsia="ru-RU"/>
              </w:rPr>
            </w:pPr>
            <w:proofErr w:type="gramStart"/>
            <w:r w:rsidRPr="000361F4">
              <w:rPr>
                <w:rFonts w:ascii="Times New Roman" w:eastAsia="Times New Roman" w:hAnsi="Times New Roman"/>
                <w:spacing w:val="-4"/>
                <w:sz w:val="24"/>
                <w:szCs w:val="24"/>
                <w:lang w:eastAsia="ru-RU"/>
              </w:rPr>
              <w:t>В – серопозитивные)</w:t>
            </w:r>
            <w:proofErr w:type="gramEnd"/>
          </w:p>
        </w:tc>
        <w:tc>
          <w:tcPr>
            <w:tcW w:w="3843" w:type="pct"/>
            <w:gridSpan w:val="6"/>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0361F4" w:rsidRPr="00DC52BB" w:rsidTr="000361F4">
        <w:trPr>
          <w:trHeight w:val="84"/>
          <w:jc w:val="center"/>
        </w:trPr>
        <w:tc>
          <w:tcPr>
            <w:tcW w:w="1157" w:type="pct"/>
            <w:vMerge/>
            <w:shd w:val="clear" w:color="auto" w:fill="auto"/>
            <w:vAlign w:val="center"/>
          </w:tcPr>
          <w:p w:rsidR="000361F4" w:rsidRPr="00654A6C" w:rsidRDefault="000361F4" w:rsidP="00654A6C">
            <w:pPr>
              <w:spacing w:after="0" w:line="360" w:lineRule="auto"/>
              <w:ind w:right="-82"/>
              <w:jc w:val="center"/>
              <w:rPr>
                <w:rFonts w:ascii="Times New Roman" w:eastAsia="Times New Roman" w:hAnsi="Times New Roman"/>
                <w:sz w:val="24"/>
                <w:szCs w:val="24"/>
                <w:lang w:eastAsia="ru-RU"/>
              </w:rPr>
            </w:pPr>
          </w:p>
        </w:tc>
        <w:tc>
          <w:tcPr>
            <w:tcW w:w="2048" w:type="pct"/>
            <w:gridSpan w:val="3"/>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795" w:type="pct"/>
            <w:gridSpan w:val="3"/>
            <w:tcBorders>
              <w:bottom w:val="single" w:sz="4" w:space="0" w:color="auto"/>
            </w:tcBorders>
            <w:shd w:val="clear" w:color="auto" w:fill="auto"/>
            <w:vAlign w:val="center"/>
          </w:tcPr>
          <w:p w:rsidR="000361F4" w:rsidRPr="00654A6C" w:rsidRDefault="000361F4" w:rsidP="000361F4">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1A5346" w:rsidRPr="00DC52BB" w:rsidTr="002B750D">
        <w:trPr>
          <w:trHeight w:val="232"/>
          <w:jc w:val="center"/>
        </w:trPr>
        <w:tc>
          <w:tcPr>
            <w:tcW w:w="1157" w:type="pct"/>
            <w:vMerge/>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821" w:type="pct"/>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773" w:type="pct"/>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45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55" w:type="pct"/>
            <w:tcBorders>
              <w:top w:val="single" w:sz="4" w:space="0" w:color="auto"/>
            </w:tcBorders>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789" w:type="pct"/>
            <w:tcBorders>
              <w:top w:val="single" w:sz="4" w:space="0" w:color="auto"/>
            </w:tcBorders>
            <w:shd w:val="clear" w:color="auto" w:fill="auto"/>
            <w:vAlign w:val="center"/>
          </w:tcPr>
          <w:p w:rsidR="00B20BA4" w:rsidRPr="00654A6C" w:rsidRDefault="000361F4"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351" w:type="pct"/>
            <w:tcBorders>
              <w:top w:val="single" w:sz="4" w:space="0" w:color="auto"/>
            </w:tcBorders>
            <w:shd w:val="clear" w:color="auto" w:fill="auto"/>
            <w:vAlign w:val="center"/>
          </w:tcPr>
          <w:p w:rsidR="00B20BA4" w:rsidRPr="00654A6C" w:rsidRDefault="0040423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1A5346" w:rsidRPr="00DC52BB" w:rsidTr="000361F4">
        <w:trPr>
          <w:jc w:val="center"/>
        </w:trPr>
        <w:tc>
          <w:tcPr>
            <w:tcW w:w="11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0,7493±0,024</w:t>
            </w:r>
          </w:p>
        </w:tc>
        <w:tc>
          <w:tcPr>
            <w:tcW w:w="77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val="en-US" w:eastAsia="ru-RU"/>
              </w:rPr>
            </w:pPr>
            <w:r w:rsidRPr="00654A6C">
              <w:rPr>
                <w:rFonts w:ascii="Times New Roman" w:eastAsia="Times New Roman" w:hAnsi="Times New Roman"/>
                <w:spacing w:val="-8"/>
                <w:sz w:val="24"/>
                <w:szCs w:val="24"/>
                <w:lang w:eastAsia="ru-RU"/>
              </w:rPr>
              <w:t>0,8227±0,018</w:t>
            </w:r>
          </w:p>
        </w:tc>
        <w:tc>
          <w:tcPr>
            <w:tcW w:w="45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0,0001</w:t>
            </w:r>
          </w:p>
        </w:tc>
        <w:tc>
          <w:tcPr>
            <w:tcW w:w="65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-1,89±0,14</w:t>
            </w:r>
          </w:p>
        </w:tc>
        <w:tc>
          <w:tcPr>
            <w:tcW w:w="78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-1,26±0,28</w:t>
            </w:r>
          </w:p>
        </w:tc>
        <w:tc>
          <w:tcPr>
            <w:tcW w:w="351"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0,005</w:t>
            </w:r>
          </w:p>
        </w:tc>
      </w:tr>
      <w:tr w:rsidR="001A5346" w:rsidRPr="00DC52BB" w:rsidTr="000361F4">
        <w:trPr>
          <w:jc w:val="center"/>
        </w:trPr>
        <w:tc>
          <w:tcPr>
            <w:tcW w:w="11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0,7657±0,019</w:t>
            </w:r>
          </w:p>
        </w:tc>
        <w:tc>
          <w:tcPr>
            <w:tcW w:w="77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0,8333±0,023</w:t>
            </w:r>
          </w:p>
        </w:tc>
        <w:tc>
          <w:tcPr>
            <w:tcW w:w="45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0,00001</w:t>
            </w:r>
          </w:p>
        </w:tc>
        <w:tc>
          <w:tcPr>
            <w:tcW w:w="65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-2,09±0,16</w:t>
            </w:r>
          </w:p>
        </w:tc>
        <w:tc>
          <w:tcPr>
            <w:tcW w:w="78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-1,54±0,18</w:t>
            </w:r>
          </w:p>
        </w:tc>
        <w:tc>
          <w:tcPr>
            <w:tcW w:w="351"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0,0005</w:t>
            </w:r>
          </w:p>
        </w:tc>
      </w:tr>
      <w:tr w:rsidR="001A5346" w:rsidRPr="00DC52BB" w:rsidTr="000361F4">
        <w:trPr>
          <w:jc w:val="center"/>
        </w:trPr>
        <w:tc>
          <w:tcPr>
            <w:tcW w:w="11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0,7896±0,018</w:t>
            </w:r>
          </w:p>
        </w:tc>
        <w:tc>
          <w:tcPr>
            <w:tcW w:w="77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0,8121±0,023</w:t>
            </w:r>
          </w:p>
        </w:tc>
        <w:tc>
          <w:tcPr>
            <w:tcW w:w="45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0,674</w:t>
            </w:r>
          </w:p>
        </w:tc>
        <w:tc>
          <w:tcPr>
            <w:tcW w:w="65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-2,11±0,57</w:t>
            </w:r>
          </w:p>
        </w:tc>
        <w:tc>
          <w:tcPr>
            <w:tcW w:w="78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-1,56±0,32</w:t>
            </w:r>
          </w:p>
        </w:tc>
        <w:tc>
          <w:tcPr>
            <w:tcW w:w="351"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0,564</w:t>
            </w:r>
          </w:p>
        </w:tc>
      </w:tr>
      <w:tr w:rsidR="001A5346" w:rsidRPr="00DC52BB" w:rsidTr="000361F4">
        <w:trPr>
          <w:jc w:val="center"/>
        </w:trPr>
        <w:tc>
          <w:tcPr>
            <w:tcW w:w="11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0,7839±0,021</w:t>
            </w:r>
          </w:p>
        </w:tc>
        <w:tc>
          <w:tcPr>
            <w:tcW w:w="77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0,7327±0,030</w:t>
            </w:r>
          </w:p>
        </w:tc>
        <w:tc>
          <w:tcPr>
            <w:tcW w:w="45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0,031</w:t>
            </w:r>
          </w:p>
        </w:tc>
        <w:tc>
          <w:tcPr>
            <w:tcW w:w="65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-1,75±0,19</w:t>
            </w:r>
          </w:p>
        </w:tc>
        <w:tc>
          <w:tcPr>
            <w:tcW w:w="78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-2,36±0,26</w:t>
            </w:r>
          </w:p>
        </w:tc>
        <w:tc>
          <w:tcPr>
            <w:tcW w:w="351"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0,020</w:t>
            </w:r>
          </w:p>
        </w:tc>
      </w:tr>
      <w:tr w:rsidR="001A5346" w:rsidRPr="00DC52BB" w:rsidTr="000361F4">
        <w:trPr>
          <w:jc w:val="center"/>
        </w:trPr>
        <w:tc>
          <w:tcPr>
            <w:tcW w:w="11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0,718</w:t>
            </w:r>
          </w:p>
        </w:tc>
        <w:tc>
          <w:tcPr>
            <w:tcW w:w="77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0,934</w:t>
            </w:r>
          </w:p>
        </w:tc>
        <w:tc>
          <w:tcPr>
            <w:tcW w:w="45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5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0,513</w:t>
            </w:r>
          </w:p>
        </w:tc>
        <w:tc>
          <w:tcPr>
            <w:tcW w:w="78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0,406</w:t>
            </w:r>
          </w:p>
        </w:tc>
        <w:tc>
          <w:tcPr>
            <w:tcW w:w="351"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1A5346" w:rsidRPr="00DC52BB" w:rsidTr="000361F4">
        <w:trPr>
          <w:jc w:val="center"/>
        </w:trPr>
        <w:tc>
          <w:tcPr>
            <w:tcW w:w="11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0,872</w:t>
            </w:r>
          </w:p>
        </w:tc>
        <w:tc>
          <w:tcPr>
            <w:tcW w:w="773"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0,288</w:t>
            </w:r>
          </w:p>
        </w:tc>
        <w:tc>
          <w:tcPr>
            <w:tcW w:w="454"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p>
        </w:tc>
        <w:tc>
          <w:tcPr>
            <w:tcW w:w="65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0,717</w:t>
            </w:r>
          </w:p>
        </w:tc>
        <w:tc>
          <w:tcPr>
            <w:tcW w:w="789"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0,232</w:t>
            </w:r>
          </w:p>
        </w:tc>
        <w:tc>
          <w:tcPr>
            <w:tcW w:w="35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p>
        </w:tc>
      </w:tr>
      <w:tr w:rsidR="001A5346" w:rsidRPr="00DC52BB" w:rsidTr="000361F4">
        <w:trPr>
          <w:jc w:val="center"/>
        </w:trPr>
        <w:tc>
          <w:tcPr>
            <w:tcW w:w="11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0,345</w:t>
            </w:r>
          </w:p>
        </w:tc>
        <w:tc>
          <w:tcPr>
            <w:tcW w:w="77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0,438</w:t>
            </w:r>
          </w:p>
        </w:tc>
        <w:tc>
          <w:tcPr>
            <w:tcW w:w="45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5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1,00</w:t>
            </w:r>
          </w:p>
        </w:tc>
        <w:tc>
          <w:tcPr>
            <w:tcW w:w="78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0,439</w:t>
            </w:r>
          </w:p>
        </w:tc>
        <w:tc>
          <w:tcPr>
            <w:tcW w:w="351"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1A5346" w:rsidRPr="00DC52BB" w:rsidTr="000361F4">
        <w:trPr>
          <w:jc w:val="center"/>
        </w:trPr>
        <w:tc>
          <w:tcPr>
            <w:tcW w:w="115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21"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0,369</w:t>
            </w:r>
          </w:p>
        </w:tc>
        <w:tc>
          <w:tcPr>
            <w:tcW w:w="773"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0,016</w:t>
            </w:r>
          </w:p>
        </w:tc>
        <w:tc>
          <w:tcPr>
            <w:tcW w:w="454"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55"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0,156</w:t>
            </w:r>
          </w:p>
        </w:tc>
        <w:tc>
          <w:tcPr>
            <w:tcW w:w="78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0,011</w:t>
            </w:r>
          </w:p>
        </w:tc>
        <w:tc>
          <w:tcPr>
            <w:tcW w:w="351"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bl>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p>
    <w:p w:rsidR="00B20BA4" w:rsidRPr="00F71B34" w:rsidRDefault="002B750D" w:rsidP="00F71B34">
      <w:pPr>
        <w:spacing w:after="0" w:line="360" w:lineRule="auto"/>
        <w:ind w:firstLine="708"/>
        <w:jc w:val="both"/>
        <w:rPr>
          <w:rFonts w:ascii="Times New Roman" w:eastAsia="Times New Roman" w:hAnsi="Times New Roman"/>
          <w:sz w:val="28"/>
          <w:szCs w:val="28"/>
          <w:lang w:eastAsia="ru-RU"/>
        </w:rPr>
      </w:pPr>
      <w:r w:rsidRPr="000361F4">
        <w:rPr>
          <w:rFonts w:ascii="Times New Roman" w:eastAsia="Times New Roman" w:hAnsi="Times New Roman"/>
          <w:spacing w:val="40"/>
          <w:sz w:val="28"/>
          <w:szCs w:val="28"/>
          <w:lang w:eastAsia="ru-RU"/>
        </w:rPr>
        <w:lastRenderedPageBreak/>
        <w:t>Таблица</w:t>
      </w:r>
      <w:r w:rsidR="00B20BA4" w:rsidRPr="00F71B34">
        <w:rPr>
          <w:rFonts w:ascii="Times New Roman" w:eastAsia="Times New Roman" w:hAnsi="Times New Roman"/>
          <w:sz w:val="28"/>
          <w:szCs w:val="28"/>
          <w:lang w:eastAsia="ru-RU"/>
        </w:rPr>
        <w:t xml:space="preserve"> 15</w:t>
      </w:r>
      <w:r w:rsidR="00CD2EDC">
        <w:rPr>
          <w:rFonts w:ascii="Times New Roman" w:eastAsia="Times New Roman" w:hAnsi="Times New Roman"/>
          <w:sz w:val="28"/>
          <w:szCs w:val="28"/>
          <w:lang w:eastAsia="ru-RU"/>
        </w:rPr>
        <w:t xml:space="preserve"> – </w:t>
      </w:r>
      <w:r w:rsidR="00B20BA4" w:rsidRPr="00F71B34">
        <w:rPr>
          <w:rFonts w:ascii="Times New Roman" w:eastAsia="Times New Roman" w:hAnsi="Times New Roman"/>
          <w:sz w:val="28"/>
          <w:szCs w:val="28"/>
          <w:lang w:eastAsia="ru-RU"/>
        </w:rPr>
        <w:t xml:space="preserve">Денситометрические показатели поясничного отдела позвоночника у больных РА в зависимости от наличия РФ и варианта терапии исходно и через </w:t>
      </w:r>
      <w:r w:rsidRPr="00F71B34">
        <w:rPr>
          <w:rFonts w:ascii="Times New Roman" w:eastAsia="Times New Roman" w:hAnsi="Times New Roman"/>
          <w:sz w:val="28"/>
          <w:szCs w:val="28"/>
          <w:lang w:eastAsia="ru-RU"/>
        </w:rPr>
        <w:t>4</w:t>
      </w:r>
      <w:r>
        <w:rPr>
          <w:rFonts w:ascii="Times New Roman" w:eastAsia="Times New Roman" w:hAnsi="Times New Roman"/>
          <w:sz w:val="28"/>
          <w:szCs w:val="28"/>
          <w:lang w:eastAsia="ru-RU"/>
        </w:rPr>
        <w:t>8 месяцев</w:t>
      </w:r>
      <w:r w:rsidR="00B20BA4" w:rsidRPr="00F71B34">
        <w:rPr>
          <w:rFonts w:ascii="Times New Roman" w:eastAsia="Times New Roman" w:hAnsi="Times New Roman"/>
          <w:sz w:val="28"/>
          <w:szCs w:val="28"/>
          <w:lang w:eastAsia="ru-RU"/>
        </w:rPr>
        <w:t xml:space="preserve"> наблюдения (М±</w:t>
      </w:r>
      <w:r w:rsidR="00B20BA4" w:rsidRPr="00F71B34">
        <w:rPr>
          <w:rFonts w:ascii="Times New Roman" w:eastAsia="Times New Roman" w:hAnsi="Times New Roman"/>
          <w:sz w:val="28"/>
          <w:szCs w:val="28"/>
          <w:lang w:val="en-US" w:eastAsia="ru-RU"/>
        </w:rPr>
        <w:t>m</w:t>
      </w:r>
      <w:r w:rsidR="00B20BA4" w:rsidRPr="00F71B34">
        <w:rPr>
          <w:rFonts w:ascii="Times New Roman" w:eastAsia="Times New Roman" w:hAnsi="Times New Roman"/>
          <w:sz w:val="28"/>
          <w:szCs w:val="28"/>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2326"/>
        <w:gridCol w:w="1802"/>
        <w:gridCol w:w="1629"/>
        <w:gridCol w:w="676"/>
        <w:gridCol w:w="1299"/>
        <w:gridCol w:w="1643"/>
        <w:gridCol w:w="682"/>
      </w:tblGrid>
      <w:tr w:rsidR="002B750D" w:rsidRPr="00DC52BB" w:rsidTr="002B750D">
        <w:trPr>
          <w:trHeight w:val="285"/>
          <w:jc w:val="center"/>
        </w:trPr>
        <w:tc>
          <w:tcPr>
            <w:tcW w:w="1156" w:type="pct"/>
            <w:vMerge w:val="restart"/>
            <w:shd w:val="clear" w:color="auto" w:fill="auto"/>
            <w:vAlign w:val="center"/>
          </w:tcPr>
          <w:p w:rsidR="002B750D" w:rsidRPr="00654A6C" w:rsidRDefault="002B750D" w:rsidP="002B750D">
            <w:pPr>
              <w:spacing w:after="0" w:line="288" w:lineRule="auto"/>
              <w:ind w:right="-79"/>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 </w:t>
            </w:r>
          </w:p>
          <w:p w:rsidR="002B750D" w:rsidRPr="000361F4" w:rsidRDefault="002B750D" w:rsidP="002B750D">
            <w:pPr>
              <w:spacing w:after="0" w:line="288" w:lineRule="auto"/>
              <w:ind w:right="-79"/>
              <w:jc w:val="center"/>
              <w:rPr>
                <w:rFonts w:ascii="Times New Roman" w:eastAsia="Times New Roman" w:hAnsi="Times New Roman"/>
                <w:spacing w:val="-4"/>
                <w:sz w:val="24"/>
                <w:szCs w:val="24"/>
                <w:lang w:eastAsia="ru-RU"/>
              </w:rPr>
            </w:pPr>
            <w:proofErr w:type="gramStart"/>
            <w:r w:rsidRPr="000361F4">
              <w:rPr>
                <w:rFonts w:ascii="Times New Roman" w:eastAsia="Times New Roman" w:hAnsi="Times New Roman"/>
                <w:spacing w:val="-4"/>
                <w:sz w:val="24"/>
                <w:szCs w:val="24"/>
                <w:lang w:eastAsia="ru-RU"/>
              </w:rPr>
              <w:t xml:space="preserve">(А – серонегативные, </w:t>
            </w:r>
            <w:proofErr w:type="gramEnd"/>
          </w:p>
          <w:p w:rsidR="002B750D" w:rsidRPr="00654A6C" w:rsidRDefault="002B750D" w:rsidP="002B750D">
            <w:pPr>
              <w:spacing w:after="0" w:line="288" w:lineRule="auto"/>
              <w:ind w:right="-79"/>
              <w:jc w:val="center"/>
              <w:rPr>
                <w:rFonts w:ascii="Times New Roman" w:eastAsia="Times New Roman" w:hAnsi="Times New Roman"/>
                <w:sz w:val="24"/>
                <w:szCs w:val="24"/>
                <w:lang w:eastAsia="ru-RU"/>
              </w:rPr>
            </w:pPr>
            <w:proofErr w:type="gramStart"/>
            <w:r w:rsidRPr="000361F4">
              <w:rPr>
                <w:rFonts w:ascii="Times New Roman" w:eastAsia="Times New Roman" w:hAnsi="Times New Roman"/>
                <w:spacing w:val="-4"/>
                <w:sz w:val="24"/>
                <w:szCs w:val="24"/>
                <w:lang w:eastAsia="ru-RU"/>
              </w:rPr>
              <w:t>В – серопозитивные)</w:t>
            </w:r>
            <w:proofErr w:type="gramEnd"/>
          </w:p>
        </w:tc>
        <w:tc>
          <w:tcPr>
            <w:tcW w:w="3844" w:type="pct"/>
            <w:gridSpan w:val="6"/>
            <w:shd w:val="clear" w:color="auto" w:fill="auto"/>
            <w:vAlign w:val="center"/>
          </w:tcPr>
          <w:p w:rsidR="002B750D" w:rsidRPr="00654A6C" w:rsidRDefault="002B750D"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2B750D" w:rsidRPr="00DC52BB" w:rsidTr="002B750D">
        <w:trPr>
          <w:trHeight w:val="292"/>
          <w:jc w:val="center"/>
        </w:trPr>
        <w:tc>
          <w:tcPr>
            <w:tcW w:w="1156" w:type="pct"/>
            <w:vMerge/>
            <w:shd w:val="clear" w:color="auto" w:fill="auto"/>
            <w:vAlign w:val="center"/>
          </w:tcPr>
          <w:p w:rsidR="002B750D" w:rsidRPr="00654A6C" w:rsidRDefault="002B750D" w:rsidP="002B750D">
            <w:pPr>
              <w:spacing w:after="0" w:line="360" w:lineRule="auto"/>
              <w:ind w:right="-82"/>
              <w:jc w:val="center"/>
              <w:rPr>
                <w:rFonts w:ascii="Times New Roman" w:eastAsia="Times New Roman" w:hAnsi="Times New Roman"/>
                <w:sz w:val="24"/>
                <w:szCs w:val="24"/>
                <w:lang w:eastAsia="ru-RU"/>
              </w:rPr>
            </w:pPr>
          </w:p>
        </w:tc>
        <w:tc>
          <w:tcPr>
            <w:tcW w:w="2042" w:type="pct"/>
            <w:gridSpan w:val="3"/>
            <w:shd w:val="clear" w:color="auto" w:fill="auto"/>
            <w:vAlign w:val="center"/>
          </w:tcPr>
          <w:p w:rsidR="002B750D" w:rsidRPr="00654A6C" w:rsidRDefault="002B750D"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802" w:type="pct"/>
            <w:gridSpan w:val="3"/>
            <w:tcBorders>
              <w:bottom w:val="single" w:sz="4" w:space="0" w:color="auto"/>
            </w:tcBorders>
            <w:shd w:val="clear" w:color="auto" w:fill="auto"/>
            <w:vAlign w:val="center"/>
          </w:tcPr>
          <w:p w:rsidR="002B750D" w:rsidRPr="00654A6C" w:rsidRDefault="002B750D"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B20BA4" w:rsidRPr="00DC52BB" w:rsidTr="002B750D">
        <w:trPr>
          <w:jc w:val="center"/>
        </w:trPr>
        <w:tc>
          <w:tcPr>
            <w:tcW w:w="1156" w:type="pct"/>
            <w:vMerge/>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896" w:type="pct"/>
            <w:shd w:val="clear" w:color="auto" w:fill="auto"/>
            <w:vAlign w:val="center"/>
          </w:tcPr>
          <w:p w:rsidR="00B20BA4" w:rsidRPr="00654A6C" w:rsidRDefault="002B750D"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810" w:type="pct"/>
            <w:shd w:val="clear" w:color="auto" w:fill="auto"/>
            <w:vAlign w:val="center"/>
          </w:tcPr>
          <w:p w:rsidR="00B20BA4" w:rsidRPr="00654A6C" w:rsidRDefault="002B750D"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33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46" w:type="pct"/>
            <w:tcBorders>
              <w:top w:val="single" w:sz="4" w:space="0" w:color="auto"/>
            </w:tcBorders>
            <w:shd w:val="clear" w:color="auto" w:fill="auto"/>
            <w:vAlign w:val="center"/>
          </w:tcPr>
          <w:p w:rsidR="00B20BA4" w:rsidRPr="00654A6C" w:rsidRDefault="002B750D"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20BA4" w:rsidRPr="00654A6C">
              <w:rPr>
                <w:rFonts w:ascii="Times New Roman" w:eastAsia="Times New Roman" w:hAnsi="Times New Roman"/>
                <w:sz w:val="24"/>
                <w:szCs w:val="24"/>
                <w:lang w:eastAsia="ru-RU"/>
              </w:rPr>
              <w:t>сходно</w:t>
            </w:r>
          </w:p>
        </w:tc>
        <w:tc>
          <w:tcPr>
            <w:tcW w:w="817" w:type="pct"/>
            <w:tcBorders>
              <w:top w:val="single" w:sz="4" w:space="0" w:color="auto"/>
            </w:tcBorders>
            <w:shd w:val="clear" w:color="auto" w:fill="auto"/>
            <w:vAlign w:val="center"/>
          </w:tcPr>
          <w:p w:rsidR="00B20BA4" w:rsidRPr="00654A6C" w:rsidRDefault="002B750D"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B20BA4" w:rsidRPr="00654A6C">
              <w:rPr>
                <w:rFonts w:ascii="Times New Roman" w:eastAsia="Times New Roman" w:hAnsi="Times New Roman"/>
                <w:sz w:val="24"/>
                <w:szCs w:val="24"/>
                <w:lang w:eastAsia="ru-RU"/>
              </w:rPr>
              <w:t>ерез 48 мес.</w:t>
            </w:r>
          </w:p>
        </w:tc>
        <w:tc>
          <w:tcPr>
            <w:tcW w:w="339" w:type="pct"/>
            <w:tcBorders>
              <w:top w:val="single" w:sz="4" w:space="0" w:color="auto"/>
            </w:tcBorders>
            <w:shd w:val="clear" w:color="auto" w:fill="auto"/>
            <w:vAlign w:val="center"/>
          </w:tcPr>
          <w:p w:rsidR="00B20BA4" w:rsidRPr="00654A6C" w:rsidRDefault="0040423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B20BA4" w:rsidRPr="00DC52BB" w:rsidTr="002B750D">
        <w:trPr>
          <w:jc w:val="center"/>
        </w:trPr>
        <w:tc>
          <w:tcPr>
            <w:tcW w:w="115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89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0,9603±0,147</w:t>
            </w:r>
          </w:p>
        </w:tc>
        <w:tc>
          <w:tcPr>
            <w:tcW w:w="81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val="en-US" w:eastAsia="ru-RU"/>
              </w:rPr>
            </w:pPr>
            <w:r w:rsidRPr="00654A6C">
              <w:rPr>
                <w:rFonts w:ascii="Times New Roman" w:eastAsia="Times New Roman" w:hAnsi="Times New Roman"/>
                <w:spacing w:val="-8"/>
                <w:sz w:val="24"/>
                <w:szCs w:val="24"/>
                <w:lang w:eastAsia="ru-RU"/>
              </w:rPr>
              <w:t>0,9976±0,213</w:t>
            </w:r>
          </w:p>
        </w:tc>
        <w:tc>
          <w:tcPr>
            <w:tcW w:w="33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0,109</w:t>
            </w:r>
          </w:p>
        </w:tc>
        <w:tc>
          <w:tcPr>
            <w:tcW w:w="64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-0,80±0,87</w:t>
            </w:r>
          </w:p>
        </w:tc>
        <w:tc>
          <w:tcPr>
            <w:tcW w:w="81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-0,72±0,75</w:t>
            </w:r>
          </w:p>
        </w:tc>
        <w:tc>
          <w:tcPr>
            <w:tcW w:w="33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0,109</w:t>
            </w:r>
          </w:p>
        </w:tc>
      </w:tr>
      <w:tr w:rsidR="00B20BA4" w:rsidRPr="00DC52BB" w:rsidTr="002B750D">
        <w:trPr>
          <w:jc w:val="center"/>
        </w:trPr>
        <w:tc>
          <w:tcPr>
            <w:tcW w:w="115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89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0,9556±0,031</w:t>
            </w:r>
          </w:p>
        </w:tc>
        <w:tc>
          <w:tcPr>
            <w:tcW w:w="81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0,9407±0,038</w:t>
            </w:r>
          </w:p>
        </w:tc>
        <w:tc>
          <w:tcPr>
            <w:tcW w:w="33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0,108</w:t>
            </w:r>
          </w:p>
        </w:tc>
        <w:tc>
          <w:tcPr>
            <w:tcW w:w="64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-0,85±0,15</w:t>
            </w:r>
          </w:p>
        </w:tc>
        <w:tc>
          <w:tcPr>
            <w:tcW w:w="81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-1,01±0,22</w:t>
            </w:r>
          </w:p>
        </w:tc>
        <w:tc>
          <w:tcPr>
            <w:tcW w:w="33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0,936</w:t>
            </w:r>
          </w:p>
        </w:tc>
      </w:tr>
      <w:tr w:rsidR="00B20BA4" w:rsidRPr="00DC52BB" w:rsidTr="002B750D">
        <w:trPr>
          <w:jc w:val="center"/>
        </w:trPr>
        <w:tc>
          <w:tcPr>
            <w:tcW w:w="115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89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0,9621±0,041</w:t>
            </w:r>
          </w:p>
        </w:tc>
        <w:tc>
          <w:tcPr>
            <w:tcW w:w="81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0,8699±0,108</w:t>
            </w:r>
          </w:p>
        </w:tc>
        <w:tc>
          <w:tcPr>
            <w:tcW w:w="33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0,285</w:t>
            </w:r>
          </w:p>
        </w:tc>
        <w:tc>
          <w:tcPr>
            <w:tcW w:w="64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-1,00±0,84</w:t>
            </w:r>
          </w:p>
        </w:tc>
        <w:tc>
          <w:tcPr>
            <w:tcW w:w="81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-1,37±0,79</w:t>
            </w:r>
          </w:p>
        </w:tc>
        <w:tc>
          <w:tcPr>
            <w:tcW w:w="33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0,285</w:t>
            </w:r>
          </w:p>
        </w:tc>
      </w:tr>
      <w:tr w:rsidR="00B20BA4" w:rsidRPr="00DC52BB" w:rsidTr="002B750D">
        <w:trPr>
          <w:jc w:val="center"/>
        </w:trPr>
        <w:tc>
          <w:tcPr>
            <w:tcW w:w="115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89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0,9863±0,026</w:t>
            </w:r>
          </w:p>
        </w:tc>
        <w:tc>
          <w:tcPr>
            <w:tcW w:w="81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0,8999±0,023</w:t>
            </w:r>
          </w:p>
        </w:tc>
        <w:tc>
          <w:tcPr>
            <w:tcW w:w="33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0,013</w:t>
            </w:r>
          </w:p>
        </w:tc>
        <w:tc>
          <w:tcPr>
            <w:tcW w:w="64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-0,41±0,20</w:t>
            </w:r>
          </w:p>
        </w:tc>
        <w:tc>
          <w:tcPr>
            <w:tcW w:w="81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-0,97±0,18</w:t>
            </w:r>
          </w:p>
        </w:tc>
        <w:tc>
          <w:tcPr>
            <w:tcW w:w="33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0,004</w:t>
            </w:r>
          </w:p>
        </w:tc>
      </w:tr>
      <w:tr w:rsidR="00B20BA4" w:rsidRPr="00DC52BB" w:rsidTr="002B750D">
        <w:trPr>
          <w:jc w:val="center"/>
        </w:trPr>
        <w:tc>
          <w:tcPr>
            <w:tcW w:w="115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89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0,738</w:t>
            </w:r>
          </w:p>
        </w:tc>
        <w:tc>
          <w:tcPr>
            <w:tcW w:w="81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0,926</w:t>
            </w:r>
          </w:p>
        </w:tc>
        <w:tc>
          <w:tcPr>
            <w:tcW w:w="33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4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0,781</w:t>
            </w:r>
          </w:p>
        </w:tc>
        <w:tc>
          <w:tcPr>
            <w:tcW w:w="817"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0,781</w:t>
            </w:r>
          </w:p>
        </w:tc>
        <w:tc>
          <w:tcPr>
            <w:tcW w:w="33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B20BA4" w:rsidRPr="00DC52BB" w:rsidTr="002B750D">
        <w:trPr>
          <w:jc w:val="center"/>
        </w:trPr>
        <w:tc>
          <w:tcPr>
            <w:tcW w:w="115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9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1,00</w:t>
            </w:r>
          </w:p>
        </w:tc>
        <w:tc>
          <w:tcPr>
            <w:tcW w:w="810"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0,673</w:t>
            </w:r>
          </w:p>
        </w:tc>
        <w:tc>
          <w:tcPr>
            <w:tcW w:w="33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4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0,469</w:t>
            </w:r>
          </w:p>
        </w:tc>
        <w:tc>
          <w:tcPr>
            <w:tcW w:w="81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0,574</w:t>
            </w:r>
          </w:p>
        </w:tc>
        <w:tc>
          <w:tcPr>
            <w:tcW w:w="33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B20BA4" w:rsidRPr="00DC52BB" w:rsidTr="002B750D">
        <w:trPr>
          <w:jc w:val="center"/>
        </w:trPr>
        <w:tc>
          <w:tcPr>
            <w:tcW w:w="115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9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1,00</w:t>
            </w:r>
          </w:p>
        </w:tc>
        <w:tc>
          <w:tcPr>
            <w:tcW w:w="810"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0,438</w:t>
            </w:r>
          </w:p>
        </w:tc>
        <w:tc>
          <w:tcPr>
            <w:tcW w:w="33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p>
        </w:tc>
        <w:tc>
          <w:tcPr>
            <w:tcW w:w="64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1,00</w:t>
            </w:r>
          </w:p>
        </w:tc>
        <w:tc>
          <w:tcPr>
            <w:tcW w:w="81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0,439</w:t>
            </w:r>
          </w:p>
        </w:tc>
        <w:tc>
          <w:tcPr>
            <w:tcW w:w="33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r w:rsidR="00B20BA4" w:rsidRPr="00DC52BB" w:rsidTr="002B750D">
        <w:trPr>
          <w:jc w:val="center"/>
        </w:trPr>
        <w:tc>
          <w:tcPr>
            <w:tcW w:w="115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9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0,151</w:t>
            </w:r>
          </w:p>
        </w:tc>
        <w:tc>
          <w:tcPr>
            <w:tcW w:w="810"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0,748</w:t>
            </w:r>
          </w:p>
        </w:tc>
        <w:tc>
          <w:tcPr>
            <w:tcW w:w="336"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c>
          <w:tcPr>
            <w:tcW w:w="646" w:type="pct"/>
            <w:shd w:val="clear" w:color="auto" w:fill="auto"/>
            <w:vAlign w:val="center"/>
          </w:tcPr>
          <w:p w:rsidR="00B20BA4" w:rsidRPr="00654A6C" w:rsidRDefault="00B20BA4"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0,110</w:t>
            </w:r>
          </w:p>
        </w:tc>
        <w:tc>
          <w:tcPr>
            <w:tcW w:w="817"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0,894</w:t>
            </w:r>
          </w:p>
        </w:tc>
        <w:tc>
          <w:tcPr>
            <w:tcW w:w="339" w:type="pct"/>
            <w:shd w:val="clear" w:color="auto" w:fill="auto"/>
            <w:vAlign w:val="center"/>
          </w:tcPr>
          <w:p w:rsidR="00B20BA4" w:rsidRPr="00654A6C" w:rsidRDefault="00B20BA4" w:rsidP="00654A6C">
            <w:pPr>
              <w:spacing w:after="0" w:line="360" w:lineRule="auto"/>
              <w:ind w:right="-82"/>
              <w:jc w:val="center"/>
              <w:rPr>
                <w:rFonts w:ascii="Times New Roman" w:eastAsia="Times New Roman" w:hAnsi="Times New Roman"/>
                <w:sz w:val="24"/>
                <w:szCs w:val="24"/>
                <w:lang w:eastAsia="ru-RU"/>
              </w:rPr>
            </w:pPr>
          </w:p>
        </w:tc>
      </w:tr>
    </w:tbl>
    <w:p w:rsidR="00225925" w:rsidRDefault="00225925" w:rsidP="00225925">
      <w:pPr>
        <w:spacing w:after="0" w:line="360" w:lineRule="auto"/>
        <w:ind w:firstLine="708"/>
        <w:jc w:val="both"/>
        <w:rPr>
          <w:rFonts w:ascii="Times New Roman" w:eastAsia="Times New Roman" w:hAnsi="Times New Roman"/>
          <w:sz w:val="28"/>
          <w:szCs w:val="28"/>
          <w:lang w:eastAsia="ru-RU"/>
        </w:rPr>
      </w:pPr>
    </w:p>
    <w:p w:rsidR="00225925" w:rsidRPr="00F71B34" w:rsidRDefault="00225925" w:rsidP="00225925">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В группе 1 денситометрические показатели поясничного отдела позвоночника на фоне терапии оставались стабильными независимо от иммунологического варианта РА. У серонегативных пациентов группы 2 </w:t>
      </w:r>
      <w:r>
        <w:rPr>
          <w:rFonts w:ascii="Times New Roman" w:eastAsia="Times New Roman" w:hAnsi="Times New Roman"/>
          <w:sz w:val="28"/>
          <w:szCs w:val="28"/>
          <w:lang w:eastAsia="ru-RU"/>
        </w:rPr>
        <w:t xml:space="preserve">показатели </w:t>
      </w:r>
      <w:r w:rsidRPr="00F71B34">
        <w:rPr>
          <w:rFonts w:ascii="Times New Roman" w:eastAsia="Times New Roman" w:hAnsi="Times New Roman"/>
          <w:sz w:val="28"/>
          <w:szCs w:val="28"/>
          <w:lang w:eastAsia="ru-RU"/>
        </w:rPr>
        <w:t>МПК и Т-критери</w:t>
      </w:r>
      <w:r>
        <w:rPr>
          <w:rFonts w:ascii="Times New Roman" w:eastAsia="Times New Roman" w:hAnsi="Times New Roman"/>
          <w:sz w:val="28"/>
          <w:szCs w:val="28"/>
          <w:lang w:eastAsia="ru-RU"/>
        </w:rPr>
        <w:t>я</w:t>
      </w:r>
      <w:r w:rsidRPr="00F71B34">
        <w:rPr>
          <w:rFonts w:ascii="Times New Roman" w:eastAsia="Times New Roman" w:hAnsi="Times New Roman"/>
          <w:sz w:val="28"/>
          <w:szCs w:val="28"/>
          <w:lang w:eastAsia="ru-RU"/>
        </w:rPr>
        <w:t xml:space="preserve"> поясничного отдела позвоночника за 48 месяцев наблюдения достоверно не изменились. У серопозитивных больных группы 2 </w:t>
      </w:r>
      <w:r>
        <w:rPr>
          <w:rFonts w:ascii="Times New Roman" w:eastAsia="Times New Roman" w:hAnsi="Times New Roman"/>
          <w:sz w:val="28"/>
          <w:szCs w:val="28"/>
          <w:lang w:eastAsia="ru-RU"/>
        </w:rPr>
        <w:t xml:space="preserve">показатели </w:t>
      </w:r>
      <w:r w:rsidRPr="00F71B34">
        <w:rPr>
          <w:rFonts w:ascii="Times New Roman" w:eastAsia="Times New Roman" w:hAnsi="Times New Roman"/>
          <w:sz w:val="28"/>
          <w:szCs w:val="28"/>
          <w:lang w:eastAsia="ru-RU"/>
        </w:rPr>
        <w:t>МПК и Т-критери</w:t>
      </w:r>
      <w:r>
        <w:rPr>
          <w:rFonts w:ascii="Times New Roman" w:eastAsia="Times New Roman" w:hAnsi="Times New Roman"/>
          <w:sz w:val="28"/>
          <w:szCs w:val="28"/>
          <w:lang w:eastAsia="ru-RU"/>
        </w:rPr>
        <w:t>я</w:t>
      </w:r>
      <w:r w:rsidRPr="00F71B34">
        <w:rPr>
          <w:rFonts w:ascii="Times New Roman" w:eastAsia="Times New Roman" w:hAnsi="Times New Roman"/>
          <w:sz w:val="28"/>
          <w:szCs w:val="28"/>
          <w:lang w:eastAsia="ru-RU"/>
        </w:rPr>
        <w:t xml:space="preserve"> на фоне терапии статистически значимо снизились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=0,013 и р=0,004).  </w:t>
      </w:r>
    </w:p>
    <w:p w:rsidR="0021504D" w:rsidRDefault="0021504D" w:rsidP="0021504D">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Независимо от иммунологического варианта РА Δ</w:t>
      </w:r>
      <w:r w:rsidR="002B750D">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шейки бедра в группе 1 статистически значимо больше данного показателя в группе 2, в то время как в поясничном отделе позвоночника Δ</w:t>
      </w:r>
      <w:r w:rsidR="002B750D">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в группе 1 была сопоставима с аналогичным показателем  в группе 2 (табл. 16).</w:t>
      </w:r>
    </w:p>
    <w:p w:rsidR="0021504D" w:rsidRDefault="0021504D" w:rsidP="0021504D">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 </w:t>
      </w:r>
    </w:p>
    <w:p w:rsidR="002C3A1C" w:rsidRDefault="002C3A1C" w:rsidP="0021504D">
      <w:pPr>
        <w:spacing w:after="0" w:line="360" w:lineRule="auto"/>
        <w:ind w:firstLine="708"/>
        <w:jc w:val="both"/>
        <w:rPr>
          <w:rFonts w:ascii="Times New Roman" w:eastAsia="Times New Roman" w:hAnsi="Times New Roman"/>
          <w:sz w:val="28"/>
          <w:szCs w:val="28"/>
          <w:lang w:eastAsia="ru-RU"/>
        </w:rPr>
      </w:pPr>
    </w:p>
    <w:p w:rsidR="002C3A1C" w:rsidRPr="00F71B34" w:rsidRDefault="002C3A1C" w:rsidP="0021504D">
      <w:pPr>
        <w:spacing w:after="0" w:line="360" w:lineRule="auto"/>
        <w:ind w:firstLine="708"/>
        <w:jc w:val="both"/>
        <w:rPr>
          <w:rFonts w:ascii="Times New Roman" w:eastAsia="Times New Roman" w:hAnsi="Times New Roman"/>
          <w:sz w:val="28"/>
          <w:szCs w:val="28"/>
          <w:lang w:eastAsia="ru-RU"/>
        </w:rPr>
      </w:pPr>
    </w:p>
    <w:p w:rsidR="00B20BA4" w:rsidRPr="00F71B34" w:rsidRDefault="002B750D" w:rsidP="00DC52BB">
      <w:pPr>
        <w:spacing w:after="0" w:line="360" w:lineRule="auto"/>
        <w:ind w:firstLine="709"/>
        <w:jc w:val="both"/>
        <w:rPr>
          <w:rFonts w:ascii="Times New Roman" w:eastAsia="Times New Roman" w:hAnsi="Times New Roman"/>
          <w:sz w:val="28"/>
          <w:szCs w:val="28"/>
          <w:lang w:eastAsia="ru-RU"/>
        </w:rPr>
      </w:pPr>
      <w:r w:rsidRPr="000361F4">
        <w:rPr>
          <w:rFonts w:ascii="Times New Roman" w:eastAsia="Times New Roman" w:hAnsi="Times New Roman"/>
          <w:spacing w:val="40"/>
          <w:sz w:val="28"/>
          <w:szCs w:val="28"/>
          <w:lang w:eastAsia="ru-RU"/>
        </w:rPr>
        <w:lastRenderedPageBreak/>
        <w:t>Таблица</w:t>
      </w:r>
      <w:r w:rsidR="00B20BA4" w:rsidRPr="00F71B34">
        <w:rPr>
          <w:rFonts w:ascii="Times New Roman" w:eastAsia="Times New Roman" w:hAnsi="Times New Roman"/>
          <w:sz w:val="28"/>
          <w:szCs w:val="28"/>
          <w:lang w:eastAsia="ru-RU"/>
        </w:rPr>
        <w:t xml:space="preserve"> 16</w:t>
      </w:r>
      <w:r w:rsidR="00CD2EDC">
        <w:rPr>
          <w:rFonts w:ascii="Times New Roman" w:eastAsia="Times New Roman" w:hAnsi="Times New Roman"/>
          <w:sz w:val="28"/>
          <w:szCs w:val="28"/>
          <w:lang w:eastAsia="ru-RU"/>
        </w:rPr>
        <w:t xml:space="preserve"> – </w:t>
      </w:r>
      <w:r w:rsidR="00B27E28" w:rsidRPr="00F71B34">
        <w:rPr>
          <w:rFonts w:ascii="Times New Roman" w:eastAsia="Times New Roman" w:hAnsi="Times New Roman"/>
          <w:sz w:val="28"/>
          <w:szCs w:val="28"/>
          <w:lang w:eastAsia="ru-RU"/>
        </w:rPr>
        <w:t>Δ</w:t>
      </w:r>
      <w:r w:rsidR="00B27E28">
        <w:rPr>
          <w:rFonts w:ascii="Times New Roman" w:eastAsia="Times New Roman" w:hAnsi="Times New Roman"/>
          <w:sz w:val="28"/>
          <w:szCs w:val="28"/>
          <w:lang w:eastAsia="ru-RU"/>
        </w:rPr>
        <w:t xml:space="preserve"> </w:t>
      </w:r>
      <w:r w:rsidR="00B27E28" w:rsidRPr="00F71B34">
        <w:rPr>
          <w:rFonts w:ascii="Times New Roman" w:eastAsia="Times New Roman" w:hAnsi="Times New Roman"/>
          <w:sz w:val="28"/>
          <w:szCs w:val="28"/>
          <w:lang w:eastAsia="ru-RU"/>
        </w:rPr>
        <w:t xml:space="preserve">МПК </w:t>
      </w:r>
      <w:r w:rsidR="00B20BA4" w:rsidRPr="00F71B34">
        <w:rPr>
          <w:rFonts w:ascii="Times New Roman" w:eastAsia="Times New Roman" w:hAnsi="Times New Roman"/>
          <w:sz w:val="28"/>
          <w:szCs w:val="28"/>
          <w:lang w:eastAsia="ru-RU"/>
        </w:rPr>
        <w:t>шейки бедра и поясничного отдела позвоночника у больных РА в зависимости от наличия РФ и варианта терапии (М±m)</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2402"/>
        <w:gridCol w:w="4355"/>
      </w:tblGrid>
      <w:tr w:rsidR="002B750D" w:rsidRPr="00DC52BB" w:rsidTr="002B750D">
        <w:tc>
          <w:tcPr>
            <w:tcW w:w="1630" w:type="pct"/>
            <w:vMerge w:val="restart"/>
            <w:tcBorders>
              <w:top w:val="single" w:sz="4" w:space="0" w:color="auto"/>
              <w:left w:val="single" w:sz="4" w:space="0" w:color="auto"/>
              <w:right w:val="single" w:sz="4" w:space="0" w:color="auto"/>
            </w:tcBorders>
            <w:vAlign w:val="center"/>
          </w:tcPr>
          <w:p w:rsidR="002B750D" w:rsidRPr="00DC52BB" w:rsidRDefault="002B750D"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Групп</w:t>
            </w:r>
            <w:r>
              <w:rPr>
                <w:rFonts w:ascii="Times New Roman" w:hAnsi="Times New Roman"/>
                <w:sz w:val="24"/>
                <w:szCs w:val="24"/>
                <w:lang w:eastAsia="ru-RU"/>
              </w:rPr>
              <w:t>а</w:t>
            </w:r>
            <w:r w:rsidRPr="00DC52BB">
              <w:rPr>
                <w:rFonts w:ascii="Times New Roman" w:hAnsi="Times New Roman"/>
                <w:sz w:val="24"/>
                <w:szCs w:val="24"/>
                <w:lang w:eastAsia="ru-RU"/>
              </w:rPr>
              <w:t xml:space="preserve"> больных </w:t>
            </w:r>
          </w:p>
          <w:p w:rsidR="002B750D" w:rsidRPr="00DC52BB" w:rsidRDefault="002B750D" w:rsidP="00F71B34">
            <w:pPr>
              <w:spacing w:after="0" w:line="360" w:lineRule="auto"/>
              <w:ind w:right="-82"/>
              <w:jc w:val="center"/>
              <w:rPr>
                <w:rFonts w:ascii="Times New Roman" w:hAnsi="Times New Roman"/>
                <w:sz w:val="24"/>
                <w:szCs w:val="24"/>
                <w:lang w:eastAsia="ru-RU"/>
              </w:rPr>
            </w:pPr>
            <w:proofErr w:type="gramStart"/>
            <w:r w:rsidRPr="00DC52BB">
              <w:rPr>
                <w:rFonts w:ascii="Times New Roman" w:hAnsi="Times New Roman"/>
                <w:sz w:val="24"/>
                <w:szCs w:val="24"/>
                <w:lang w:eastAsia="ru-RU"/>
              </w:rPr>
              <w:t>(А –</w:t>
            </w:r>
            <w:r>
              <w:rPr>
                <w:rFonts w:ascii="Times New Roman" w:hAnsi="Times New Roman"/>
                <w:sz w:val="24"/>
                <w:szCs w:val="24"/>
                <w:lang w:eastAsia="ru-RU"/>
              </w:rPr>
              <w:t xml:space="preserve"> </w:t>
            </w:r>
            <w:r w:rsidRPr="00DC52BB">
              <w:rPr>
                <w:rFonts w:ascii="Times New Roman" w:hAnsi="Times New Roman"/>
                <w:sz w:val="24"/>
                <w:szCs w:val="24"/>
                <w:lang w:eastAsia="ru-RU"/>
              </w:rPr>
              <w:t xml:space="preserve">серонегативные, </w:t>
            </w:r>
            <w:proofErr w:type="gramEnd"/>
          </w:p>
          <w:p w:rsidR="002B750D" w:rsidRPr="00DC52BB" w:rsidRDefault="002B750D" w:rsidP="00F71B34">
            <w:pPr>
              <w:spacing w:after="0" w:line="360" w:lineRule="auto"/>
              <w:ind w:right="-82"/>
              <w:jc w:val="center"/>
              <w:rPr>
                <w:rFonts w:ascii="Times New Roman" w:hAnsi="Times New Roman"/>
                <w:sz w:val="24"/>
                <w:szCs w:val="24"/>
                <w:lang w:eastAsia="ru-RU"/>
              </w:rPr>
            </w:pPr>
            <w:proofErr w:type="gramStart"/>
            <w:r w:rsidRPr="00DC52BB">
              <w:rPr>
                <w:rFonts w:ascii="Times New Roman" w:hAnsi="Times New Roman"/>
                <w:sz w:val="24"/>
                <w:szCs w:val="24"/>
                <w:lang w:eastAsia="ru-RU"/>
              </w:rPr>
              <w:t>В –</w:t>
            </w:r>
            <w:r>
              <w:rPr>
                <w:rFonts w:ascii="Times New Roman" w:hAnsi="Times New Roman"/>
                <w:sz w:val="24"/>
                <w:szCs w:val="24"/>
                <w:lang w:eastAsia="ru-RU"/>
              </w:rPr>
              <w:t xml:space="preserve"> </w:t>
            </w:r>
            <w:r w:rsidRPr="00DC52BB">
              <w:rPr>
                <w:rFonts w:ascii="Times New Roman" w:hAnsi="Times New Roman"/>
                <w:sz w:val="24"/>
                <w:szCs w:val="24"/>
                <w:lang w:eastAsia="ru-RU"/>
              </w:rPr>
              <w:t>серопозитивные)</w:t>
            </w:r>
            <w:proofErr w:type="gramEnd"/>
          </w:p>
        </w:tc>
        <w:tc>
          <w:tcPr>
            <w:tcW w:w="3370" w:type="pct"/>
            <w:gridSpan w:val="2"/>
            <w:tcBorders>
              <w:top w:val="single" w:sz="4" w:space="0" w:color="auto"/>
              <w:left w:val="single" w:sz="4" w:space="0" w:color="auto"/>
              <w:bottom w:val="single" w:sz="4" w:space="0" w:color="auto"/>
              <w:right w:val="single" w:sz="4" w:space="0" w:color="auto"/>
            </w:tcBorders>
            <w:vAlign w:val="center"/>
          </w:tcPr>
          <w:p w:rsidR="002B750D" w:rsidRPr="00DC52BB" w:rsidRDefault="002B750D" w:rsidP="002B750D">
            <w:pPr>
              <w:spacing w:after="0" w:line="360" w:lineRule="auto"/>
              <w:ind w:right="-82"/>
              <w:jc w:val="center"/>
              <w:rPr>
                <w:rFonts w:ascii="Times New Roman" w:hAnsi="Times New Roman"/>
                <w:sz w:val="24"/>
                <w:szCs w:val="24"/>
                <w:lang w:eastAsia="ru-RU"/>
              </w:rPr>
            </w:pPr>
            <w:r>
              <w:rPr>
                <w:rFonts w:ascii="Times New Roman" w:hAnsi="Times New Roman"/>
                <w:sz w:val="24"/>
                <w:szCs w:val="24"/>
                <w:lang w:eastAsia="ru-RU"/>
              </w:rPr>
              <w:t>Δ МПК</w:t>
            </w:r>
          </w:p>
        </w:tc>
      </w:tr>
      <w:tr w:rsidR="002B750D" w:rsidRPr="00DC52BB" w:rsidTr="00B27E28">
        <w:tc>
          <w:tcPr>
            <w:tcW w:w="1630" w:type="pct"/>
            <w:vMerge/>
            <w:tcBorders>
              <w:left w:val="single" w:sz="4" w:space="0" w:color="auto"/>
              <w:bottom w:val="single" w:sz="4" w:space="0" w:color="auto"/>
              <w:right w:val="single" w:sz="4" w:space="0" w:color="auto"/>
            </w:tcBorders>
            <w:vAlign w:val="center"/>
          </w:tcPr>
          <w:p w:rsidR="002B750D" w:rsidRPr="00DC52BB" w:rsidRDefault="002B750D" w:rsidP="00F71B34">
            <w:pPr>
              <w:spacing w:after="0" w:line="360" w:lineRule="auto"/>
              <w:ind w:right="-82"/>
              <w:jc w:val="center"/>
              <w:rPr>
                <w:rFonts w:ascii="Times New Roman" w:hAnsi="Times New Roman"/>
                <w:sz w:val="24"/>
                <w:szCs w:val="24"/>
                <w:lang w:eastAsia="ru-RU"/>
              </w:rPr>
            </w:pPr>
          </w:p>
        </w:tc>
        <w:tc>
          <w:tcPr>
            <w:tcW w:w="1198" w:type="pct"/>
            <w:tcBorders>
              <w:top w:val="single" w:sz="4" w:space="0" w:color="auto"/>
              <w:left w:val="single" w:sz="4" w:space="0" w:color="auto"/>
              <w:bottom w:val="single" w:sz="4" w:space="0" w:color="auto"/>
              <w:right w:val="single" w:sz="4" w:space="0" w:color="auto"/>
            </w:tcBorders>
            <w:vAlign w:val="center"/>
          </w:tcPr>
          <w:p w:rsidR="002B750D" w:rsidRPr="00DC52BB" w:rsidRDefault="002B750D"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шейки бедра</w:t>
            </w:r>
            <w:proofErr w:type="gramStart"/>
            <w:r w:rsidR="00B27E28">
              <w:rPr>
                <w:rFonts w:ascii="Times New Roman" w:hAnsi="Times New Roman"/>
                <w:sz w:val="24"/>
                <w:szCs w:val="24"/>
                <w:lang w:eastAsia="ru-RU"/>
              </w:rPr>
              <w:t xml:space="preserve"> (%)</w:t>
            </w:r>
            <w:proofErr w:type="gramEnd"/>
          </w:p>
        </w:tc>
        <w:tc>
          <w:tcPr>
            <w:tcW w:w="2172" w:type="pct"/>
            <w:tcBorders>
              <w:top w:val="single" w:sz="4" w:space="0" w:color="auto"/>
              <w:left w:val="single" w:sz="4" w:space="0" w:color="auto"/>
              <w:bottom w:val="single" w:sz="4" w:space="0" w:color="auto"/>
              <w:right w:val="single" w:sz="4" w:space="0" w:color="auto"/>
            </w:tcBorders>
            <w:vAlign w:val="center"/>
          </w:tcPr>
          <w:p w:rsidR="002B750D" w:rsidRPr="00DC52BB" w:rsidRDefault="002B750D" w:rsidP="00F71B34">
            <w:pPr>
              <w:spacing w:after="0" w:line="360" w:lineRule="auto"/>
              <w:ind w:right="-82"/>
              <w:jc w:val="center"/>
              <w:rPr>
                <w:rFonts w:ascii="Times New Roman" w:hAnsi="Times New Roman"/>
                <w:sz w:val="24"/>
                <w:szCs w:val="24"/>
                <w:lang w:eastAsia="ru-RU"/>
              </w:rPr>
            </w:pPr>
            <w:r w:rsidRPr="00DC52BB">
              <w:rPr>
                <w:rFonts w:ascii="Times New Roman" w:hAnsi="Times New Roman"/>
                <w:sz w:val="24"/>
                <w:szCs w:val="24"/>
                <w:lang w:eastAsia="ru-RU"/>
              </w:rPr>
              <w:t>поясничного отдела позвоночника</w:t>
            </w:r>
            <w:proofErr w:type="gramStart"/>
            <w:r w:rsidR="00B27E28">
              <w:rPr>
                <w:rFonts w:ascii="Times New Roman" w:hAnsi="Times New Roman"/>
                <w:sz w:val="24"/>
                <w:szCs w:val="24"/>
                <w:lang w:eastAsia="ru-RU"/>
              </w:rPr>
              <w:t xml:space="preserve"> (%)</w:t>
            </w:r>
            <w:proofErr w:type="gramEnd"/>
          </w:p>
        </w:tc>
      </w:tr>
      <w:tr w:rsidR="00351DA8" w:rsidRPr="00DC52BB" w:rsidTr="00B27E28">
        <w:tc>
          <w:tcPr>
            <w:tcW w:w="1630" w:type="pct"/>
            <w:tcBorders>
              <w:top w:val="single" w:sz="4" w:space="0" w:color="auto"/>
              <w:left w:val="single" w:sz="4" w:space="0" w:color="auto"/>
              <w:bottom w:val="single" w:sz="4" w:space="0" w:color="auto"/>
              <w:right w:val="single" w:sz="4" w:space="0" w:color="auto"/>
            </w:tcBorders>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1198" w:type="pct"/>
            <w:tcBorders>
              <w:top w:val="single" w:sz="4" w:space="0" w:color="auto"/>
              <w:left w:val="single" w:sz="4" w:space="0" w:color="auto"/>
              <w:bottom w:val="single" w:sz="4" w:space="0" w:color="auto"/>
              <w:right w:val="single" w:sz="4" w:space="0" w:color="auto"/>
            </w:tcBorders>
            <w:vAlign w:val="center"/>
          </w:tcPr>
          <w:p w:rsidR="00351DA8" w:rsidRPr="00DC52BB" w:rsidRDefault="002C2F94" w:rsidP="002C2F94">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val="en-US" w:eastAsia="ru-RU"/>
              </w:rPr>
              <w:t>06</w:t>
            </w:r>
            <w:r w:rsidR="00351DA8" w:rsidRPr="00DC52BB">
              <w:rPr>
                <w:rFonts w:ascii="Times New Roman" w:hAnsi="Times New Roman"/>
                <w:sz w:val="24"/>
                <w:szCs w:val="24"/>
                <w:lang w:eastAsia="ru-RU"/>
              </w:rPr>
              <w:t>±</w:t>
            </w:r>
            <w:r>
              <w:rPr>
                <w:rFonts w:ascii="Times New Roman" w:hAnsi="Times New Roman"/>
                <w:sz w:val="24"/>
                <w:szCs w:val="24"/>
                <w:lang w:val="en-US" w:eastAsia="ru-RU"/>
              </w:rPr>
              <w:t>3</w:t>
            </w:r>
            <w:r>
              <w:rPr>
                <w:rFonts w:ascii="Times New Roman" w:hAnsi="Times New Roman"/>
                <w:sz w:val="24"/>
                <w:szCs w:val="24"/>
                <w:lang w:eastAsia="ru-RU"/>
              </w:rPr>
              <w:t>,54</w:t>
            </w:r>
          </w:p>
        </w:tc>
        <w:tc>
          <w:tcPr>
            <w:tcW w:w="2172" w:type="pct"/>
            <w:tcBorders>
              <w:top w:val="single" w:sz="4" w:space="0" w:color="auto"/>
              <w:left w:val="single" w:sz="4" w:space="0" w:color="auto"/>
              <w:bottom w:val="single" w:sz="4" w:space="0" w:color="auto"/>
              <w:right w:val="single" w:sz="4" w:space="0" w:color="auto"/>
            </w:tcBorders>
            <w:vAlign w:val="center"/>
          </w:tcPr>
          <w:p w:rsidR="00351DA8" w:rsidRPr="00DC52BB" w:rsidRDefault="002C2F94" w:rsidP="002C2F94">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-6,67</w:t>
            </w:r>
            <w:r w:rsidR="00351DA8" w:rsidRPr="00DC52BB">
              <w:rPr>
                <w:rFonts w:ascii="Times New Roman" w:hAnsi="Times New Roman"/>
                <w:sz w:val="24"/>
                <w:szCs w:val="24"/>
                <w:lang w:eastAsia="ru-RU"/>
              </w:rPr>
              <w:t>±</w:t>
            </w:r>
            <w:r>
              <w:rPr>
                <w:rFonts w:ascii="Times New Roman" w:hAnsi="Times New Roman"/>
                <w:sz w:val="24"/>
                <w:szCs w:val="24"/>
                <w:lang w:eastAsia="ru-RU"/>
              </w:rPr>
              <w:t>6,09</w:t>
            </w:r>
          </w:p>
        </w:tc>
      </w:tr>
      <w:tr w:rsidR="00351DA8" w:rsidRPr="00DC52BB" w:rsidTr="00B27E28">
        <w:tc>
          <w:tcPr>
            <w:tcW w:w="1630" w:type="pct"/>
            <w:tcBorders>
              <w:top w:val="single" w:sz="4" w:space="0" w:color="auto"/>
              <w:left w:val="single" w:sz="4" w:space="0" w:color="auto"/>
              <w:bottom w:val="single" w:sz="4" w:space="0" w:color="auto"/>
              <w:right w:val="single" w:sz="4" w:space="0" w:color="auto"/>
            </w:tcBorders>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1198" w:type="pct"/>
            <w:tcBorders>
              <w:top w:val="single" w:sz="4" w:space="0" w:color="auto"/>
              <w:left w:val="single" w:sz="4" w:space="0" w:color="auto"/>
              <w:bottom w:val="single" w:sz="4" w:space="0" w:color="auto"/>
              <w:right w:val="single" w:sz="4" w:space="0" w:color="auto"/>
            </w:tcBorders>
            <w:vAlign w:val="center"/>
          </w:tcPr>
          <w:p w:rsidR="00351DA8" w:rsidRPr="00DC52BB" w:rsidRDefault="00B36F73" w:rsidP="00B36F73">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6,89</w:t>
            </w:r>
            <w:r w:rsidR="00351DA8" w:rsidRPr="00DC52BB">
              <w:rPr>
                <w:rFonts w:ascii="Times New Roman" w:hAnsi="Times New Roman"/>
                <w:sz w:val="24"/>
                <w:szCs w:val="24"/>
                <w:lang w:eastAsia="ru-RU"/>
              </w:rPr>
              <w:t>±</w:t>
            </w:r>
            <w:r>
              <w:rPr>
                <w:rFonts w:ascii="Times New Roman" w:hAnsi="Times New Roman"/>
                <w:sz w:val="24"/>
                <w:szCs w:val="24"/>
                <w:lang w:eastAsia="ru-RU"/>
              </w:rPr>
              <w:t>1,24</w:t>
            </w:r>
          </w:p>
        </w:tc>
        <w:tc>
          <w:tcPr>
            <w:tcW w:w="2172"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B36F73">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w:t>
            </w:r>
            <w:r w:rsidR="00B36F73">
              <w:rPr>
                <w:rFonts w:ascii="Times New Roman" w:hAnsi="Times New Roman"/>
                <w:sz w:val="24"/>
                <w:szCs w:val="24"/>
                <w:lang w:eastAsia="ru-RU"/>
              </w:rPr>
              <w:t>1,60</w:t>
            </w:r>
            <w:r w:rsidRPr="00DC52BB">
              <w:rPr>
                <w:rFonts w:ascii="Times New Roman" w:hAnsi="Times New Roman"/>
                <w:sz w:val="24"/>
                <w:szCs w:val="24"/>
                <w:lang w:eastAsia="ru-RU"/>
              </w:rPr>
              <w:t>±</w:t>
            </w:r>
            <w:r w:rsidR="00B36F73">
              <w:rPr>
                <w:rFonts w:ascii="Times New Roman" w:hAnsi="Times New Roman"/>
                <w:sz w:val="24"/>
                <w:szCs w:val="24"/>
                <w:lang w:eastAsia="ru-RU"/>
              </w:rPr>
              <w:t>1,40</w:t>
            </w:r>
          </w:p>
        </w:tc>
      </w:tr>
      <w:tr w:rsidR="00351DA8" w:rsidRPr="00DC52BB" w:rsidTr="00B27E28">
        <w:tc>
          <w:tcPr>
            <w:tcW w:w="1630" w:type="pct"/>
            <w:tcBorders>
              <w:top w:val="single" w:sz="4" w:space="0" w:color="auto"/>
              <w:left w:val="single" w:sz="4" w:space="0" w:color="auto"/>
              <w:bottom w:val="single" w:sz="4" w:space="0" w:color="auto"/>
              <w:right w:val="single" w:sz="4" w:space="0" w:color="auto"/>
            </w:tcBorders>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1198" w:type="pct"/>
            <w:tcBorders>
              <w:top w:val="single" w:sz="4" w:space="0" w:color="auto"/>
              <w:left w:val="single" w:sz="4" w:space="0" w:color="auto"/>
              <w:bottom w:val="single" w:sz="4" w:space="0" w:color="auto"/>
              <w:right w:val="single" w:sz="4" w:space="0" w:color="auto"/>
            </w:tcBorders>
            <w:vAlign w:val="center"/>
          </w:tcPr>
          <w:p w:rsidR="00351DA8" w:rsidRPr="00DC52BB" w:rsidRDefault="002C2F94" w:rsidP="002C2F94">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2,97</w:t>
            </w:r>
            <w:r w:rsidR="00351DA8" w:rsidRPr="00DC52BB">
              <w:rPr>
                <w:rFonts w:ascii="Times New Roman" w:hAnsi="Times New Roman"/>
                <w:sz w:val="24"/>
                <w:szCs w:val="24"/>
                <w:lang w:eastAsia="ru-RU"/>
              </w:rPr>
              <w:t>±</w:t>
            </w:r>
            <w:r>
              <w:rPr>
                <w:rFonts w:ascii="Times New Roman" w:hAnsi="Times New Roman"/>
                <w:sz w:val="24"/>
                <w:szCs w:val="24"/>
                <w:lang w:eastAsia="ru-RU"/>
              </w:rPr>
              <w:t>5,27</w:t>
            </w:r>
          </w:p>
        </w:tc>
        <w:tc>
          <w:tcPr>
            <w:tcW w:w="2172"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2C2F94">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w:t>
            </w:r>
            <w:r w:rsidR="002C2F94">
              <w:rPr>
                <w:rFonts w:ascii="Times New Roman" w:hAnsi="Times New Roman"/>
                <w:sz w:val="24"/>
                <w:szCs w:val="24"/>
                <w:lang w:eastAsia="ru-RU"/>
              </w:rPr>
              <w:t>9,90</w:t>
            </w:r>
            <w:r w:rsidRPr="00DC52BB">
              <w:rPr>
                <w:rFonts w:ascii="Times New Roman" w:hAnsi="Times New Roman"/>
                <w:sz w:val="24"/>
                <w:szCs w:val="24"/>
                <w:lang w:eastAsia="ru-RU"/>
              </w:rPr>
              <w:t>±</w:t>
            </w:r>
            <w:r w:rsidR="002C2F94">
              <w:rPr>
                <w:rFonts w:ascii="Times New Roman" w:hAnsi="Times New Roman"/>
                <w:sz w:val="24"/>
                <w:szCs w:val="24"/>
                <w:lang w:eastAsia="ru-RU"/>
              </w:rPr>
              <w:t>7,37</w:t>
            </w:r>
          </w:p>
        </w:tc>
      </w:tr>
      <w:tr w:rsidR="00351DA8" w:rsidRPr="00DC52BB" w:rsidTr="00B27E28">
        <w:tc>
          <w:tcPr>
            <w:tcW w:w="1630" w:type="pct"/>
            <w:tcBorders>
              <w:top w:val="single" w:sz="4" w:space="0" w:color="auto"/>
              <w:left w:val="single" w:sz="4" w:space="0" w:color="auto"/>
              <w:bottom w:val="single" w:sz="4" w:space="0" w:color="auto"/>
              <w:right w:val="single" w:sz="4" w:space="0" w:color="auto"/>
            </w:tcBorders>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1198"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B36F73">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w:t>
            </w:r>
            <w:r w:rsidR="00B36F73">
              <w:rPr>
                <w:rFonts w:ascii="Times New Roman" w:hAnsi="Times New Roman"/>
                <w:sz w:val="24"/>
                <w:szCs w:val="24"/>
                <w:lang w:eastAsia="ru-RU"/>
              </w:rPr>
              <w:t>3,25</w:t>
            </w:r>
            <w:r w:rsidRPr="00DC52BB">
              <w:rPr>
                <w:rFonts w:ascii="Times New Roman" w:hAnsi="Times New Roman"/>
                <w:sz w:val="24"/>
                <w:szCs w:val="24"/>
                <w:lang w:eastAsia="ru-RU"/>
              </w:rPr>
              <w:t>±</w:t>
            </w:r>
            <w:r w:rsidR="00B36F73">
              <w:rPr>
                <w:rFonts w:ascii="Times New Roman" w:hAnsi="Times New Roman"/>
                <w:sz w:val="24"/>
                <w:szCs w:val="24"/>
                <w:lang w:eastAsia="ru-RU"/>
              </w:rPr>
              <w:t>1,53</w:t>
            </w:r>
          </w:p>
        </w:tc>
        <w:tc>
          <w:tcPr>
            <w:tcW w:w="2172"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B36F73">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w:t>
            </w:r>
            <w:r w:rsidR="00B36F73">
              <w:rPr>
                <w:rFonts w:ascii="Times New Roman" w:hAnsi="Times New Roman"/>
                <w:sz w:val="24"/>
                <w:szCs w:val="24"/>
                <w:lang w:eastAsia="ru-RU"/>
              </w:rPr>
              <w:t>5,92</w:t>
            </w:r>
            <w:r w:rsidRPr="00DC52BB">
              <w:rPr>
                <w:rFonts w:ascii="Times New Roman" w:hAnsi="Times New Roman"/>
                <w:sz w:val="24"/>
                <w:szCs w:val="24"/>
                <w:lang w:eastAsia="ru-RU"/>
              </w:rPr>
              <w:t>±</w:t>
            </w:r>
            <w:r w:rsidR="00B36F73">
              <w:rPr>
                <w:rFonts w:ascii="Times New Roman" w:hAnsi="Times New Roman"/>
                <w:sz w:val="24"/>
                <w:szCs w:val="24"/>
                <w:lang w:eastAsia="ru-RU"/>
              </w:rPr>
              <w:t>2,57</w:t>
            </w:r>
          </w:p>
        </w:tc>
      </w:tr>
      <w:tr w:rsidR="00351DA8" w:rsidRPr="00DC52BB" w:rsidTr="00B27E28">
        <w:tc>
          <w:tcPr>
            <w:tcW w:w="1630" w:type="pct"/>
            <w:tcBorders>
              <w:top w:val="single" w:sz="4" w:space="0" w:color="auto"/>
              <w:left w:val="single" w:sz="4" w:space="0" w:color="auto"/>
              <w:bottom w:val="single" w:sz="4" w:space="0" w:color="auto"/>
              <w:right w:val="single" w:sz="4" w:space="0" w:color="auto"/>
            </w:tcBorders>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1198"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B07479">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w:t>
            </w:r>
            <w:r w:rsidR="00B07479">
              <w:rPr>
                <w:rFonts w:ascii="Times New Roman" w:hAnsi="Times New Roman"/>
                <w:sz w:val="24"/>
                <w:szCs w:val="24"/>
                <w:lang w:eastAsia="ru-RU"/>
              </w:rPr>
              <w:t>517</w:t>
            </w:r>
          </w:p>
        </w:tc>
        <w:tc>
          <w:tcPr>
            <w:tcW w:w="2172" w:type="pct"/>
            <w:tcBorders>
              <w:top w:val="single" w:sz="4" w:space="0" w:color="auto"/>
              <w:left w:val="single" w:sz="4" w:space="0" w:color="auto"/>
              <w:bottom w:val="single" w:sz="4" w:space="0" w:color="auto"/>
              <w:right w:val="single" w:sz="4" w:space="0" w:color="auto"/>
            </w:tcBorders>
            <w:vAlign w:val="center"/>
          </w:tcPr>
          <w:p w:rsidR="00351DA8" w:rsidRPr="00DC52BB" w:rsidRDefault="00B36F73" w:rsidP="00F71B34">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0,087</w:t>
            </w:r>
          </w:p>
        </w:tc>
      </w:tr>
      <w:tr w:rsidR="00351DA8" w:rsidRPr="00DC52BB" w:rsidTr="00B27E28">
        <w:tc>
          <w:tcPr>
            <w:tcW w:w="1630" w:type="pct"/>
            <w:tcBorders>
              <w:top w:val="single" w:sz="4" w:space="0" w:color="auto"/>
              <w:left w:val="single" w:sz="4" w:space="0" w:color="auto"/>
              <w:bottom w:val="single" w:sz="4" w:space="0" w:color="auto"/>
              <w:right w:val="single" w:sz="4" w:space="0" w:color="auto"/>
            </w:tcBorders>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1198"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B36F73">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w:t>
            </w:r>
            <w:r w:rsidR="00B36F73">
              <w:rPr>
                <w:rFonts w:ascii="Times New Roman" w:hAnsi="Times New Roman"/>
                <w:sz w:val="24"/>
                <w:szCs w:val="24"/>
                <w:lang w:eastAsia="ru-RU"/>
              </w:rPr>
              <w:t>179</w:t>
            </w:r>
          </w:p>
        </w:tc>
        <w:tc>
          <w:tcPr>
            <w:tcW w:w="2172" w:type="pct"/>
            <w:tcBorders>
              <w:top w:val="single" w:sz="4" w:space="0" w:color="auto"/>
              <w:left w:val="single" w:sz="4" w:space="0" w:color="auto"/>
              <w:bottom w:val="single" w:sz="4" w:space="0" w:color="auto"/>
              <w:right w:val="single" w:sz="4" w:space="0" w:color="auto"/>
            </w:tcBorders>
            <w:vAlign w:val="center"/>
          </w:tcPr>
          <w:p w:rsidR="00351DA8" w:rsidRPr="00DC52BB" w:rsidRDefault="00B36F73" w:rsidP="00F71B34">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0,525</w:t>
            </w:r>
          </w:p>
        </w:tc>
      </w:tr>
      <w:tr w:rsidR="00351DA8" w:rsidRPr="00DC52BB" w:rsidTr="00B27E28">
        <w:tc>
          <w:tcPr>
            <w:tcW w:w="1630" w:type="pct"/>
            <w:tcBorders>
              <w:top w:val="single" w:sz="4" w:space="0" w:color="auto"/>
              <w:left w:val="single" w:sz="4" w:space="0" w:color="auto"/>
              <w:bottom w:val="single" w:sz="4" w:space="0" w:color="auto"/>
              <w:right w:val="single" w:sz="4" w:space="0" w:color="auto"/>
            </w:tcBorders>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1198"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F71B34">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0,012</w:t>
            </w:r>
          </w:p>
        </w:tc>
        <w:tc>
          <w:tcPr>
            <w:tcW w:w="2172"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2C2F94">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0,1</w:t>
            </w:r>
            <w:r w:rsidR="002C2F94">
              <w:rPr>
                <w:rFonts w:ascii="Times New Roman" w:hAnsi="Times New Roman"/>
                <w:sz w:val="24"/>
                <w:szCs w:val="24"/>
                <w:lang w:eastAsia="ru-RU"/>
              </w:rPr>
              <w:t>21</w:t>
            </w:r>
          </w:p>
        </w:tc>
      </w:tr>
      <w:tr w:rsidR="00351DA8" w:rsidRPr="00DC52BB" w:rsidTr="00B27E28">
        <w:tc>
          <w:tcPr>
            <w:tcW w:w="1630" w:type="pct"/>
            <w:tcBorders>
              <w:top w:val="single" w:sz="4" w:space="0" w:color="auto"/>
              <w:left w:val="single" w:sz="4" w:space="0" w:color="auto"/>
              <w:bottom w:val="single" w:sz="4" w:space="0" w:color="auto"/>
              <w:right w:val="single" w:sz="4" w:space="0" w:color="auto"/>
            </w:tcBorders>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1198"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B36F73">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0,0000</w:t>
            </w:r>
            <w:r w:rsidR="00B36F73">
              <w:rPr>
                <w:rFonts w:ascii="Times New Roman" w:hAnsi="Times New Roman"/>
                <w:sz w:val="24"/>
                <w:szCs w:val="24"/>
                <w:lang w:eastAsia="ru-RU"/>
              </w:rPr>
              <w:t>9</w:t>
            </w:r>
          </w:p>
        </w:tc>
        <w:tc>
          <w:tcPr>
            <w:tcW w:w="2172" w:type="pct"/>
            <w:tcBorders>
              <w:top w:val="single" w:sz="4" w:space="0" w:color="auto"/>
              <w:left w:val="single" w:sz="4" w:space="0" w:color="auto"/>
              <w:bottom w:val="single" w:sz="4" w:space="0" w:color="auto"/>
              <w:right w:val="single" w:sz="4" w:space="0" w:color="auto"/>
            </w:tcBorders>
            <w:vAlign w:val="center"/>
          </w:tcPr>
          <w:p w:rsidR="00351DA8" w:rsidRPr="00DC52BB" w:rsidRDefault="00351DA8" w:rsidP="00B36F73">
            <w:pPr>
              <w:spacing w:after="0" w:line="360" w:lineRule="auto"/>
              <w:jc w:val="center"/>
              <w:rPr>
                <w:rFonts w:ascii="Times New Roman" w:hAnsi="Times New Roman"/>
                <w:sz w:val="24"/>
                <w:szCs w:val="24"/>
                <w:lang w:eastAsia="ru-RU"/>
              </w:rPr>
            </w:pPr>
            <w:r w:rsidRPr="00DC52BB">
              <w:rPr>
                <w:rFonts w:ascii="Times New Roman" w:hAnsi="Times New Roman"/>
                <w:sz w:val="24"/>
                <w:szCs w:val="24"/>
                <w:lang w:eastAsia="ru-RU"/>
              </w:rPr>
              <w:t>0,</w:t>
            </w:r>
            <w:r w:rsidR="00B36F73">
              <w:rPr>
                <w:rFonts w:ascii="Times New Roman" w:hAnsi="Times New Roman"/>
                <w:sz w:val="24"/>
                <w:szCs w:val="24"/>
                <w:lang w:eastAsia="ru-RU"/>
              </w:rPr>
              <w:t>059</w:t>
            </w:r>
          </w:p>
        </w:tc>
      </w:tr>
    </w:tbl>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Таким образом, можно полагать, что наличие РФ не оказывает существенного влияния на минеральную плотность кости независимо от базисной терапии </w:t>
      </w:r>
      <w:proofErr w:type="gramStart"/>
      <w:r w:rsidRPr="00F71B34">
        <w:rPr>
          <w:rFonts w:ascii="Times New Roman" w:eastAsia="Times New Roman" w:hAnsi="Times New Roman"/>
          <w:sz w:val="28"/>
          <w:szCs w:val="28"/>
          <w:lang w:eastAsia="ru-RU"/>
        </w:rPr>
        <w:t>РА</w:t>
      </w:r>
      <w:proofErr w:type="gramEnd"/>
      <w:r w:rsidRPr="00F71B34">
        <w:rPr>
          <w:rFonts w:ascii="Times New Roman" w:eastAsia="Times New Roman" w:hAnsi="Times New Roman"/>
          <w:sz w:val="28"/>
          <w:szCs w:val="28"/>
          <w:lang w:eastAsia="ru-RU"/>
        </w:rPr>
        <w:t xml:space="preserve"> как в шейке бедра, так и в поясничном отделе позвоночника. </w:t>
      </w:r>
    </w:p>
    <w:p w:rsidR="00B20BA4" w:rsidRPr="00F71B34" w:rsidRDefault="00B20BA4" w:rsidP="00F71B34">
      <w:pPr>
        <w:spacing w:after="0" w:line="360" w:lineRule="auto"/>
        <w:jc w:val="both"/>
        <w:rPr>
          <w:rFonts w:ascii="Times New Roman" w:eastAsia="Times New Roman" w:hAnsi="Times New Roman"/>
          <w:color w:val="FF0000"/>
          <w:sz w:val="28"/>
          <w:szCs w:val="28"/>
          <w:lang w:eastAsia="ru-RU"/>
        </w:rPr>
      </w:pPr>
    </w:p>
    <w:p w:rsidR="00B20BA4" w:rsidRPr="00F71B34" w:rsidRDefault="002B750D" w:rsidP="002B750D">
      <w:pPr>
        <w:spacing w:after="0" w:line="360" w:lineRule="auto"/>
        <w:ind w:left="342"/>
        <w:jc w:val="both"/>
        <w:rPr>
          <w:rFonts w:ascii="Times New Roman" w:eastAsia="Times New Roman" w:hAnsi="Times New Roman"/>
          <w:sz w:val="28"/>
          <w:szCs w:val="28"/>
          <w:lang w:eastAsia="ru-RU"/>
        </w:rPr>
      </w:pPr>
      <w:r>
        <w:rPr>
          <w:color w:val="000000"/>
          <w:sz w:val="28"/>
          <w:szCs w:val="28"/>
        </w:rPr>
        <w:t xml:space="preserve">▪ </w:t>
      </w:r>
      <w:r w:rsidR="002C3A1C" w:rsidRPr="002C3A1C">
        <w:rPr>
          <w:rFonts w:ascii="Times New Roman" w:eastAsia="Times New Roman" w:hAnsi="Times New Roman"/>
          <w:sz w:val="28"/>
          <w:szCs w:val="28"/>
          <w:lang w:eastAsia="ru-RU"/>
        </w:rPr>
        <w:t xml:space="preserve">Динамика денситометрических показателей в зависимости от </w:t>
      </w:r>
      <w:r w:rsidR="002C3A1C">
        <w:rPr>
          <w:rFonts w:ascii="Times New Roman" w:eastAsia="Times New Roman" w:hAnsi="Times New Roman"/>
          <w:sz w:val="28"/>
          <w:szCs w:val="28"/>
          <w:lang w:eastAsia="ru-RU"/>
        </w:rPr>
        <w:t>исходной рентгенологической стадии</w:t>
      </w:r>
      <w:r w:rsidR="00B20BA4" w:rsidRPr="00F71B34">
        <w:rPr>
          <w:rFonts w:ascii="Times New Roman" w:eastAsia="Times New Roman" w:hAnsi="Times New Roman"/>
          <w:sz w:val="28"/>
          <w:szCs w:val="28"/>
          <w:lang w:eastAsia="ru-RU"/>
        </w:rPr>
        <w:t xml:space="preserve"> РА</w:t>
      </w: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351DA8">
        <w:rPr>
          <w:rFonts w:ascii="Times New Roman" w:eastAsia="Times New Roman" w:hAnsi="Times New Roman"/>
          <w:spacing w:val="-4"/>
          <w:sz w:val="28"/>
          <w:szCs w:val="28"/>
          <w:lang w:eastAsia="ru-RU"/>
        </w:rPr>
        <w:t xml:space="preserve">Для изучения </w:t>
      </w:r>
      <w:r w:rsidR="002C3A1C">
        <w:rPr>
          <w:rFonts w:ascii="Times New Roman" w:eastAsia="Times New Roman" w:hAnsi="Times New Roman"/>
          <w:sz w:val="28"/>
          <w:szCs w:val="28"/>
          <w:lang w:eastAsia="ru-RU"/>
        </w:rPr>
        <w:t>зависимости динамики</w:t>
      </w:r>
      <w:r w:rsidR="002C3A1C" w:rsidRPr="00F71B34">
        <w:rPr>
          <w:rFonts w:ascii="Times New Roman" w:eastAsia="Times New Roman" w:hAnsi="Times New Roman"/>
          <w:sz w:val="28"/>
          <w:szCs w:val="28"/>
          <w:lang w:eastAsia="ru-RU"/>
        </w:rPr>
        <w:t xml:space="preserve"> денситометрически</w:t>
      </w:r>
      <w:r w:rsidR="002C3A1C">
        <w:rPr>
          <w:rFonts w:ascii="Times New Roman" w:eastAsia="Times New Roman" w:hAnsi="Times New Roman"/>
          <w:sz w:val="28"/>
          <w:szCs w:val="28"/>
          <w:lang w:eastAsia="ru-RU"/>
        </w:rPr>
        <w:t>х</w:t>
      </w:r>
      <w:r w:rsidR="002C3A1C" w:rsidRPr="00F71B34">
        <w:rPr>
          <w:rFonts w:ascii="Times New Roman" w:eastAsia="Times New Roman" w:hAnsi="Times New Roman"/>
          <w:sz w:val="28"/>
          <w:szCs w:val="28"/>
          <w:lang w:eastAsia="ru-RU"/>
        </w:rPr>
        <w:t xml:space="preserve"> показател</w:t>
      </w:r>
      <w:r w:rsidR="002C3A1C">
        <w:rPr>
          <w:rFonts w:ascii="Times New Roman" w:eastAsia="Times New Roman" w:hAnsi="Times New Roman"/>
          <w:sz w:val="28"/>
          <w:szCs w:val="28"/>
          <w:lang w:eastAsia="ru-RU"/>
        </w:rPr>
        <w:t xml:space="preserve">ей и </w:t>
      </w:r>
      <w:r w:rsidR="002C3A1C">
        <w:rPr>
          <w:rFonts w:ascii="Times New Roman" w:eastAsia="Times New Roman" w:hAnsi="Times New Roman"/>
          <w:spacing w:val="-4"/>
          <w:sz w:val="28"/>
          <w:szCs w:val="28"/>
          <w:lang w:eastAsia="ru-RU"/>
        </w:rPr>
        <w:t>исходной  рентгенологической стадии</w:t>
      </w:r>
      <w:r w:rsidRPr="00351DA8">
        <w:rPr>
          <w:rFonts w:ascii="Times New Roman" w:eastAsia="Times New Roman" w:hAnsi="Times New Roman"/>
          <w:spacing w:val="-4"/>
          <w:sz w:val="28"/>
          <w:szCs w:val="28"/>
          <w:lang w:eastAsia="ru-RU"/>
        </w:rPr>
        <w:t xml:space="preserve"> больные в каждой из групп были разделены</w:t>
      </w:r>
      <w:r w:rsidR="00351DA8" w:rsidRPr="00351DA8">
        <w:rPr>
          <w:rFonts w:ascii="Times New Roman" w:eastAsia="Times New Roman" w:hAnsi="Times New Roman"/>
          <w:spacing w:val="-4"/>
          <w:sz w:val="28"/>
          <w:szCs w:val="28"/>
          <w:lang w:eastAsia="ru-RU"/>
        </w:rPr>
        <w:t xml:space="preserve"> </w:t>
      </w:r>
      <w:r w:rsidRPr="00351DA8">
        <w:rPr>
          <w:rFonts w:ascii="Times New Roman" w:eastAsia="Times New Roman" w:hAnsi="Times New Roman"/>
          <w:spacing w:val="-4"/>
          <w:sz w:val="28"/>
          <w:szCs w:val="28"/>
          <w:lang w:eastAsia="ru-RU"/>
        </w:rPr>
        <w:t>на две подгруппы: А</w:t>
      </w:r>
      <w:r w:rsidR="00CD2EDC" w:rsidRPr="00351DA8">
        <w:rPr>
          <w:rFonts w:ascii="Times New Roman" w:eastAsia="Times New Roman" w:hAnsi="Times New Roman"/>
          <w:spacing w:val="-4"/>
          <w:sz w:val="28"/>
          <w:szCs w:val="28"/>
          <w:lang w:eastAsia="ru-RU"/>
        </w:rPr>
        <w:t xml:space="preserve"> – </w:t>
      </w:r>
      <w:r w:rsidRPr="00351DA8">
        <w:rPr>
          <w:rFonts w:ascii="Times New Roman" w:eastAsia="Times New Roman" w:hAnsi="Times New Roman"/>
          <w:spacing w:val="-4"/>
          <w:sz w:val="28"/>
          <w:szCs w:val="28"/>
          <w:lang w:eastAsia="ru-RU"/>
        </w:rPr>
        <w:t>I</w:t>
      </w:r>
      <w:r w:rsidR="00351DA8" w:rsidRPr="00351DA8">
        <w:rPr>
          <w:rFonts w:ascii="Times New Roman" w:eastAsia="Times New Roman" w:hAnsi="Times New Roman"/>
          <w:spacing w:val="-4"/>
          <w:sz w:val="28"/>
          <w:szCs w:val="28"/>
          <w:lang w:eastAsia="ru-RU"/>
        </w:rPr>
        <w:t>–</w:t>
      </w:r>
      <w:r w:rsidRPr="00351DA8">
        <w:rPr>
          <w:rFonts w:ascii="Times New Roman" w:eastAsia="Times New Roman" w:hAnsi="Times New Roman"/>
          <w:spacing w:val="-4"/>
          <w:sz w:val="28"/>
          <w:szCs w:val="28"/>
          <w:lang w:eastAsia="ru-RU"/>
        </w:rPr>
        <w:t>II рентгенологическая стадия, В</w:t>
      </w:r>
      <w:r w:rsidR="00CD2EDC" w:rsidRPr="00351DA8">
        <w:rPr>
          <w:rFonts w:ascii="Times New Roman" w:eastAsia="Times New Roman" w:hAnsi="Times New Roman"/>
          <w:spacing w:val="-4"/>
          <w:sz w:val="28"/>
          <w:szCs w:val="28"/>
          <w:lang w:eastAsia="ru-RU"/>
        </w:rPr>
        <w:t xml:space="preserve"> – </w:t>
      </w:r>
      <w:r w:rsidRPr="00351DA8">
        <w:rPr>
          <w:rFonts w:ascii="Times New Roman" w:eastAsia="Times New Roman" w:hAnsi="Times New Roman"/>
          <w:spacing w:val="-4"/>
          <w:sz w:val="28"/>
          <w:szCs w:val="28"/>
          <w:lang w:eastAsia="ru-RU"/>
        </w:rPr>
        <w:t>III</w:t>
      </w:r>
      <w:r w:rsidR="00351DA8" w:rsidRPr="00351DA8">
        <w:rPr>
          <w:rFonts w:ascii="Times New Roman" w:eastAsia="Times New Roman" w:hAnsi="Times New Roman"/>
          <w:spacing w:val="-4"/>
          <w:sz w:val="28"/>
          <w:szCs w:val="28"/>
          <w:lang w:eastAsia="ru-RU"/>
        </w:rPr>
        <w:t>–</w:t>
      </w:r>
      <w:r w:rsidRPr="00351DA8">
        <w:rPr>
          <w:rFonts w:ascii="Times New Roman" w:eastAsia="Times New Roman" w:hAnsi="Times New Roman"/>
          <w:spacing w:val="-4"/>
          <w:sz w:val="28"/>
          <w:szCs w:val="28"/>
          <w:lang w:eastAsia="ru-RU"/>
        </w:rPr>
        <w:t>IV рентгенологическая</w:t>
      </w:r>
      <w:r w:rsidRPr="00F71B34">
        <w:rPr>
          <w:rFonts w:ascii="Times New Roman" w:eastAsia="Times New Roman" w:hAnsi="Times New Roman"/>
          <w:sz w:val="28"/>
          <w:szCs w:val="28"/>
          <w:lang w:eastAsia="ru-RU"/>
        </w:rPr>
        <w:t xml:space="preserve"> стадия. Больные распределились по </w:t>
      </w:r>
      <w:r w:rsidR="00404230">
        <w:rPr>
          <w:rFonts w:ascii="Times New Roman" w:eastAsia="Times New Roman" w:hAnsi="Times New Roman"/>
          <w:sz w:val="28"/>
          <w:szCs w:val="28"/>
          <w:lang w:eastAsia="ru-RU"/>
        </w:rPr>
        <w:t>под</w:t>
      </w:r>
      <w:r w:rsidRPr="00F71B34">
        <w:rPr>
          <w:rFonts w:ascii="Times New Roman" w:eastAsia="Times New Roman" w:hAnsi="Times New Roman"/>
          <w:sz w:val="28"/>
          <w:szCs w:val="28"/>
          <w:lang w:eastAsia="ru-RU"/>
        </w:rPr>
        <w:t>группам следующим образом: А</w:t>
      </w:r>
      <w:proofErr w:type="gramStart"/>
      <w:r w:rsidRPr="00F71B34">
        <w:rPr>
          <w:rFonts w:ascii="Times New Roman" w:eastAsia="Times New Roman" w:hAnsi="Times New Roman"/>
          <w:sz w:val="28"/>
          <w:szCs w:val="28"/>
          <w:vertAlign w:val="subscript"/>
          <w:lang w:eastAsia="ru-RU"/>
        </w:rPr>
        <w:t>1</w:t>
      </w:r>
      <w:proofErr w:type="gramEnd"/>
      <w:r w:rsidRPr="00F71B34">
        <w:rPr>
          <w:rFonts w:ascii="Times New Roman" w:eastAsia="Times New Roman" w:hAnsi="Times New Roman"/>
          <w:sz w:val="28"/>
          <w:szCs w:val="28"/>
          <w:lang w:eastAsia="ru-RU"/>
        </w:rPr>
        <w:t xml:space="preserve"> – пациенты </w:t>
      </w:r>
      <w:r w:rsidR="001A5346" w:rsidRPr="00F71B34">
        <w:rPr>
          <w:rFonts w:ascii="Times New Roman" w:eastAsia="Times New Roman" w:hAnsi="Times New Roman"/>
          <w:sz w:val="28"/>
          <w:szCs w:val="28"/>
          <w:lang w:eastAsia="ru-RU"/>
        </w:rPr>
        <w:t xml:space="preserve">группы 1 </w:t>
      </w:r>
      <w:r w:rsidRPr="00F71B34">
        <w:rPr>
          <w:rFonts w:ascii="Times New Roman" w:eastAsia="Times New Roman" w:hAnsi="Times New Roman"/>
          <w:sz w:val="28"/>
          <w:szCs w:val="28"/>
          <w:lang w:eastAsia="ru-RU"/>
        </w:rPr>
        <w:t>с I</w:t>
      </w:r>
      <w:r w:rsidR="00351DA8">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II рентгенологической стадией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=17),  В</w:t>
      </w:r>
      <w:r w:rsidRPr="00F71B34">
        <w:rPr>
          <w:rFonts w:ascii="Times New Roman" w:eastAsia="Times New Roman" w:hAnsi="Times New Roman"/>
          <w:sz w:val="28"/>
          <w:szCs w:val="28"/>
          <w:vertAlign w:val="subscript"/>
          <w:lang w:eastAsia="ru-RU"/>
        </w:rPr>
        <w:t>1</w:t>
      </w:r>
      <w:r w:rsidRPr="00F71B34">
        <w:rPr>
          <w:rFonts w:ascii="Times New Roman" w:eastAsia="Times New Roman" w:hAnsi="Times New Roman"/>
          <w:sz w:val="28"/>
          <w:szCs w:val="28"/>
          <w:lang w:eastAsia="ru-RU"/>
        </w:rPr>
        <w:t xml:space="preserve"> – </w:t>
      </w:r>
      <w:r w:rsidR="001A5346" w:rsidRPr="00F71B34">
        <w:rPr>
          <w:rFonts w:ascii="Times New Roman" w:eastAsia="Times New Roman" w:hAnsi="Times New Roman"/>
          <w:sz w:val="28"/>
          <w:szCs w:val="28"/>
          <w:lang w:eastAsia="ru-RU"/>
        </w:rPr>
        <w:t xml:space="preserve">больные группы 1 </w:t>
      </w:r>
      <w:r w:rsidRPr="00F71B34">
        <w:rPr>
          <w:rFonts w:ascii="Times New Roman" w:eastAsia="Times New Roman" w:hAnsi="Times New Roman"/>
          <w:sz w:val="28"/>
          <w:szCs w:val="28"/>
          <w:lang w:eastAsia="ru-RU"/>
        </w:rPr>
        <w:t>с III</w:t>
      </w:r>
      <w:r w:rsidR="00351DA8">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IV стадией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=27), А</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 </w:t>
      </w:r>
      <w:r w:rsidR="001A5346" w:rsidRPr="00F71B34">
        <w:rPr>
          <w:rFonts w:ascii="Times New Roman" w:eastAsia="Times New Roman" w:hAnsi="Times New Roman"/>
          <w:sz w:val="28"/>
          <w:szCs w:val="28"/>
          <w:lang w:eastAsia="ru-RU"/>
        </w:rPr>
        <w:t xml:space="preserve">больные группы 2 </w:t>
      </w:r>
      <w:r w:rsidRPr="00F71B34">
        <w:rPr>
          <w:rFonts w:ascii="Times New Roman" w:eastAsia="Times New Roman" w:hAnsi="Times New Roman"/>
          <w:sz w:val="28"/>
          <w:szCs w:val="28"/>
          <w:lang w:eastAsia="ru-RU"/>
        </w:rPr>
        <w:t>с I</w:t>
      </w:r>
      <w:r w:rsidR="00351DA8">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II стадией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=16),  В</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 </w:t>
      </w:r>
      <w:r w:rsidR="001A5346" w:rsidRPr="00F71B34">
        <w:rPr>
          <w:rFonts w:ascii="Times New Roman" w:eastAsia="Times New Roman" w:hAnsi="Times New Roman"/>
          <w:sz w:val="28"/>
          <w:szCs w:val="28"/>
          <w:lang w:eastAsia="ru-RU"/>
        </w:rPr>
        <w:t xml:space="preserve">больные группы 2 </w:t>
      </w:r>
      <w:r w:rsidRPr="00F71B34">
        <w:rPr>
          <w:rFonts w:ascii="Times New Roman" w:eastAsia="Times New Roman" w:hAnsi="Times New Roman"/>
          <w:sz w:val="28"/>
          <w:szCs w:val="28"/>
          <w:lang w:eastAsia="ru-RU"/>
        </w:rPr>
        <w:t>с III</w:t>
      </w:r>
      <w:r w:rsidR="00351DA8">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IV стадией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 xml:space="preserve">=19). </w:t>
      </w:r>
    </w:p>
    <w:p w:rsidR="00B20BA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При оценке денситометрических показателей в зависимости от рентгенологической стадии установлено статистически значимое снижение </w:t>
      </w:r>
      <w:r w:rsidR="00351DA8">
        <w:rPr>
          <w:rFonts w:ascii="Times New Roman" w:eastAsia="Times New Roman" w:hAnsi="Times New Roman"/>
          <w:sz w:val="28"/>
          <w:szCs w:val="28"/>
          <w:lang w:eastAsia="ru-RU"/>
        </w:rPr>
        <w:t xml:space="preserve">показателей </w:t>
      </w:r>
      <w:r w:rsidRPr="00F71B34">
        <w:rPr>
          <w:rFonts w:ascii="Times New Roman" w:eastAsia="Times New Roman" w:hAnsi="Times New Roman"/>
          <w:sz w:val="28"/>
          <w:szCs w:val="28"/>
          <w:lang w:eastAsia="ru-RU"/>
        </w:rPr>
        <w:t xml:space="preserve">МПК и Т-критерия шейки бедра по мере прогрессирования суставной </w:t>
      </w:r>
      <w:r w:rsidRPr="00F71B34">
        <w:rPr>
          <w:rFonts w:ascii="Times New Roman" w:eastAsia="Times New Roman" w:hAnsi="Times New Roman"/>
          <w:sz w:val="28"/>
          <w:szCs w:val="28"/>
          <w:lang w:eastAsia="ru-RU"/>
        </w:rPr>
        <w:lastRenderedPageBreak/>
        <w:t xml:space="preserve">деструкции (табл. 17). Так, МПК шейки бедра исходно у больных группы 1 с </w:t>
      </w:r>
      <w:r w:rsidRPr="00F71B34">
        <w:rPr>
          <w:rFonts w:ascii="Times New Roman" w:eastAsia="Times New Roman" w:hAnsi="Times New Roman"/>
          <w:sz w:val="28"/>
          <w:szCs w:val="28"/>
          <w:lang w:val="en-US" w:eastAsia="ru-RU"/>
        </w:rPr>
        <w:t>I</w:t>
      </w:r>
      <w:r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lang w:val="en-US" w:eastAsia="ru-RU"/>
        </w:rPr>
        <w:t>II</w:t>
      </w:r>
      <w:r w:rsidRPr="00F71B34">
        <w:rPr>
          <w:rFonts w:ascii="Times New Roman" w:eastAsia="Times New Roman" w:hAnsi="Times New Roman"/>
          <w:sz w:val="28"/>
          <w:szCs w:val="28"/>
          <w:lang w:eastAsia="ru-RU"/>
        </w:rPr>
        <w:t xml:space="preserve"> рентгенологической стадией составила 0,8297±0,031 г/см²,</w:t>
      </w:r>
      <w:r w:rsidR="00351DA8">
        <w:rPr>
          <w:rFonts w:ascii="Times New Roman" w:eastAsia="Times New Roman" w:hAnsi="Times New Roman"/>
          <w:sz w:val="28"/>
          <w:szCs w:val="28"/>
          <w:lang w:eastAsia="ru-RU"/>
        </w:rPr>
        <w:br/>
      </w:r>
      <w:r w:rsidRPr="00351DA8">
        <w:rPr>
          <w:rFonts w:ascii="Times New Roman" w:eastAsia="Times New Roman" w:hAnsi="Times New Roman"/>
          <w:spacing w:val="-4"/>
          <w:sz w:val="28"/>
          <w:szCs w:val="28"/>
          <w:lang w:eastAsia="ru-RU"/>
        </w:rPr>
        <w:t xml:space="preserve">с </w:t>
      </w:r>
      <w:r w:rsidRPr="00351DA8">
        <w:rPr>
          <w:rFonts w:ascii="Times New Roman" w:eastAsia="Times New Roman" w:hAnsi="Times New Roman"/>
          <w:spacing w:val="-4"/>
          <w:sz w:val="28"/>
          <w:szCs w:val="28"/>
          <w:lang w:val="en-US" w:eastAsia="ru-RU"/>
        </w:rPr>
        <w:t>III</w:t>
      </w:r>
      <w:r w:rsidRPr="00351DA8">
        <w:rPr>
          <w:rFonts w:ascii="Times New Roman" w:eastAsia="Times New Roman" w:hAnsi="Times New Roman"/>
          <w:spacing w:val="-4"/>
          <w:sz w:val="28"/>
          <w:szCs w:val="28"/>
          <w:lang w:eastAsia="ru-RU"/>
        </w:rPr>
        <w:t>–</w:t>
      </w:r>
      <w:r w:rsidRPr="00351DA8">
        <w:rPr>
          <w:rFonts w:ascii="Times New Roman" w:eastAsia="Times New Roman" w:hAnsi="Times New Roman"/>
          <w:spacing w:val="-4"/>
          <w:sz w:val="28"/>
          <w:szCs w:val="28"/>
          <w:lang w:val="en-US" w:eastAsia="ru-RU"/>
        </w:rPr>
        <w:t>IV</w:t>
      </w:r>
      <w:r w:rsidR="00EB0BB6" w:rsidRPr="00351DA8">
        <w:rPr>
          <w:rFonts w:ascii="Times New Roman" w:eastAsia="Times New Roman" w:hAnsi="Times New Roman"/>
          <w:spacing w:val="-4"/>
          <w:sz w:val="28"/>
          <w:szCs w:val="28"/>
          <w:lang w:eastAsia="ru-RU"/>
        </w:rPr>
        <w:t xml:space="preserve"> стадией</w:t>
      </w:r>
      <w:r w:rsidRPr="00351DA8">
        <w:rPr>
          <w:rFonts w:ascii="Times New Roman" w:eastAsia="Times New Roman" w:hAnsi="Times New Roman"/>
          <w:spacing w:val="-4"/>
          <w:sz w:val="28"/>
          <w:szCs w:val="28"/>
          <w:lang w:eastAsia="ru-RU"/>
        </w:rPr>
        <w:t xml:space="preserve"> РА</w:t>
      </w:r>
      <w:r w:rsidR="00CD2EDC" w:rsidRPr="00351DA8">
        <w:rPr>
          <w:rFonts w:ascii="Times New Roman" w:eastAsia="Times New Roman" w:hAnsi="Times New Roman"/>
          <w:spacing w:val="-4"/>
          <w:sz w:val="28"/>
          <w:szCs w:val="28"/>
          <w:lang w:eastAsia="ru-RU"/>
        </w:rPr>
        <w:t xml:space="preserve"> – </w:t>
      </w:r>
      <w:r w:rsidRPr="00351DA8">
        <w:rPr>
          <w:rFonts w:ascii="Times New Roman" w:eastAsia="Times New Roman" w:hAnsi="Times New Roman"/>
          <w:spacing w:val="-4"/>
          <w:sz w:val="28"/>
          <w:szCs w:val="28"/>
          <w:lang w:eastAsia="ru-RU"/>
        </w:rPr>
        <w:t>0,7247±0,022 г/см² (</w:t>
      </w:r>
      <w:r w:rsidRPr="00351DA8">
        <w:rPr>
          <w:rFonts w:ascii="Times New Roman" w:eastAsia="Times New Roman" w:hAnsi="Times New Roman"/>
          <w:spacing w:val="-4"/>
          <w:sz w:val="28"/>
          <w:szCs w:val="28"/>
          <w:lang w:val="en-US" w:eastAsia="ru-RU"/>
        </w:rPr>
        <w:t>p</w:t>
      </w:r>
      <w:r w:rsidRPr="00351DA8">
        <w:rPr>
          <w:rFonts w:ascii="Times New Roman" w:eastAsia="Times New Roman" w:hAnsi="Times New Roman"/>
          <w:spacing w:val="-4"/>
          <w:sz w:val="28"/>
          <w:szCs w:val="28"/>
          <w:lang w:eastAsia="ru-RU"/>
        </w:rPr>
        <w:t xml:space="preserve">=0,006), Т-критерий − -1,51±0,20 </w:t>
      </w:r>
      <w:r w:rsidRPr="00351DA8">
        <w:rPr>
          <w:rFonts w:ascii="Times New Roman" w:eastAsia="Times New Roman" w:hAnsi="Times New Roman"/>
          <w:spacing w:val="-4"/>
          <w:sz w:val="28"/>
          <w:szCs w:val="28"/>
          <w:lang w:val="en-US" w:eastAsia="ru-RU"/>
        </w:rPr>
        <w:t>SD</w:t>
      </w:r>
      <w:r w:rsidRPr="00F71B34">
        <w:rPr>
          <w:rFonts w:ascii="Times New Roman" w:eastAsia="Times New Roman" w:hAnsi="Times New Roman"/>
          <w:sz w:val="28"/>
          <w:szCs w:val="28"/>
          <w:lang w:eastAsia="ru-RU"/>
        </w:rPr>
        <w:t xml:space="preserve"> и -2,41±0,16 </w:t>
      </w:r>
      <w:r w:rsidRPr="00F71B34">
        <w:rPr>
          <w:rFonts w:ascii="Times New Roman" w:eastAsia="Times New Roman" w:hAnsi="Times New Roman"/>
          <w:sz w:val="28"/>
          <w:szCs w:val="28"/>
          <w:lang w:val="en-US" w:eastAsia="ru-RU"/>
        </w:rPr>
        <w:t>SD</w:t>
      </w:r>
      <w:r w:rsidRPr="00F71B34">
        <w:rPr>
          <w:rFonts w:ascii="Times New Roman" w:eastAsia="Times New Roman" w:hAnsi="Times New Roman"/>
          <w:sz w:val="28"/>
          <w:szCs w:val="28"/>
          <w:lang w:eastAsia="ru-RU"/>
        </w:rPr>
        <w:t xml:space="preserve"> соответственно (p=0,0059). У больных группы 2 с I–</w:t>
      </w:r>
      <w:r w:rsidR="00351DA8">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II рентгенологической стадией МПК шейки бедра составила 0,8636±</w:t>
      </w:r>
      <w:r w:rsidR="00351DA8">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0,024</w:t>
      </w:r>
      <w:r w:rsidR="00556A74">
        <w:rPr>
          <w:rFonts w:ascii="Times New Roman" w:eastAsia="Times New Roman" w:hAnsi="Times New Roman"/>
          <w:sz w:val="28"/>
          <w:szCs w:val="28"/>
          <w:lang w:eastAsia="ru-RU"/>
        </w:rPr>
        <w:t xml:space="preserve"> г/см², </w:t>
      </w:r>
      <w:r w:rsidR="00556A74" w:rsidRPr="00351DA8">
        <w:rPr>
          <w:rFonts w:ascii="Times New Roman" w:eastAsia="Times New Roman" w:hAnsi="Times New Roman"/>
          <w:spacing w:val="-4"/>
          <w:sz w:val="28"/>
          <w:szCs w:val="28"/>
          <w:lang w:eastAsia="ru-RU"/>
        </w:rPr>
        <w:t>при III–IV стадии РА</w:t>
      </w:r>
      <w:r w:rsidR="00CD2EDC" w:rsidRPr="00351DA8">
        <w:rPr>
          <w:rFonts w:ascii="Times New Roman" w:eastAsia="Times New Roman" w:hAnsi="Times New Roman"/>
          <w:spacing w:val="-4"/>
          <w:sz w:val="28"/>
          <w:szCs w:val="28"/>
          <w:lang w:eastAsia="ru-RU"/>
        </w:rPr>
        <w:t xml:space="preserve"> – </w:t>
      </w:r>
      <w:r w:rsidRPr="00351DA8">
        <w:rPr>
          <w:rFonts w:ascii="Times New Roman" w:eastAsia="Times New Roman" w:hAnsi="Times New Roman"/>
          <w:spacing w:val="-4"/>
          <w:sz w:val="28"/>
          <w:szCs w:val="28"/>
          <w:lang w:eastAsia="ru-RU"/>
        </w:rPr>
        <w:t>0,7358±0,022 г/см² (p=0,002), Т-критерий −</w:t>
      </w:r>
      <w:r w:rsidR="00351DA8">
        <w:rPr>
          <w:rFonts w:ascii="Times New Roman" w:eastAsia="Times New Roman" w:hAnsi="Times New Roman"/>
          <w:spacing w:val="-4"/>
          <w:sz w:val="28"/>
          <w:szCs w:val="28"/>
          <w:lang w:eastAsia="ru-RU"/>
        </w:rPr>
        <w:br/>
      </w:r>
      <w:r w:rsidRPr="00F71B34">
        <w:rPr>
          <w:rFonts w:ascii="Times New Roman" w:eastAsia="Times New Roman" w:hAnsi="Times New Roman"/>
          <w:sz w:val="28"/>
          <w:szCs w:val="28"/>
          <w:lang w:eastAsia="ru-RU"/>
        </w:rPr>
        <w:t xml:space="preserve">-1,11±0,23 </w:t>
      </w:r>
      <w:r w:rsidRPr="00F71B34">
        <w:rPr>
          <w:rFonts w:ascii="Times New Roman" w:eastAsia="Times New Roman" w:hAnsi="Times New Roman"/>
          <w:sz w:val="28"/>
          <w:szCs w:val="28"/>
          <w:lang w:val="en-US" w:eastAsia="ru-RU"/>
        </w:rPr>
        <w:t>SD</w:t>
      </w:r>
      <w:r w:rsidRPr="00F71B34">
        <w:rPr>
          <w:rFonts w:ascii="Times New Roman" w:eastAsia="Times New Roman" w:hAnsi="Times New Roman"/>
          <w:sz w:val="28"/>
          <w:szCs w:val="28"/>
          <w:lang w:eastAsia="ru-RU"/>
        </w:rPr>
        <w:t xml:space="preserve"> и -2,26±0,19 </w:t>
      </w:r>
      <w:r w:rsidRPr="00F71B34">
        <w:rPr>
          <w:rFonts w:ascii="Times New Roman" w:eastAsia="Times New Roman" w:hAnsi="Times New Roman"/>
          <w:sz w:val="28"/>
          <w:szCs w:val="28"/>
          <w:lang w:val="en-US" w:eastAsia="ru-RU"/>
        </w:rPr>
        <w:t>SD</w:t>
      </w:r>
      <w:r w:rsidRPr="00F71B34">
        <w:rPr>
          <w:rFonts w:ascii="Times New Roman" w:eastAsia="Times New Roman" w:hAnsi="Times New Roman"/>
          <w:sz w:val="28"/>
          <w:szCs w:val="28"/>
          <w:lang w:eastAsia="ru-RU"/>
        </w:rPr>
        <w:t xml:space="preserve"> соответственно (p=0,003). Аналогичные закономерности сохранялись и через 48 месяцев наблюдения.</w:t>
      </w:r>
    </w:p>
    <w:p w:rsidR="00225925" w:rsidRPr="00F71B34" w:rsidRDefault="00225925" w:rsidP="00225925">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У больных с </w:t>
      </w:r>
      <w:r w:rsidRPr="00F71B34">
        <w:rPr>
          <w:rFonts w:ascii="Times New Roman" w:eastAsia="Times New Roman" w:hAnsi="Times New Roman"/>
          <w:sz w:val="28"/>
          <w:szCs w:val="28"/>
          <w:lang w:val="en-US" w:eastAsia="ru-RU"/>
        </w:rPr>
        <w:t>I</w:t>
      </w:r>
      <w:r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lang w:val="en-US" w:eastAsia="ru-RU"/>
        </w:rPr>
        <w:t>II</w:t>
      </w:r>
      <w:r w:rsidRPr="00F71B34">
        <w:rPr>
          <w:rFonts w:ascii="Times New Roman" w:eastAsia="Times New Roman" w:hAnsi="Times New Roman"/>
          <w:sz w:val="28"/>
          <w:szCs w:val="28"/>
          <w:lang w:eastAsia="ru-RU"/>
        </w:rPr>
        <w:t xml:space="preserve"> рентгенологической стадией РА группы 1 </w:t>
      </w:r>
      <w:r>
        <w:rPr>
          <w:rFonts w:ascii="Times New Roman" w:eastAsia="Times New Roman" w:hAnsi="Times New Roman"/>
          <w:sz w:val="28"/>
          <w:szCs w:val="28"/>
          <w:lang w:eastAsia="ru-RU"/>
        </w:rPr>
        <w:t xml:space="preserve">показатели </w:t>
      </w:r>
      <w:r w:rsidRPr="00F71B34">
        <w:rPr>
          <w:rFonts w:ascii="Times New Roman" w:eastAsia="Times New Roman" w:hAnsi="Times New Roman"/>
          <w:sz w:val="28"/>
          <w:szCs w:val="28"/>
          <w:lang w:eastAsia="ru-RU"/>
        </w:rPr>
        <w:t>МПК и Т-критери</w:t>
      </w:r>
      <w:r>
        <w:rPr>
          <w:rFonts w:ascii="Times New Roman" w:eastAsia="Times New Roman" w:hAnsi="Times New Roman"/>
          <w:sz w:val="28"/>
          <w:szCs w:val="28"/>
          <w:lang w:eastAsia="ru-RU"/>
        </w:rPr>
        <w:t>я</w:t>
      </w:r>
      <w:r w:rsidRPr="00F71B34">
        <w:rPr>
          <w:rFonts w:ascii="Times New Roman" w:eastAsia="Times New Roman" w:hAnsi="Times New Roman"/>
          <w:sz w:val="28"/>
          <w:szCs w:val="28"/>
          <w:lang w:eastAsia="ru-RU"/>
        </w:rPr>
        <w:t xml:space="preserve"> шейки бедра были сопоставимы с показателями пациентов группы 2 с аналогичной рентгенологической стадией как исходно, так и через 48 месяцев наблюдения. </w:t>
      </w:r>
    </w:p>
    <w:p w:rsidR="00C76470" w:rsidRPr="00F71B34" w:rsidRDefault="00C76470" w:rsidP="00F71B34">
      <w:pPr>
        <w:spacing w:after="0" w:line="360" w:lineRule="auto"/>
        <w:ind w:firstLine="708"/>
        <w:jc w:val="both"/>
        <w:rPr>
          <w:rFonts w:ascii="Times New Roman" w:eastAsia="Times New Roman" w:hAnsi="Times New Roman"/>
          <w:color w:val="FF0000"/>
          <w:sz w:val="28"/>
          <w:szCs w:val="28"/>
          <w:lang w:eastAsia="ru-RU"/>
        </w:rPr>
      </w:pPr>
    </w:p>
    <w:p w:rsidR="00C76470" w:rsidRPr="00F71B34" w:rsidRDefault="00C76470" w:rsidP="00C76470">
      <w:pPr>
        <w:spacing w:after="0" w:line="360" w:lineRule="auto"/>
        <w:ind w:firstLine="708"/>
        <w:jc w:val="both"/>
        <w:rPr>
          <w:rFonts w:ascii="Times New Roman" w:eastAsia="Times New Roman" w:hAnsi="Times New Roman"/>
          <w:sz w:val="28"/>
          <w:szCs w:val="28"/>
          <w:lang w:eastAsia="ru-RU"/>
        </w:rPr>
      </w:pPr>
      <w:r w:rsidRPr="00351DA8">
        <w:rPr>
          <w:rFonts w:ascii="Times New Roman" w:eastAsia="Times New Roman" w:hAnsi="Times New Roman"/>
          <w:spacing w:val="40"/>
          <w:sz w:val="28"/>
          <w:szCs w:val="28"/>
          <w:lang w:eastAsia="ru-RU"/>
        </w:rPr>
        <w:t>Таблица</w:t>
      </w:r>
      <w:r w:rsidRPr="00F71B34">
        <w:rPr>
          <w:rFonts w:ascii="Times New Roman" w:eastAsia="Times New Roman" w:hAnsi="Times New Roman"/>
          <w:sz w:val="28"/>
          <w:szCs w:val="28"/>
          <w:lang w:eastAsia="ru-RU"/>
        </w:rPr>
        <w:t xml:space="preserve"> 17</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Денситометрические показатели шейки бедра у больных РА в зависимости от рентгенологической стадии и варианта терапии исходно и через 4</w:t>
      </w:r>
      <w:r w:rsidR="00351DA8">
        <w:rPr>
          <w:rFonts w:ascii="Times New Roman" w:eastAsia="Times New Roman" w:hAnsi="Times New Roman"/>
          <w:sz w:val="28"/>
          <w:szCs w:val="28"/>
          <w:lang w:eastAsia="ru-RU"/>
        </w:rPr>
        <w:t>8 месяцев</w:t>
      </w:r>
      <w:r w:rsidRPr="00F71B34">
        <w:rPr>
          <w:rFonts w:ascii="Times New Roman" w:eastAsia="Times New Roman" w:hAnsi="Times New Roman"/>
          <w:sz w:val="28"/>
          <w:szCs w:val="28"/>
          <w:lang w:eastAsia="ru-RU"/>
        </w:rPr>
        <w:t xml:space="preserve"> наблюдения (М±</w:t>
      </w:r>
      <w:r w:rsidRPr="00F71B34">
        <w:rPr>
          <w:rFonts w:ascii="Times New Roman" w:eastAsia="Times New Roman" w:hAnsi="Times New Roman"/>
          <w:sz w:val="28"/>
          <w:szCs w:val="28"/>
          <w:lang w:val="en-US" w:eastAsia="ru-RU"/>
        </w:rPr>
        <w:t>m</w:t>
      </w:r>
      <w:r w:rsidRPr="00F71B34">
        <w:rPr>
          <w:rFonts w:ascii="Times New Roman" w:eastAsia="Times New Roman" w:hAnsi="Times New Roman"/>
          <w:sz w:val="28"/>
          <w:szCs w:val="28"/>
          <w:lang w:eastAsia="ru-RU"/>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2327"/>
        <w:gridCol w:w="1555"/>
        <w:gridCol w:w="1596"/>
        <w:gridCol w:w="960"/>
        <w:gridCol w:w="1264"/>
        <w:gridCol w:w="1594"/>
        <w:gridCol w:w="765"/>
      </w:tblGrid>
      <w:tr w:rsidR="00351DA8" w:rsidRPr="00DC52BB" w:rsidTr="00351DA8">
        <w:trPr>
          <w:trHeight w:val="323"/>
          <w:jc w:val="center"/>
        </w:trPr>
        <w:tc>
          <w:tcPr>
            <w:tcW w:w="1157" w:type="pct"/>
            <w:vMerge w:val="restart"/>
            <w:shd w:val="clear" w:color="auto" w:fill="auto"/>
            <w:vAlign w:val="center"/>
          </w:tcPr>
          <w:p w:rsidR="00351DA8" w:rsidRPr="00654A6C" w:rsidRDefault="00351DA8"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 </w:t>
            </w:r>
          </w:p>
          <w:p w:rsidR="00351DA8" w:rsidRPr="00654A6C" w:rsidRDefault="00351DA8"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 xml:space="preserve">(А – </w:t>
            </w:r>
            <w:r w:rsidRPr="00654A6C">
              <w:rPr>
                <w:rFonts w:ascii="Times New Roman" w:eastAsia="Times New Roman" w:hAnsi="Times New Roman"/>
                <w:sz w:val="24"/>
                <w:szCs w:val="24"/>
                <w:lang w:val="en-US" w:eastAsia="ru-RU"/>
              </w:rPr>
              <w:t>I</w:t>
            </w:r>
            <w:r w:rsidRPr="00654A6C">
              <w:rPr>
                <w:rFonts w:ascii="Times New Roman" w:eastAsia="Times New Roman" w:hAnsi="Times New Roman"/>
                <w:sz w:val="24"/>
                <w:szCs w:val="24"/>
                <w:lang w:eastAsia="ru-RU"/>
              </w:rPr>
              <w:t>–</w:t>
            </w:r>
            <w:r w:rsidRPr="00654A6C">
              <w:rPr>
                <w:rFonts w:ascii="Times New Roman" w:eastAsia="Times New Roman" w:hAnsi="Times New Roman"/>
                <w:sz w:val="24"/>
                <w:szCs w:val="24"/>
                <w:lang w:val="en-US" w:eastAsia="ru-RU"/>
              </w:rPr>
              <w:t>II</w:t>
            </w:r>
            <w:r w:rsidRPr="00654A6C">
              <w:rPr>
                <w:rFonts w:ascii="Times New Roman" w:eastAsia="Times New Roman" w:hAnsi="Times New Roman"/>
                <w:sz w:val="24"/>
                <w:szCs w:val="24"/>
                <w:lang w:eastAsia="ru-RU"/>
              </w:rPr>
              <w:t xml:space="preserve"> стадия, </w:t>
            </w:r>
            <w:proofErr w:type="gramEnd"/>
          </w:p>
          <w:p w:rsidR="00351DA8" w:rsidRPr="00654A6C" w:rsidRDefault="00351DA8" w:rsidP="00351DA8">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В –</w:t>
            </w:r>
            <w:r w:rsidRPr="00654A6C">
              <w:rPr>
                <w:rFonts w:ascii="Times New Roman" w:eastAsia="Times New Roman" w:hAnsi="Times New Roman"/>
                <w:sz w:val="24"/>
                <w:szCs w:val="24"/>
              </w:rPr>
              <w:t xml:space="preserve"> </w:t>
            </w:r>
            <w:r w:rsidRPr="00654A6C">
              <w:rPr>
                <w:rFonts w:ascii="Times New Roman" w:eastAsia="Times New Roman" w:hAnsi="Times New Roman"/>
                <w:sz w:val="24"/>
                <w:szCs w:val="24"/>
                <w:lang w:eastAsia="ru-RU"/>
              </w:rPr>
              <w:t>III</w:t>
            </w:r>
            <w:r>
              <w:rPr>
                <w:rFonts w:ascii="Times New Roman" w:eastAsia="Times New Roman" w:hAnsi="Times New Roman"/>
                <w:sz w:val="24"/>
                <w:szCs w:val="24"/>
                <w:lang w:eastAsia="ru-RU"/>
              </w:rPr>
              <w:t>–</w:t>
            </w:r>
            <w:r w:rsidRPr="00654A6C">
              <w:rPr>
                <w:rFonts w:ascii="Times New Roman" w:eastAsia="Times New Roman" w:hAnsi="Times New Roman"/>
                <w:sz w:val="24"/>
                <w:szCs w:val="24"/>
                <w:lang w:eastAsia="ru-RU"/>
              </w:rPr>
              <w:t>IV стадия)</w:t>
            </w:r>
            <w:proofErr w:type="gramEnd"/>
          </w:p>
        </w:tc>
        <w:tc>
          <w:tcPr>
            <w:tcW w:w="3843" w:type="pct"/>
            <w:gridSpan w:val="6"/>
            <w:shd w:val="clear" w:color="auto" w:fill="auto"/>
            <w:vAlign w:val="center"/>
          </w:tcPr>
          <w:p w:rsidR="00351DA8" w:rsidRPr="00654A6C" w:rsidRDefault="00351DA8" w:rsidP="00351DA8">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351DA8" w:rsidRPr="00DC52BB" w:rsidTr="00351DA8">
        <w:trPr>
          <w:trHeight w:val="64"/>
          <w:jc w:val="center"/>
        </w:trPr>
        <w:tc>
          <w:tcPr>
            <w:tcW w:w="1157" w:type="pct"/>
            <w:vMerge/>
            <w:shd w:val="clear" w:color="auto" w:fill="auto"/>
            <w:vAlign w:val="center"/>
          </w:tcPr>
          <w:p w:rsidR="00351DA8" w:rsidRPr="00654A6C" w:rsidRDefault="00351DA8" w:rsidP="00654A6C">
            <w:pPr>
              <w:spacing w:after="0" w:line="360" w:lineRule="auto"/>
              <w:ind w:right="-82"/>
              <w:jc w:val="center"/>
              <w:rPr>
                <w:rFonts w:ascii="Times New Roman" w:eastAsia="Times New Roman" w:hAnsi="Times New Roman"/>
                <w:sz w:val="24"/>
                <w:szCs w:val="24"/>
                <w:lang w:eastAsia="ru-RU"/>
              </w:rPr>
            </w:pPr>
          </w:p>
        </w:tc>
        <w:tc>
          <w:tcPr>
            <w:tcW w:w="2043" w:type="pct"/>
            <w:gridSpan w:val="3"/>
            <w:shd w:val="clear" w:color="auto" w:fill="auto"/>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800" w:type="pct"/>
            <w:gridSpan w:val="3"/>
            <w:tcBorders>
              <w:bottom w:val="single" w:sz="4" w:space="0" w:color="auto"/>
            </w:tcBorders>
            <w:shd w:val="clear" w:color="auto" w:fill="auto"/>
            <w:vAlign w:val="center"/>
          </w:tcPr>
          <w:p w:rsidR="00351DA8" w:rsidRPr="00654A6C" w:rsidRDefault="00351DA8"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C76470" w:rsidRPr="00DC52BB" w:rsidTr="00654A6C">
        <w:trPr>
          <w:jc w:val="center"/>
        </w:trPr>
        <w:tc>
          <w:tcPr>
            <w:tcW w:w="1157" w:type="pct"/>
            <w:vMerge/>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c>
          <w:tcPr>
            <w:tcW w:w="773" w:type="pct"/>
            <w:shd w:val="clear" w:color="auto" w:fill="auto"/>
            <w:vAlign w:val="center"/>
          </w:tcPr>
          <w:p w:rsidR="00C76470" w:rsidRPr="00654A6C" w:rsidRDefault="00351DA8"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C76470" w:rsidRPr="00654A6C">
              <w:rPr>
                <w:rFonts w:ascii="Times New Roman" w:eastAsia="Times New Roman" w:hAnsi="Times New Roman"/>
                <w:sz w:val="24"/>
                <w:szCs w:val="24"/>
                <w:lang w:eastAsia="ru-RU"/>
              </w:rPr>
              <w:t>сходно</w:t>
            </w:r>
          </w:p>
        </w:tc>
        <w:tc>
          <w:tcPr>
            <w:tcW w:w="793" w:type="pct"/>
            <w:shd w:val="clear" w:color="auto" w:fill="auto"/>
            <w:vAlign w:val="center"/>
          </w:tcPr>
          <w:p w:rsidR="00C76470" w:rsidRPr="00654A6C" w:rsidRDefault="00351DA8"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C76470" w:rsidRPr="00654A6C">
              <w:rPr>
                <w:rFonts w:ascii="Times New Roman" w:eastAsia="Times New Roman" w:hAnsi="Times New Roman"/>
                <w:sz w:val="24"/>
                <w:szCs w:val="24"/>
                <w:lang w:eastAsia="ru-RU"/>
              </w:rPr>
              <w:t>ерез 48 мес.</w:t>
            </w:r>
          </w:p>
        </w:tc>
        <w:tc>
          <w:tcPr>
            <w:tcW w:w="47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28" w:type="pct"/>
            <w:tcBorders>
              <w:top w:val="single" w:sz="4" w:space="0" w:color="auto"/>
            </w:tcBorders>
            <w:shd w:val="clear" w:color="auto" w:fill="auto"/>
            <w:vAlign w:val="center"/>
          </w:tcPr>
          <w:p w:rsidR="00C76470" w:rsidRPr="00654A6C" w:rsidRDefault="00351DA8"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C76470" w:rsidRPr="00654A6C">
              <w:rPr>
                <w:rFonts w:ascii="Times New Roman" w:eastAsia="Times New Roman" w:hAnsi="Times New Roman"/>
                <w:sz w:val="24"/>
                <w:szCs w:val="24"/>
                <w:lang w:eastAsia="ru-RU"/>
              </w:rPr>
              <w:t>сходно</w:t>
            </w:r>
          </w:p>
        </w:tc>
        <w:tc>
          <w:tcPr>
            <w:tcW w:w="792" w:type="pct"/>
            <w:tcBorders>
              <w:top w:val="single" w:sz="4" w:space="0" w:color="auto"/>
            </w:tcBorders>
            <w:shd w:val="clear" w:color="auto" w:fill="auto"/>
            <w:vAlign w:val="center"/>
          </w:tcPr>
          <w:p w:rsidR="00C76470" w:rsidRPr="00654A6C" w:rsidRDefault="00351DA8"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C76470" w:rsidRPr="00654A6C">
              <w:rPr>
                <w:rFonts w:ascii="Times New Roman" w:eastAsia="Times New Roman" w:hAnsi="Times New Roman"/>
                <w:sz w:val="24"/>
                <w:szCs w:val="24"/>
                <w:lang w:eastAsia="ru-RU"/>
              </w:rPr>
              <w:t>ерез 48 мес.</w:t>
            </w:r>
          </w:p>
        </w:tc>
        <w:tc>
          <w:tcPr>
            <w:tcW w:w="380" w:type="pct"/>
            <w:tcBorders>
              <w:top w:val="single" w:sz="4" w:space="0" w:color="auto"/>
            </w:tcBorders>
            <w:shd w:val="clear" w:color="auto" w:fill="auto"/>
            <w:vAlign w:val="center"/>
          </w:tcPr>
          <w:p w:rsidR="00C76470" w:rsidRPr="00654A6C" w:rsidRDefault="00351DA8"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C76470" w:rsidRPr="00DC52BB" w:rsidTr="00654A6C">
        <w:trPr>
          <w:jc w:val="center"/>
        </w:trPr>
        <w:tc>
          <w:tcPr>
            <w:tcW w:w="115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77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0,8297±0,031</w:t>
            </w:r>
          </w:p>
        </w:tc>
        <w:tc>
          <w:tcPr>
            <w:tcW w:w="793"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val="en-US" w:eastAsia="ru-RU"/>
              </w:rPr>
            </w:pPr>
            <w:r w:rsidRPr="00654A6C">
              <w:rPr>
                <w:rFonts w:ascii="Times New Roman" w:eastAsia="Times New Roman" w:hAnsi="Times New Roman"/>
                <w:spacing w:val="-8"/>
                <w:sz w:val="24"/>
                <w:szCs w:val="24"/>
                <w:lang w:eastAsia="ru-RU"/>
              </w:rPr>
              <w:t>0,9126±0,031</w:t>
            </w:r>
          </w:p>
        </w:tc>
        <w:tc>
          <w:tcPr>
            <w:tcW w:w="47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0,008</w:t>
            </w:r>
          </w:p>
        </w:tc>
        <w:tc>
          <w:tcPr>
            <w:tcW w:w="62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-1,51±0,20</w:t>
            </w:r>
          </w:p>
        </w:tc>
        <w:tc>
          <w:tcPr>
            <w:tcW w:w="79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-0,82±0,27</w:t>
            </w:r>
          </w:p>
        </w:tc>
        <w:tc>
          <w:tcPr>
            <w:tcW w:w="38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0,011</w:t>
            </w:r>
          </w:p>
        </w:tc>
      </w:tr>
      <w:tr w:rsidR="00C76470" w:rsidRPr="00DC52BB" w:rsidTr="00654A6C">
        <w:trPr>
          <w:jc w:val="center"/>
        </w:trPr>
        <w:tc>
          <w:tcPr>
            <w:tcW w:w="115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77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0,7247±0,022</w:t>
            </w:r>
          </w:p>
        </w:tc>
        <w:tc>
          <w:tcPr>
            <w:tcW w:w="79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0,7863±0,023</w:t>
            </w:r>
          </w:p>
        </w:tc>
        <w:tc>
          <w:tcPr>
            <w:tcW w:w="477"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0,002</w:t>
            </w:r>
          </w:p>
        </w:tc>
        <w:tc>
          <w:tcPr>
            <w:tcW w:w="62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-2,41±0,16</w:t>
            </w:r>
          </w:p>
        </w:tc>
        <w:tc>
          <w:tcPr>
            <w:tcW w:w="79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-1,93±0,17</w:t>
            </w:r>
          </w:p>
        </w:tc>
        <w:tc>
          <w:tcPr>
            <w:tcW w:w="38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0,006</w:t>
            </w:r>
          </w:p>
        </w:tc>
      </w:tr>
      <w:tr w:rsidR="00C76470" w:rsidRPr="00DC52BB" w:rsidTr="00654A6C">
        <w:trPr>
          <w:jc w:val="center"/>
        </w:trPr>
        <w:tc>
          <w:tcPr>
            <w:tcW w:w="115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77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0,8636±0,024</w:t>
            </w:r>
          </w:p>
        </w:tc>
        <w:tc>
          <w:tcPr>
            <w:tcW w:w="79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0,8173±0,037</w:t>
            </w:r>
          </w:p>
        </w:tc>
        <w:tc>
          <w:tcPr>
            <w:tcW w:w="477"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0,028</w:t>
            </w:r>
          </w:p>
        </w:tc>
        <w:tc>
          <w:tcPr>
            <w:tcW w:w="62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-1,11±0,23</w:t>
            </w:r>
          </w:p>
        </w:tc>
        <w:tc>
          <w:tcPr>
            <w:tcW w:w="79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-1,50±0,32</w:t>
            </w:r>
          </w:p>
        </w:tc>
        <w:tc>
          <w:tcPr>
            <w:tcW w:w="38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0,028</w:t>
            </w:r>
          </w:p>
        </w:tc>
      </w:tr>
      <w:tr w:rsidR="00C76470" w:rsidRPr="00DC52BB" w:rsidTr="00654A6C">
        <w:trPr>
          <w:jc w:val="center"/>
        </w:trPr>
        <w:tc>
          <w:tcPr>
            <w:tcW w:w="115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77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0,7358±0,022</w:t>
            </w:r>
          </w:p>
        </w:tc>
        <w:tc>
          <w:tcPr>
            <w:tcW w:w="79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0,6856±0,030</w:t>
            </w:r>
          </w:p>
        </w:tc>
        <w:tc>
          <w:tcPr>
            <w:tcW w:w="477"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0,14</w:t>
            </w:r>
          </w:p>
        </w:tc>
        <w:tc>
          <w:tcPr>
            <w:tcW w:w="62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-2,26±0,19</w:t>
            </w:r>
          </w:p>
        </w:tc>
        <w:tc>
          <w:tcPr>
            <w:tcW w:w="79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-2,84±0,22</w:t>
            </w:r>
          </w:p>
        </w:tc>
        <w:tc>
          <w:tcPr>
            <w:tcW w:w="38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0,284</w:t>
            </w:r>
          </w:p>
        </w:tc>
      </w:tr>
      <w:tr w:rsidR="00C76470" w:rsidRPr="00DC52BB" w:rsidTr="00654A6C">
        <w:trPr>
          <w:jc w:val="center"/>
        </w:trPr>
        <w:tc>
          <w:tcPr>
            <w:tcW w:w="115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77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0,006</w:t>
            </w:r>
          </w:p>
        </w:tc>
        <w:tc>
          <w:tcPr>
            <w:tcW w:w="793"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0,009</w:t>
            </w:r>
          </w:p>
        </w:tc>
        <w:tc>
          <w:tcPr>
            <w:tcW w:w="47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c>
          <w:tcPr>
            <w:tcW w:w="62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0,0059</w:t>
            </w:r>
          </w:p>
        </w:tc>
        <w:tc>
          <w:tcPr>
            <w:tcW w:w="79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0,001</w:t>
            </w:r>
          </w:p>
        </w:tc>
        <w:tc>
          <w:tcPr>
            <w:tcW w:w="38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r>
      <w:tr w:rsidR="00C76470" w:rsidRPr="00DC52BB" w:rsidTr="00654A6C">
        <w:trPr>
          <w:jc w:val="center"/>
        </w:trPr>
        <w:tc>
          <w:tcPr>
            <w:tcW w:w="115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77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0,002</w:t>
            </w:r>
          </w:p>
        </w:tc>
        <w:tc>
          <w:tcPr>
            <w:tcW w:w="79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0,017</w:t>
            </w:r>
          </w:p>
        </w:tc>
        <w:tc>
          <w:tcPr>
            <w:tcW w:w="477"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p>
        </w:tc>
        <w:tc>
          <w:tcPr>
            <w:tcW w:w="62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0,003</w:t>
            </w:r>
          </w:p>
        </w:tc>
        <w:tc>
          <w:tcPr>
            <w:tcW w:w="79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0,005</w:t>
            </w:r>
          </w:p>
        </w:tc>
        <w:tc>
          <w:tcPr>
            <w:tcW w:w="38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p>
        </w:tc>
      </w:tr>
      <w:tr w:rsidR="00C76470" w:rsidRPr="00DC52BB" w:rsidTr="00654A6C">
        <w:trPr>
          <w:jc w:val="center"/>
        </w:trPr>
        <w:tc>
          <w:tcPr>
            <w:tcW w:w="115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77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0,279</w:t>
            </w:r>
          </w:p>
        </w:tc>
        <w:tc>
          <w:tcPr>
            <w:tcW w:w="793"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0,116</w:t>
            </w:r>
          </w:p>
        </w:tc>
        <w:tc>
          <w:tcPr>
            <w:tcW w:w="47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c>
          <w:tcPr>
            <w:tcW w:w="62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0,128</w:t>
            </w:r>
          </w:p>
        </w:tc>
        <w:tc>
          <w:tcPr>
            <w:tcW w:w="792"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0,137</w:t>
            </w:r>
          </w:p>
        </w:tc>
        <w:tc>
          <w:tcPr>
            <w:tcW w:w="38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r>
      <w:tr w:rsidR="00C76470" w:rsidRPr="00DC52BB" w:rsidTr="00654A6C">
        <w:trPr>
          <w:jc w:val="center"/>
        </w:trPr>
        <w:tc>
          <w:tcPr>
            <w:tcW w:w="115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773"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0,749</w:t>
            </w:r>
          </w:p>
        </w:tc>
        <w:tc>
          <w:tcPr>
            <w:tcW w:w="793"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0,010</w:t>
            </w:r>
          </w:p>
        </w:tc>
        <w:tc>
          <w:tcPr>
            <w:tcW w:w="477"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c>
          <w:tcPr>
            <w:tcW w:w="62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0,658</w:t>
            </w:r>
          </w:p>
        </w:tc>
        <w:tc>
          <w:tcPr>
            <w:tcW w:w="792"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0,003</w:t>
            </w:r>
          </w:p>
        </w:tc>
        <w:tc>
          <w:tcPr>
            <w:tcW w:w="38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r>
    </w:tbl>
    <w:p w:rsidR="002C3A1C" w:rsidRDefault="002C3A1C" w:rsidP="00F71B34">
      <w:pPr>
        <w:spacing w:after="0" w:line="360" w:lineRule="auto"/>
        <w:ind w:firstLine="708"/>
        <w:jc w:val="both"/>
        <w:rPr>
          <w:rFonts w:ascii="Times New Roman" w:eastAsia="Times New Roman" w:hAnsi="Times New Roman"/>
          <w:sz w:val="28"/>
          <w:szCs w:val="28"/>
          <w:lang w:eastAsia="ru-RU"/>
        </w:rPr>
      </w:pPr>
    </w:p>
    <w:p w:rsidR="00B20BA4" w:rsidRPr="00F71B34" w:rsidRDefault="00B20BA4"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Плотностные значения кости у больных с III</w:t>
      </w:r>
      <w:r w:rsidR="00351DA8">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IV рентгенологической стадией группы 1 и группы 2 исходно не различались. Через 4 года наблюдения у </w:t>
      </w:r>
      <w:r w:rsidRPr="00F71B34">
        <w:rPr>
          <w:rFonts w:ascii="Times New Roman" w:eastAsia="Times New Roman" w:hAnsi="Times New Roman"/>
          <w:sz w:val="28"/>
          <w:szCs w:val="28"/>
          <w:lang w:eastAsia="ru-RU"/>
        </w:rPr>
        <w:lastRenderedPageBreak/>
        <w:t>больных РА с III</w:t>
      </w:r>
      <w:r w:rsidR="00351DA8">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IV рентгенологической стадией, получавших РТМ и МТХ, денситометрические показатели шейки бедра были статистически значимо выше</w:t>
      </w:r>
      <w:r w:rsidR="00EB0BB6"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 чем у пациентов с монотерапией МТХ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 xml:space="preserve">=0,010 и р=0,003). </w:t>
      </w:r>
    </w:p>
    <w:p w:rsidR="00B20BA4" w:rsidRPr="00F71B34" w:rsidRDefault="00B20BA4" w:rsidP="00F71B34">
      <w:pPr>
        <w:spacing w:after="0" w:line="360" w:lineRule="auto"/>
        <w:ind w:firstLine="708"/>
        <w:jc w:val="both"/>
        <w:rPr>
          <w:rFonts w:ascii="Times New Roman" w:eastAsia="Times New Roman" w:hAnsi="Times New Roman"/>
          <w:color w:val="FF0000"/>
          <w:sz w:val="28"/>
          <w:szCs w:val="28"/>
          <w:lang w:eastAsia="ru-RU"/>
        </w:rPr>
      </w:pPr>
      <w:r w:rsidRPr="00F71B34">
        <w:rPr>
          <w:rFonts w:ascii="Times New Roman" w:eastAsia="Times New Roman" w:hAnsi="Times New Roman"/>
          <w:sz w:val="28"/>
          <w:szCs w:val="28"/>
          <w:lang w:eastAsia="ru-RU"/>
        </w:rPr>
        <w:t xml:space="preserve">При анализе динамики МПК и Т-критерия шейки бедра на фоне лечения установлено, что у пациентов группы 1 независимо от рентгенологической стадии данные показатели достоверно увеличились относительно исходных значений. У больных группы 2 с </w:t>
      </w:r>
      <w:r w:rsidRPr="00F71B34">
        <w:rPr>
          <w:rFonts w:ascii="Times New Roman" w:eastAsia="Times New Roman" w:hAnsi="Times New Roman"/>
          <w:sz w:val="28"/>
          <w:szCs w:val="28"/>
          <w:lang w:val="en-US" w:eastAsia="ru-RU"/>
        </w:rPr>
        <w:t>I</w:t>
      </w:r>
      <w:r w:rsidRPr="00F71B34">
        <w:rPr>
          <w:rFonts w:ascii="Times New Roman" w:eastAsia="Times New Roman" w:hAnsi="Times New Roman"/>
          <w:sz w:val="28"/>
          <w:szCs w:val="28"/>
          <w:lang w:eastAsia="ru-RU"/>
        </w:rPr>
        <w:t>–</w:t>
      </w:r>
      <w:r w:rsidRPr="00F71B34">
        <w:rPr>
          <w:rFonts w:ascii="Times New Roman" w:eastAsia="Times New Roman" w:hAnsi="Times New Roman"/>
          <w:sz w:val="28"/>
          <w:szCs w:val="28"/>
          <w:lang w:val="en-US" w:eastAsia="ru-RU"/>
        </w:rPr>
        <w:t>II</w:t>
      </w:r>
      <w:r w:rsidRPr="00F71B34">
        <w:rPr>
          <w:rFonts w:ascii="Times New Roman" w:eastAsia="Times New Roman" w:hAnsi="Times New Roman"/>
          <w:sz w:val="28"/>
          <w:szCs w:val="28"/>
          <w:lang w:eastAsia="ru-RU"/>
        </w:rPr>
        <w:t xml:space="preserve"> рентгенологической стадией РА зарегистрировано статистически значимое снижение плотностных значений кости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=0,028 и р=0,028), в то время как у больных данной группы с III</w:t>
      </w:r>
      <w:r w:rsidR="00351DA8">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IV рентгенологической стадией  денситометрические показатели на фоне терапии достоверно не изменились. </w:t>
      </w:r>
    </w:p>
    <w:p w:rsidR="00C76470" w:rsidRPr="00F71B34" w:rsidRDefault="00556A74" w:rsidP="002C3A1C">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C76470" w:rsidRPr="00F71B34">
        <w:rPr>
          <w:rFonts w:ascii="Times New Roman" w:eastAsia="Times New Roman" w:hAnsi="Times New Roman"/>
          <w:sz w:val="28"/>
          <w:szCs w:val="28"/>
          <w:lang w:eastAsia="ru-RU"/>
        </w:rPr>
        <w:t xml:space="preserve">ависимости денситометрических показателей </w:t>
      </w:r>
      <w:r>
        <w:rPr>
          <w:rFonts w:ascii="Times New Roman" w:eastAsia="Times New Roman" w:hAnsi="Times New Roman"/>
          <w:sz w:val="28"/>
          <w:szCs w:val="28"/>
          <w:lang w:eastAsia="ru-RU"/>
        </w:rPr>
        <w:t xml:space="preserve">поясничного отдела позвоночника </w:t>
      </w:r>
      <w:r w:rsidR="00C76470" w:rsidRPr="00F71B34">
        <w:rPr>
          <w:rFonts w:ascii="Times New Roman" w:eastAsia="Times New Roman" w:hAnsi="Times New Roman"/>
          <w:sz w:val="28"/>
          <w:szCs w:val="28"/>
          <w:lang w:eastAsia="ru-RU"/>
        </w:rPr>
        <w:t>от рентгенологической стадии не отмечено как исходно,</w:t>
      </w:r>
      <w:r w:rsidR="002C3A1C">
        <w:rPr>
          <w:rFonts w:ascii="Times New Roman" w:eastAsia="Times New Roman" w:hAnsi="Times New Roman"/>
          <w:sz w:val="28"/>
          <w:szCs w:val="28"/>
          <w:lang w:eastAsia="ru-RU"/>
        </w:rPr>
        <w:t xml:space="preserve"> так и через 48 месяцев терапии</w:t>
      </w:r>
      <w:r w:rsidR="00C76470" w:rsidRPr="00F71B34">
        <w:rPr>
          <w:rFonts w:ascii="Times New Roman" w:eastAsia="Times New Roman" w:hAnsi="Times New Roman"/>
          <w:sz w:val="28"/>
          <w:szCs w:val="28"/>
          <w:lang w:eastAsia="ru-RU"/>
        </w:rPr>
        <w:t xml:space="preserve"> </w:t>
      </w:r>
      <w:r w:rsidR="002C3A1C">
        <w:rPr>
          <w:rFonts w:ascii="Times New Roman" w:eastAsia="Times New Roman" w:hAnsi="Times New Roman"/>
          <w:sz w:val="28"/>
          <w:szCs w:val="28"/>
          <w:lang w:eastAsia="ru-RU"/>
        </w:rPr>
        <w:t>(табл. 18)</w:t>
      </w:r>
      <w:r w:rsidR="002C3A1C" w:rsidRPr="00F71B34">
        <w:rPr>
          <w:rFonts w:ascii="Times New Roman" w:eastAsia="Times New Roman" w:hAnsi="Times New Roman"/>
          <w:sz w:val="28"/>
          <w:szCs w:val="28"/>
          <w:lang w:eastAsia="ru-RU"/>
        </w:rPr>
        <w:t>.</w:t>
      </w:r>
    </w:p>
    <w:p w:rsidR="00C76470" w:rsidRPr="00C76470" w:rsidRDefault="00C76470" w:rsidP="00C76470">
      <w:pPr>
        <w:spacing w:after="0" w:line="360" w:lineRule="auto"/>
        <w:ind w:firstLine="708"/>
        <w:jc w:val="both"/>
        <w:rPr>
          <w:rFonts w:ascii="Times New Roman" w:eastAsia="Times New Roman" w:hAnsi="Times New Roman"/>
          <w:sz w:val="28"/>
          <w:szCs w:val="28"/>
          <w:lang w:eastAsia="ru-RU"/>
        </w:rPr>
      </w:pPr>
    </w:p>
    <w:p w:rsidR="00C76470" w:rsidRPr="00F71B34" w:rsidRDefault="00C76470" w:rsidP="00C76470">
      <w:pPr>
        <w:spacing w:after="0" w:line="360" w:lineRule="auto"/>
        <w:ind w:firstLine="708"/>
        <w:jc w:val="both"/>
        <w:rPr>
          <w:rFonts w:ascii="Times New Roman" w:eastAsia="Times New Roman" w:hAnsi="Times New Roman"/>
          <w:sz w:val="28"/>
          <w:szCs w:val="28"/>
          <w:lang w:eastAsia="ru-RU"/>
        </w:rPr>
      </w:pPr>
      <w:r w:rsidRPr="006C4F3E">
        <w:rPr>
          <w:rFonts w:ascii="Times New Roman" w:eastAsia="Times New Roman" w:hAnsi="Times New Roman"/>
          <w:spacing w:val="40"/>
          <w:sz w:val="28"/>
          <w:szCs w:val="28"/>
          <w:lang w:eastAsia="ru-RU"/>
        </w:rPr>
        <w:t>Таблица</w:t>
      </w:r>
      <w:r w:rsidRPr="00F71B34">
        <w:rPr>
          <w:rFonts w:ascii="Times New Roman" w:eastAsia="Times New Roman" w:hAnsi="Times New Roman"/>
          <w:sz w:val="28"/>
          <w:szCs w:val="28"/>
          <w:lang w:eastAsia="ru-RU"/>
        </w:rPr>
        <w:t xml:space="preserve"> 18</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Денситометрические показатели поясничного отдела позвоночника у больных РА в зависимости от рентгенологической стадии и варианта терапии исходно и через 4</w:t>
      </w:r>
      <w:r w:rsidR="006C4F3E">
        <w:rPr>
          <w:rFonts w:ascii="Times New Roman" w:eastAsia="Times New Roman" w:hAnsi="Times New Roman"/>
          <w:sz w:val="28"/>
          <w:szCs w:val="28"/>
          <w:lang w:eastAsia="ru-RU"/>
        </w:rPr>
        <w:t>8 месяцев</w:t>
      </w:r>
      <w:r w:rsidRPr="00F71B34">
        <w:rPr>
          <w:rFonts w:ascii="Times New Roman" w:eastAsia="Times New Roman" w:hAnsi="Times New Roman"/>
          <w:sz w:val="28"/>
          <w:szCs w:val="28"/>
          <w:lang w:eastAsia="ru-RU"/>
        </w:rPr>
        <w:t xml:space="preserve"> наблюдения (М±</w:t>
      </w:r>
      <w:r w:rsidRPr="00F71B34">
        <w:rPr>
          <w:rFonts w:ascii="Times New Roman" w:eastAsia="Times New Roman" w:hAnsi="Times New Roman"/>
          <w:sz w:val="28"/>
          <w:szCs w:val="28"/>
          <w:lang w:val="en-US" w:eastAsia="ru-RU"/>
        </w:rPr>
        <w:t>m</w:t>
      </w:r>
      <w:r w:rsidRPr="00F71B34">
        <w:rPr>
          <w:rFonts w:ascii="Times New Roman" w:eastAsia="Times New Roman" w:hAnsi="Times New Roman"/>
          <w:sz w:val="28"/>
          <w:szCs w:val="28"/>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325"/>
        <w:gridCol w:w="1653"/>
        <w:gridCol w:w="1601"/>
        <w:gridCol w:w="801"/>
        <w:gridCol w:w="1348"/>
        <w:gridCol w:w="1645"/>
        <w:gridCol w:w="684"/>
      </w:tblGrid>
      <w:tr w:rsidR="006F434A" w:rsidRPr="00DC52BB" w:rsidTr="006F434A">
        <w:trPr>
          <w:trHeight w:val="539"/>
          <w:jc w:val="center"/>
        </w:trPr>
        <w:tc>
          <w:tcPr>
            <w:tcW w:w="1156" w:type="pct"/>
            <w:vMerge w:val="restart"/>
            <w:shd w:val="clear" w:color="auto" w:fill="auto"/>
            <w:vAlign w:val="center"/>
          </w:tcPr>
          <w:p w:rsidR="006F434A" w:rsidRPr="00654A6C" w:rsidRDefault="006F434A"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 </w:t>
            </w:r>
          </w:p>
          <w:p w:rsidR="006F434A" w:rsidRPr="00654A6C" w:rsidRDefault="006F434A"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 xml:space="preserve">(А – </w:t>
            </w:r>
            <w:r w:rsidRPr="00654A6C">
              <w:rPr>
                <w:rFonts w:ascii="Times New Roman" w:eastAsia="Times New Roman" w:hAnsi="Times New Roman"/>
                <w:sz w:val="24"/>
                <w:szCs w:val="24"/>
                <w:lang w:val="en-US" w:eastAsia="ru-RU"/>
              </w:rPr>
              <w:t>I</w:t>
            </w:r>
            <w:r w:rsidRPr="00654A6C">
              <w:rPr>
                <w:rFonts w:ascii="Times New Roman" w:eastAsia="Times New Roman" w:hAnsi="Times New Roman"/>
                <w:sz w:val="24"/>
                <w:szCs w:val="24"/>
                <w:lang w:eastAsia="ru-RU"/>
              </w:rPr>
              <w:t>–</w:t>
            </w:r>
            <w:r w:rsidRPr="00654A6C">
              <w:rPr>
                <w:rFonts w:ascii="Times New Roman" w:eastAsia="Times New Roman" w:hAnsi="Times New Roman"/>
                <w:sz w:val="24"/>
                <w:szCs w:val="24"/>
                <w:lang w:val="en-US" w:eastAsia="ru-RU"/>
              </w:rPr>
              <w:t>II</w:t>
            </w:r>
            <w:r w:rsidRPr="00654A6C">
              <w:rPr>
                <w:rFonts w:ascii="Times New Roman" w:eastAsia="Times New Roman" w:hAnsi="Times New Roman"/>
                <w:sz w:val="24"/>
                <w:szCs w:val="24"/>
                <w:lang w:eastAsia="ru-RU"/>
              </w:rPr>
              <w:t xml:space="preserve"> стадия, </w:t>
            </w:r>
            <w:proofErr w:type="gramEnd"/>
          </w:p>
          <w:p w:rsidR="006F434A" w:rsidRPr="00654A6C" w:rsidRDefault="006F434A" w:rsidP="006F434A">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В –</w:t>
            </w:r>
            <w:r w:rsidRPr="00654A6C">
              <w:rPr>
                <w:rFonts w:ascii="Times New Roman" w:eastAsia="Times New Roman" w:hAnsi="Times New Roman"/>
                <w:sz w:val="24"/>
                <w:szCs w:val="24"/>
              </w:rPr>
              <w:t xml:space="preserve"> </w:t>
            </w:r>
            <w:r w:rsidRPr="00654A6C">
              <w:rPr>
                <w:rFonts w:ascii="Times New Roman" w:eastAsia="Times New Roman" w:hAnsi="Times New Roman"/>
                <w:sz w:val="24"/>
                <w:szCs w:val="24"/>
                <w:lang w:eastAsia="ru-RU"/>
              </w:rPr>
              <w:t>III</w:t>
            </w:r>
            <w:r>
              <w:rPr>
                <w:rFonts w:ascii="Times New Roman" w:eastAsia="Times New Roman" w:hAnsi="Times New Roman"/>
                <w:sz w:val="24"/>
                <w:szCs w:val="24"/>
                <w:lang w:eastAsia="ru-RU"/>
              </w:rPr>
              <w:t>–</w:t>
            </w:r>
            <w:r w:rsidRPr="00654A6C">
              <w:rPr>
                <w:rFonts w:ascii="Times New Roman" w:eastAsia="Times New Roman" w:hAnsi="Times New Roman"/>
                <w:sz w:val="24"/>
                <w:szCs w:val="24"/>
                <w:lang w:eastAsia="ru-RU"/>
              </w:rPr>
              <w:t>IV стадия)</w:t>
            </w:r>
            <w:proofErr w:type="gramEnd"/>
          </w:p>
        </w:tc>
        <w:tc>
          <w:tcPr>
            <w:tcW w:w="3844" w:type="pct"/>
            <w:gridSpan w:val="6"/>
            <w:shd w:val="clear" w:color="auto" w:fill="auto"/>
            <w:vAlign w:val="center"/>
          </w:tcPr>
          <w:p w:rsidR="006F434A" w:rsidRPr="00654A6C" w:rsidRDefault="006F434A"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6F434A" w:rsidRPr="00DC52BB" w:rsidTr="006F434A">
        <w:trPr>
          <w:trHeight w:val="575"/>
          <w:jc w:val="center"/>
        </w:trPr>
        <w:tc>
          <w:tcPr>
            <w:tcW w:w="1156" w:type="pct"/>
            <w:vMerge/>
            <w:shd w:val="clear" w:color="auto" w:fill="auto"/>
            <w:vAlign w:val="center"/>
          </w:tcPr>
          <w:p w:rsidR="006F434A" w:rsidRPr="00654A6C" w:rsidRDefault="006F434A" w:rsidP="00654A6C">
            <w:pPr>
              <w:spacing w:after="0" w:line="360" w:lineRule="auto"/>
              <w:ind w:right="-82"/>
              <w:jc w:val="center"/>
              <w:rPr>
                <w:rFonts w:ascii="Times New Roman" w:eastAsia="Times New Roman" w:hAnsi="Times New Roman"/>
                <w:sz w:val="24"/>
                <w:szCs w:val="24"/>
                <w:lang w:eastAsia="ru-RU"/>
              </w:rPr>
            </w:pPr>
          </w:p>
        </w:tc>
        <w:tc>
          <w:tcPr>
            <w:tcW w:w="2016" w:type="pct"/>
            <w:gridSpan w:val="3"/>
            <w:shd w:val="clear" w:color="auto" w:fill="auto"/>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828" w:type="pct"/>
            <w:gridSpan w:val="3"/>
            <w:tcBorders>
              <w:bottom w:val="single" w:sz="4" w:space="0" w:color="auto"/>
            </w:tcBorders>
            <w:shd w:val="clear" w:color="auto" w:fill="auto"/>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C76470" w:rsidRPr="00DC52BB" w:rsidTr="006F434A">
        <w:trPr>
          <w:trHeight w:val="555"/>
          <w:jc w:val="center"/>
        </w:trPr>
        <w:tc>
          <w:tcPr>
            <w:tcW w:w="1156" w:type="pct"/>
            <w:vMerge/>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c>
          <w:tcPr>
            <w:tcW w:w="822" w:type="pct"/>
            <w:shd w:val="clear" w:color="auto" w:fill="auto"/>
            <w:vAlign w:val="center"/>
          </w:tcPr>
          <w:p w:rsidR="00C76470" w:rsidRPr="00654A6C" w:rsidRDefault="006F434A"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C76470" w:rsidRPr="00654A6C">
              <w:rPr>
                <w:rFonts w:ascii="Times New Roman" w:eastAsia="Times New Roman" w:hAnsi="Times New Roman"/>
                <w:sz w:val="24"/>
                <w:szCs w:val="24"/>
                <w:lang w:eastAsia="ru-RU"/>
              </w:rPr>
              <w:t>сходно</w:t>
            </w:r>
          </w:p>
        </w:tc>
        <w:tc>
          <w:tcPr>
            <w:tcW w:w="796" w:type="pct"/>
            <w:shd w:val="clear" w:color="auto" w:fill="auto"/>
            <w:vAlign w:val="center"/>
          </w:tcPr>
          <w:p w:rsidR="00C76470" w:rsidRPr="00654A6C" w:rsidRDefault="006F434A"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C76470" w:rsidRPr="00654A6C">
              <w:rPr>
                <w:rFonts w:ascii="Times New Roman" w:eastAsia="Times New Roman" w:hAnsi="Times New Roman"/>
                <w:sz w:val="24"/>
                <w:szCs w:val="24"/>
                <w:lang w:eastAsia="ru-RU"/>
              </w:rPr>
              <w:t>ерез 48 мес.</w:t>
            </w:r>
          </w:p>
        </w:tc>
        <w:tc>
          <w:tcPr>
            <w:tcW w:w="398"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70" w:type="pct"/>
            <w:tcBorders>
              <w:top w:val="single" w:sz="4" w:space="0" w:color="auto"/>
            </w:tcBorders>
            <w:shd w:val="clear" w:color="auto" w:fill="auto"/>
            <w:vAlign w:val="center"/>
          </w:tcPr>
          <w:p w:rsidR="00C76470" w:rsidRPr="00654A6C" w:rsidRDefault="006F434A"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C76470" w:rsidRPr="00654A6C">
              <w:rPr>
                <w:rFonts w:ascii="Times New Roman" w:eastAsia="Times New Roman" w:hAnsi="Times New Roman"/>
                <w:sz w:val="24"/>
                <w:szCs w:val="24"/>
                <w:lang w:eastAsia="ru-RU"/>
              </w:rPr>
              <w:t>сходно</w:t>
            </w:r>
          </w:p>
        </w:tc>
        <w:tc>
          <w:tcPr>
            <w:tcW w:w="818" w:type="pct"/>
            <w:tcBorders>
              <w:top w:val="single" w:sz="4" w:space="0" w:color="auto"/>
            </w:tcBorders>
            <w:shd w:val="clear" w:color="auto" w:fill="auto"/>
            <w:vAlign w:val="center"/>
          </w:tcPr>
          <w:p w:rsidR="00C76470" w:rsidRPr="00654A6C" w:rsidRDefault="006F434A"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C76470" w:rsidRPr="00654A6C">
              <w:rPr>
                <w:rFonts w:ascii="Times New Roman" w:eastAsia="Times New Roman" w:hAnsi="Times New Roman"/>
                <w:sz w:val="24"/>
                <w:szCs w:val="24"/>
                <w:lang w:eastAsia="ru-RU"/>
              </w:rPr>
              <w:t>ерез 48 мес.</w:t>
            </w:r>
          </w:p>
        </w:tc>
        <w:tc>
          <w:tcPr>
            <w:tcW w:w="340" w:type="pct"/>
            <w:tcBorders>
              <w:top w:val="single" w:sz="4" w:space="0" w:color="auto"/>
            </w:tcBorders>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C76470" w:rsidRPr="00DC52BB" w:rsidTr="006F434A">
        <w:trPr>
          <w:jc w:val="center"/>
        </w:trPr>
        <w:tc>
          <w:tcPr>
            <w:tcW w:w="1156"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82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1,022±0,06</w:t>
            </w:r>
          </w:p>
        </w:tc>
        <w:tc>
          <w:tcPr>
            <w:tcW w:w="796"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val="en-US" w:eastAsia="ru-RU"/>
              </w:rPr>
            </w:pPr>
            <w:r w:rsidRPr="00654A6C">
              <w:rPr>
                <w:rFonts w:ascii="Times New Roman" w:eastAsia="Times New Roman" w:hAnsi="Times New Roman"/>
                <w:spacing w:val="-8"/>
                <w:sz w:val="24"/>
                <w:szCs w:val="24"/>
                <w:lang w:eastAsia="ru-RU"/>
              </w:rPr>
              <w:t>1,051±0,077</w:t>
            </w:r>
          </w:p>
        </w:tc>
        <w:tc>
          <w:tcPr>
            <w:tcW w:w="398"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0,500</w:t>
            </w:r>
          </w:p>
        </w:tc>
        <w:tc>
          <w:tcPr>
            <w:tcW w:w="67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-0,53±0,24</w:t>
            </w:r>
          </w:p>
        </w:tc>
        <w:tc>
          <w:tcPr>
            <w:tcW w:w="81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-0,46±0,32</w:t>
            </w:r>
          </w:p>
        </w:tc>
        <w:tc>
          <w:tcPr>
            <w:tcW w:w="34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0,345</w:t>
            </w:r>
          </w:p>
        </w:tc>
      </w:tr>
      <w:tr w:rsidR="00C76470" w:rsidRPr="00DC52BB" w:rsidTr="006F434A">
        <w:trPr>
          <w:jc w:val="center"/>
        </w:trPr>
        <w:tc>
          <w:tcPr>
            <w:tcW w:w="1156"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82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0,9155±0,03</w:t>
            </w:r>
          </w:p>
        </w:tc>
        <w:tc>
          <w:tcPr>
            <w:tcW w:w="796"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0,8826±0,031</w:t>
            </w:r>
          </w:p>
        </w:tc>
        <w:tc>
          <w:tcPr>
            <w:tcW w:w="39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0,198</w:t>
            </w:r>
          </w:p>
        </w:tc>
        <w:tc>
          <w:tcPr>
            <w:tcW w:w="67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-1,03±0,19</w:t>
            </w:r>
          </w:p>
        </w:tc>
        <w:tc>
          <w:tcPr>
            <w:tcW w:w="81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-1,28±0,27</w:t>
            </w:r>
          </w:p>
        </w:tc>
        <w:tc>
          <w:tcPr>
            <w:tcW w:w="34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0,551</w:t>
            </w:r>
          </w:p>
        </w:tc>
      </w:tr>
      <w:tr w:rsidR="00C76470" w:rsidRPr="00DC52BB" w:rsidTr="006F434A">
        <w:trPr>
          <w:jc w:val="center"/>
        </w:trPr>
        <w:tc>
          <w:tcPr>
            <w:tcW w:w="1156"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82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1,028±0,036</w:t>
            </w:r>
          </w:p>
        </w:tc>
        <w:tc>
          <w:tcPr>
            <w:tcW w:w="796"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0,9389±0,030</w:t>
            </w:r>
          </w:p>
        </w:tc>
        <w:tc>
          <w:tcPr>
            <w:tcW w:w="39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0,045</w:t>
            </w:r>
          </w:p>
        </w:tc>
        <w:tc>
          <w:tcPr>
            <w:tcW w:w="67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-0,24±0,26</w:t>
            </w:r>
          </w:p>
        </w:tc>
        <w:tc>
          <w:tcPr>
            <w:tcW w:w="81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-0,82±0,26</w:t>
            </w:r>
          </w:p>
        </w:tc>
        <w:tc>
          <w:tcPr>
            <w:tcW w:w="34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0,028</w:t>
            </w:r>
          </w:p>
        </w:tc>
      </w:tr>
      <w:tr w:rsidR="00C76470" w:rsidRPr="00DC52BB" w:rsidTr="006F434A">
        <w:trPr>
          <w:jc w:val="center"/>
        </w:trPr>
        <w:tc>
          <w:tcPr>
            <w:tcW w:w="1156"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82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0,9530±0,031</w:t>
            </w:r>
          </w:p>
        </w:tc>
        <w:tc>
          <w:tcPr>
            <w:tcW w:w="796"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0,8122±0,020</w:t>
            </w:r>
          </w:p>
        </w:tc>
        <w:tc>
          <w:tcPr>
            <w:tcW w:w="39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0,047</w:t>
            </w:r>
          </w:p>
        </w:tc>
        <w:tc>
          <w:tcPr>
            <w:tcW w:w="67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-0,59±0,28</w:t>
            </w:r>
          </w:p>
        </w:tc>
        <w:tc>
          <w:tcPr>
            <w:tcW w:w="81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-1,59±0,17</w:t>
            </w:r>
          </w:p>
        </w:tc>
        <w:tc>
          <w:tcPr>
            <w:tcW w:w="34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0,047</w:t>
            </w:r>
          </w:p>
        </w:tc>
      </w:tr>
      <w:tr w:rsidR="00C76470" w:rsidRPr="00DC52BB" w:rsidTr="006F434A">
        <w:trPr>
          <w:jc w:val="center"/>
        </w:trPr>
        <w:tc>
          <w:tcPr>
            <w:tcW w:w="1156"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82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0,159</w:t>
            </w:r>
          </w:p>
        </w:tc>
        <w:tc>
          <w:tcPr>
            <w:tcW w:w="796"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0,059</w:t>
            </w:r>
          </w:p>
        </w:tc>
        <w:tc>
          <w:tcPr>
            <w:tcW w:w="398"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c>
          <w:tcPr>
            <w:tcW w:w="67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0,074</w:t>
            </w:r>
          </w:p>
        </w:tc>
        <w:tc>
          <w:tcPr>
            <w:tcW w:w="81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0,056</w:t>
            </w:r>
          </w:p>
        </w:tc>
        <w:tc>
          <w:tcPr>
            <w:tcW w:w="34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r>
      <w:tr w:rsidR="00C76470" w:rsidRPr="00DC52BB" w:rsidTr="006F434A">
        <w:trPr>
          <w:jc w:val="center"/>
        </w:trPr>
        <w:tc>
          <w:tcPr>
            <w:tcW w:w="1156"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2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0,230</w:t>
            </w:r>
          </w:p>
        </w:tc>
        <w:tc>
          <w:tcPr>
            <w:tcW w:w="796"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0,051</w:t>
            </w:r>
          </w:p>
        </w:tc>
        <w:tc>
          <w:tcPr>
            <w:tcW w:w="39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p>
        </w:tc>
        <w:tc>
          <w:tcPr>
            <w:tcW w:w="67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0,317</w:t>
            </w:r>
          </w:p>
        </w:tc>
        <w:tc>
          <w:tcPr>
            <w:tcW w:w="81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0,286</w:t>
            </w:r>
          </w:p>
        </w:tc>
        <w:tc>
          <w:tcPr>
            <w:tcW w:w="34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p>
        </w:tc>
      </w:tr>
      <w:tr w:rsidR="00C76470" w:rsidRPr="00DC52BB" w:rsidTr="006F434A">
        <w:trPr>
          <w:jc w:val="center"/>
        </w:trPr>
        <w:tc>
          <w:tcPr>
            <w:tcW w:w="1156"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2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0,437</w:t>
            </w:r>
          </w:p>
        </w:tc>
        <w:tc>
          <w:tcPr>
            <w:tcW w:w="796"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0,477</w:t>
            </w:r>
          </w:p>
        </w:tc>
        <w:tc>
          <w:tcPr>
            <w:tcW w:w="398"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p>
        </w:tc>
        <w:tc>
          <w:tcPr>
            <w:tcW w:w="67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0,528</w:t>
            </w:r>
          </w:p>
        </w:tc>
        <w:tc>
          <w:tcPr>
            <w:tcW w:w="818"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0,505</w:t>
            </w:r>
          </w:p>
        </w:tc>
        <w:tc>
          <w:tcPr>
            <w:tcW w:w="34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r>
      <w:tr w:rsidR="00C76470" w:rsidRPr="00DC52BB" w:rsidTr="006F434A">
        <w:trPr>
          <w:jc w:val="center"/>
        </w:trPr>
        <w:tc>
          <w:tcPr>
            <w:tcW w:w="1156"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22"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0,331</w:t>
            </w:r>
          </w:p>
        </w:tc>
        <w:tc>
          <w:tcPr>
            <w:tcW w:w="796"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0,616</w:t>
            </w:r>
          </w:p>
        </w:tc>
        <w:tc>
          <w:tcPr>
            <w:tcW w:w="398"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c>
          <w:tcPr>
            <w:tcW w:w="670" w:type="pct"/>
            <w:shd w:val="clear" w:color="auto" w:fill="auto"/>
            <w:vAlign w:val="center"/>
          </w:tcPr>
          <w:p w:rsidR="00C76470" w:rsidRPr="00654A6C" w:rsidRDefault="00C76470"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0,322</w:t>
            </w:r>
          </w:p>
        </w:tc>
        <w:tc>
          <w:tcPr>
            <w:tcW w:w="818"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0,763</w:t>
            </w:r>
          </w:p>
        </w:tc>
        <w:tc>
          <w:tcPr>
            <w:tcW w:w="340" w:type="pct"/>
            <w:shd w:val="clear" w:color="auto" w:fill="auto"/>
            <w:vAlign w:val="center"/>
          </w:tcPr>
          <w:p w:rsidR="00C76470" w:rsidRPr="00654A6C" w:rsidRDefault="00C76470" w:rsidP="00654A6C">
            <w:pPr>
              <w:spacing w:after="0" w:line="360" w:lineRule="auto"/>
              <w:ind w:right="-82"/>
              <w:jc w:val="center"/>
              <w:rPr>
                <w:rFonts w:ascii="Times New Roman" w:eastAsia="Times New Roman" w:hAnsi="Times New Roman"/>
                <w:sz w:val="24"/>
                <w:szCs w:val="24"/>
                <w:lang w:eastAsia="ru-RU"/>
              </w:rPr>
            </w:pPr>
          </w:p>
        </w:tc>
      </w:tr>
    </w:tbl>
    <w:p w:rsidR="002C3A1C" w:rsidRDefault="002C3A1C" w:rsidP="002C3A1C">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lastRenderedPageBreak/>
        <w:t>У больных РА, получавших РТМ и МТХ, МПК и Т-критерий поясничного отдела позвоночника на фоне лечения оставались стабильными, в то время как у пациентов с монотерапией МТХ независимо от рентгенологической стадии данные показатели статистически значимо снижались</w:t>
      </w:r>
      <w:r>
        <w:rPr>
          <w:rFonts w:ascii="Times New Roman" w:eastAsia="Times New Roman" w:hAnsi="Times New Roman"/>
          <w:sz w:val="28"/>
          <w:szCs w:val="28"/>
          <w:lang w:eastAsia="ru-RU"/>
        </w:rPr>
        <w:t xml:space="preserve"> </w:t>
      </w:r>
    </w:p>
    <w:p w:rsidR="00C76470" w:rsidRPr="002C3A1C" w:rsidRDefault="002C3A1C" w:rsidP="002C3A1C">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Полученные результаты свидетельствуют о том, что прогрессирование деструктивного процесса в костях сопровождается снижением денситометриче</w:t>
      </w:r>
      <w:r>
        <w:rPr>
          <w:rFonts w:ascii="Times New Roman" w:eastAsia="Times New Roman" w:hAnsi="Times New Roman"/>
          <w:sz w:val="28"/>
          <w:szCs w:val="28"/>
          <w:lang w:eastAsia="ru-RU"/>
        </w:rPr>
        <w:t>ских показателей в шейке бедра.</w:t>
      </w:r>
    </w:p>
    <w:p w:rsidR="001C7C52" w:rsidRDefault="001C7C52" w:rsidP="001C7C52">
      <w:pPr>
        <w:spacing w:after="0" w:line="360" w:lineRule="auto"/>
        <w:ind w:firstLine="708"/>
        <w:jc w:val="both"/>
        <w:rPr>
          <w:rFonts w:ascii="Times New Roman" w:eastAsia="Times New Roman" w:hAnsi="Times New Roman"/>
          <w:sz w:val="28"/>
          <w:szCs w:val="28"/>
          <w:lang w:eastAsia="ru-RU"/>
        </w:rPr>
      </w:pPr>
      <w:proofErr w:type="gramStart"/>
      <w:r w:rsidRPr="00F71B34">
        <w:rPr>
          <w:rFonts w:ascii="Times New Roman" w:eastAsia="Times New Roman" w:hAnsi="Times New Roman"/>
          <w:sz w:val="28"/>
          <w:szCs w:val="28"/>
          <w:lang w:eastAsia="ru-RU"/>
        </w:rPr>
        <w:t>При анализе динамики МПК за 4 года наблюдения установлено, что независимо от рентгенологической стадии РА Δ</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шейки бедра в группе больных с комбинированной терапией РТМ и МТХ статистически значимо больше данного показателя в группе пациентов с монотерапией МТХ, в то время как в поясничном отделе позвоночника Δ</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в группе 1 была сопоставима с аналогичным показателем  в группе 2 (табл. 19).</w:t>
      </w:r>
      <w:proofErr w:type="gramEnd"/>
    </w:p>
    <w:p w:rsidR="001C7C52" w:rsidRDefault="001C7C52" w:rsidP="001C7C52">
      <w:pPr>
        <w:spacing w:after="0" w:line="360" w:lineRule="auto"/>
        <w:ind w:firstLine="708"/>
        <w:jc w:val="both"/>
        <w:rPr>
          <w:rFonts w:ascii="Times New Roman" w:eastAsia="Times New Roman" w:hAnsi="Times New Roman"/>
          <w:sz w:val="28"/>
          <w:szCs w:val="28"/>
          <w:lang w:eastAsia="ru-RU"/>
        </w:rPr>
      </w:pPr>
    </w:p>
    <w:p w:rsidR="00C76470" w:rsidRPr="00F71B34" w:rsidRDefault="006F434A" w:rsidP="00C76470">
      <w:pPr>
        <w:spacing w:after="0" w:line="360" w:lineRule="auto"/>
        <w:ind w:firstLine="708"/>
        <w:jc w:val="both"/>
        <w:rPr>
          <w:rFonts w:ascii="Times New Roman" w:eastAsia="Times New Roman" w:hAnsi="Times New Roman"/>
          <w:sz w:val="28"/>
          <w:szCs w:val="28"/>
          <w:lang w:eastAsia="ru-RU"/>
        </w:rPr>
      </w:pPr>
      <w:r w:rsidRPr="006C4F3E">
        <w:rPr>
          <w:rFonts w:ascii="Times New Roman" w:eastAsia="Times New Roman" w:hAnsi="Times New Roman"/>
          <w:spacing w:val="40"/>
          <w:sz w:val="28"/>
          <w:szCs w:val="28"/>
          <w:lang w:eastAsia="ru-RU"/>
        </w:rPr>
        <w:t>Таблица</w:t>
      </w:r>
      <w:r w:rsidR="00C76470" w:rsidRPr="00F71B34">
        <w:rPr>
          <w:rFonts w:ascii="Times New Roman" w:eastAsia="Times New Roman" w:hAnsi="Times New Roman"/>
          <w:sz w:val="28"/>
          <w:szCs w:val="28"/>
          <w:lang w:eastAsia="ru-RU"/>
        </w:rPr>
        <w:t xml:space="preserve"> </w:t>
      </w:r>
      <w:r w:rsidR="00C76470" w:rsidRPr="006F434A">
        <w:rPr>
          <w:rFonts w:ascii="Times New Roman" w:eastAsia="Times New Roman" w:hAnsi="Times New Roman"/>
          <w:spacing w:val="-4"/>
          <w:sz w:val="28"/>
          <w:szCs w:val="28"/>
          <w:lang w:eastAsia="ru-RU"/>
        </w:rPr>
        <w:t>19</w:t>
      </w:r>
      <w:r w:rsidR="00CD2EDC" w:rsidRPr="006F434A">
        <w:rPr>
          <w:rFonts w:ascii="Times New Roman" w:eastAsia="Times New Roman" w:hAnsi="Times New Roman"/>
          <w:spacing w:val="-4"/>
          <w:sz w:val="28"/>
          <w:szCs w:val="28"/>
          <w:lang w:eastAsia="ru-RU"/>
        </w:rPr>
        <w:t xml:space="preserve"> – </w:t>
      </w:r>
      <w:r w:rsidR="00986AC6" w:rsidRPr="00F71B34">
        <w:rPr>
          <w:rFonts w:ascii="Times New Roman" w:eastAsia="Times New Roman" w:hAnsi="Times New Roman"/>
          <w:sz w:val="28"/>
          <w:szCs w:val="28"/>
          <w:lang w:eastAsia="ru-RU"/>
        </w:rPr>
        <w:t>Δ</w:t>
      </w:r>
      <w:r w:rsidR="00986AC6">
        <w:rPr>
          <w:rFonts w:ascii="Times New Roman" w:eastAsia="Times New Roman" w:hAnsi="Times New Roman"/>
          <w:sz w:val="28"/>
          <w:szCs w:val="28"/>
          <w:lang w:eastAsia="ru-RU"/>
        </w:rPr>
        <w:t xml:space="preserve"> </w:t>
      </w:r>
      <w:r w:rsidR="00986AC6" w:rsidRPr="00F71B34">
        <w:rPr>
          <w:rFonts w:ascii="Times New Roman" w:eastAsia="Times New Roman" w:hAnsi="Times New Roman"/>
          <w:sz w:val="28"/>
          <w:szCs w:val="28"/>
          <w:lang w:eastAsia="ru-RU"/>
        </w:rPr>
        <w:t>МПК</w:t>
      </w:r>
      <w:r w:rsidR="00986AC6" w:rsidRPr="006F434A">
        <w:rPr>
          <w:rFonts w:ascii="Times New Roman" w:eastAsia="Times New Roman" w:hAnsi="Times New Roman"/>
          <w:spacing w:val="-4"/>
          <w:sz w:val="28"/>
          <w:szCs w:val="28"/>
          <w:lang w:eastAsia="ru-RU"/>
        </w:rPr>
        <w:t xml:space="preserve"> </w:t>
      </w:r>
      <w:r w:rsidR="00C76470" w:rsidRPr="006F434A">
        <w:rPr>
          <w:rFonts w:ascii="Times New Roman" w:eastAsia="Times New Roman" w:hAnsi="Times New Roman"/>
          <w:spacing w:val="-4"/>
          <w:sz w:val="28"/>
          <w:szCs w:val="28"/>
          <w:lang w:eastAsia="ru-RU"/>
        </w:rPr>
        <w:t>шейки бедра и</w:t>
      </w:r>
      <w:r w:rsidR="00C76470" w:rsidRPr="00F71B34">
        <w:rPr>
          <w:rFonts w:ascii="Times New Roman" w:eastAsia="Times New Roman" w:hAnsi="Times New Roman"/>
          <w:sz w:val="28"/>
          <w:szCs w:val="28"/>
          <w:lang w:eastAsia="ru-RU"/>
        </w:rPr>
        <w:t xml:space="preserve"> поясничного отдела позвоночника у больных РА в зависимости от рентгенологической стадии и варианта терапии (М±m)</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403"/>
        <w:gridCol w:w="4506"/>
      </w:tblGrid>
      <w:tr w:rsidR="006F434A" w:rsidRPr="00C76470" w:rsidTr="00986AC6">
        <w:tc>
          <w:tcPr>
            <w:tcW w:w="1515" w:type="pct"/>
            <w:vMerge w:val="restart"/>
            <w:tcBorders>
              <w:top w:val="single" w:sz="4" w:space="0" w:color="auto"/>
              <w:left w:val="single" w:sz="4" w:space="0" w:color="auto"/>
              <w:right w:val="single" w:sz="4" w:space="0" w:color="auto"/>
            </w:tcBorders>
            <w:vAlign w:val="center"/>
          </w:tcPr>
          <w:p w:rsidR="006F434A" w:rsidRPr="00C76470" w:rsidRDefault="006F434A" w:rsidP="006F434A">
            <w:pPr>
              <w:spacing w:after="0" w:line="288" w:lineRule="auto"/>
              <w:jc w:val="center"/>
              <w:rPr>
                <w:rFonts w:ascii="Times New Roman" w:hAnsi="Times New Roman"/>
                <w:sz w:val="24"/>
                <w:szCs w:val="24"/>
                <w:lang w:eastAsia="ru-RU"/>
              </w:rPr>
            </w:pPr>
            <w:r w:rsidRPr="00C76470">
              <w:rPr>
                <w:rFonts w:ascii="Times New Roman" w:hAnsi="Times New Roman"/>
                <w:sz w:val="24"/>
                <w:szCs w:val="24"/>
                <w:lang w:eastAsia="ru-RU"/>
              </w:rPr>
              <w:t>Группы больных</w:t>
            </w:r>
          </w:p>
          <w:p w:rsidR="006F434A" w:rsidRPr="00C76470" w:rsidRDefault="006F434A" w:rsidP="006F434A">
            <w:pPr>
              <w:spacing w:after="0" w:line="288" w:lineRule="auto"/>
              <w:jc w:val="center"/>
              <w:rPr>
                <w:rFonts w:ascii="Times New Roman" w:hAnsi="Times New Roman"/>
                <w:sz w:val="24"/>
                <w:szCs w:val="24"/>
                <w:lang w:eastAsia="ru-RU"/>
              </w:rPr>
            </w:pPr>
            <w:r w:rsidRPr="00C76470">
              <w:rPr>
                <w:rFonts w:ascii="Times New Roman" w:hAnsi="Times New Roman"/>
                <w:sz w:val="24"/>
                <w:szCs w:val="24"/>
                <w:lang w:eastAsia="ru-RU"/>
              </w:rPr>
              <w:t xml:space="preserve">(А – </w:t>
            </w:r>
            <w:r w:rsidRPr="00C76470">
              <w:rPr>
                <w:rFonts w:ascii="Times New Roman" w:hAnsi="Times New Roman"/>
                <w:sz w:val="24"/>
                <w:szCs w:val="24"/>
                <w:lang w:val="en-US" w:eastAsia="ru-RU"/>
              </w:rPr>
              <w:t>I</w:t>
            </w:r>
            <w:r w:rsidRPr="00C76470">
              <w:rPr>
                <w:rFonts w:ascii="Times New Roman" w:hAnsi="Times New Roman"/>
                <w:sz w:val="24"/>
                <w:szCs w:val="24"/>
                <w:lang w:eastAsia="ru-RU"/>
              </w:rPr>
              <w:t>–</w:t>
            </w:r>
            <w:r w:rsidRPr="00C76470">
              <w:rPr>
                <w:rFonts w:ascii="Times New Roman" w:hAnsi="Times New Roman"/>
                <w:sz w:val="24"/>
                <w:szCs w:val="24"/>
                <w:lang w:val="en-US" w:eastAsia="ru-RU"/>
              </w:rPr>
              <w:t>II</w:t>
            </w:r>
            <w:r>
              <w:rPr>
                <w:rFonts w:ascii="Times New Roman" w:hAnsi="Times New Roman"/>
                <w:sz w:val="24"/>
                <w:szCs w:val="24"/>
                <w:lang w:eastAsia="ru-RU"/>
              </w:rPr>
              <w:t xml:space="preserve"> стадия,</w:t>
            </w:r>
            <w:r>
              <w:rPr>
                <w:rFonts w:ascii="Times New Roman" w:hAnsi="Times New Roman"/>
                <w:sz w:val="24"/>
                <w:szCs w:val="24"/>
                <w:lang w:eastAsia="ru-RU"/>
              </w:rPr>
              <w:br/>
            </w:r>
            <w:r w:rsidRPr="00C76470">
              <w:rPr>
                <w:rFonts w:ascii="Times New Roman" w:hAnsi="Times New Roman"/>
                <w:sz w:val="24"/>
                <w:szCs w:val="24"/>
                <w:lang w:eastAsia="ru-RU"/>
              </w:rPr>
              <w:t>В –</w:t>
            </w:r>
            <w:r w:rsidRPr="00C76470">
              <w:rPr>
                <w:rFonts w:ascii="Times New Roman" w:hAnsi="Times New Roman"/>
                <w:sz w:val="24"/>
                <w:szCs w:val="24"/>
              </w:rPr>
              <w:t xml:space="preserve"> </w:t>
            </w:r>
            <w:r w:rsidRPr="00C76470">
              <w:rPr>
                <w:rFonts w:ascii="Times New Roman" w:hAnsi="Times New Roman"/>
                <w:sz w:val="24"/>
                <w:szCs w:val="24"/>
                <w:lang w:eastAsia="ru-RU"/>
              </w:rPr>
              <w:t>III</w:t>
            </w:r>
            <w:r>
              <w:rPr>
                <w:rFonts w:ascii="Times New Roman" w:hAnsi="Times New Roman"/>
                <w:sz w:val="24"/>
                <w:szCs w:val="24"/>
                <w:lang w:eastAsia="ru-RU"/>
              </w:rPr>
              <w:t>–</w:t>
            </w:r>
            <w:r w:rsidRPr="00C76470">
              <w:rPr>
                <w:rFonts w:ascii="Times New Roman" w:hAnsi="Times New Roman"/>
                <w:sz w:val="24"/>
                <w:szCs w:val="24"/>
                <w:lang w:eastAsia="ru-RU"/>
              </w:rPr>
              <w:t>IV стадия)</w:t>
            </w:r>
          </w:p>
        </w:tc>
        <w:tc>
          <w:tcPr>
            <w:tcW w:w="3485" w:type="pct"/>
            <w:gridSpan w:val="2"/>
            <w:tcBorders>
              <w:top w:val="single" w:sz="4" w:space="0" w:color="auto"/>
              <w:left w:val="single" w:sz="4" w:space="0" w:color="auto"/>
              <w:bottom w:val="single" w:sz="4" w:space="0" w:color="auto"/>
              <w:right w:val="single" w:sz="4" w:space="0" w:color="auto"/>
            </w:tcBorders>
            <w:vAlign w:val="center"/>
          </w:tcPr>
          <w:p w:rsidR="006F434A" w:rsidRPr="00C76470" w:rsidRDefault="006F434A" w:rsidP="006F434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Δ МПК</w:t>
            </w:r>
          </w:p>
        </w:tc>
      </w:tr>
      <w:tr w:rsidR="006F434A" w:rsidRPr="00C76470" w:rsidTr="00986AC6">
        <w:trPr>
          <w:trHeight w:val="469"/>
        </w:trPr>
        <w:tc>
          <w:tcPr>
            <w:tcW w:w="1515" w:type="pct"/>
            <w:vMerge/>
            <w:tcBorders>
              <w:left w:val="single" w:sz="4" w:space="0" w:color="auto"/>
              <w:bottom w:val="single" w:sz="4" w:space="0" w:color="auto"/>
              <w:right w:val="single" w:sz="4" w:space="0" w:color="auto"/>
            </w:tcBorders>
            <w:vAlign w:val="center"/>
          </w:tcPr>
          <w:p w:rsidR="006F434A" w:rsidRPr="00C76470" w:rsidRDefault="006F434A" w:rsidP="006F434A">
            <w:pPr>
              <w:spacing w:after="0" w:line="360" w:lineRule="auto"/>
              <w:jc w:val="center"/>
              <w:rPr>
                <w:rFonts w:ascii="Times New Roman" w:hAnsi="Times New Roman"/>
                <w:sz w:val="24"/>
                <w:szCs w:val="24"/>
                <w:lang w:eastAsia="ru-RU"/>
              </w:rPr>
            </w:pPr>
          </w:p>
        </w:tc>
        <w:tc>
          <w:tcPr>
            <w:tcW w:w="1212" w:type="pct"/>
            <w:tcBorders>
              <w:top w:val="single" w:sz="4" w:space="0" w:color="auto"/>
              <w:left w:val="single" w:sz="4" w:space="0" w:color="auto"/>
              <w:bottom w:val="single" w:sz="4" w:space="0" w:color="auto"/>
              <w:right w:val="single" w:sz="4" w:space="0" w:color="auto"/>
            </w:tcBorders>
            <w:vAlign w:val="center"/>
          </w:tcPr>
          <w:p w:rsidR="006F434A" w:rsidRDefault="006F434A" w:rsidP="006F434A">
            <w:pPr>
              <w:spacing w:after="0"/>
              <w:jc w:val="center"/>
            </w:pPr>
            <w:r w:rsidRPr="00C76470">
              <w:rPr>
                <w:rFonts w:ascii="Times New Roman" w:hAnsi="Times New Roman"/>
                <w:sz w:val="24"/>
                <w:szCs w:val="24"/>
                <w:lang w:eastAsia="ru-RU"/>
              </w:rPr>
              <w:t>шейки бедра</w:t>
            </w:r>
            <w:proofErr w:type="gramStart"/>
            <w:r w:rsidR="00986AC6">
              <w:rPr>
                <w:rFonts w:ascii="Times New Roman" w:hAnsi="Times New Roman"/>
                <w:sz w:val="24"/>
                <w:szCs w:val="24"/>
                <w:lang w:eastAsia="ru-RU"/>
              </w:rPr>
              <w:t xml:space="preserve"> (%)</w:t>
            </w:r>
            <w:proofErr w:type="gramEnd"/>
          </w:p>
        </w:tc>
        <w:tc>
          <w:tcPr>
            <w:tcW w:w="2273" w:type="pct"/>
            <w:tcBorders>
              <w:top w:val="single" w:sz="4" w:space="0" w:color="auto"/>
              <w:left w:val="single" w:sz="4" w:space="0" w:color="auto"/>
              <w:bottom w:val="single" w:sz="4" w:space="0" w:color="auto"/>
              <w:right w:val="single" w:sz="4" w:space="0" w:color="auto"/>
            </w:tcBorders>
            <w:vAlign w:val="center"/>
          </w:tcPr>
          <w:p w:rsidR="006F434A" w:rsidRDefault="006F434A" w:rsidP="006F434A">
            <w:pPr>
              <w:spacing w:after="0"/>
              <w:jc w:val="center"/>
            </w:pPr>
            <w:r w:rsidRPr="00B02549">
              <w:rPr>
                <w:rFonts w:ascii="Times New Roman" w:hAnsi="Times New Roman"/>
                <w:sz w:val="24"/>
                <w:szCs w:val="24"/>
                <w:lang w:eastAsia="ru-RU"/>
              </w:rPr>
              <w:t>поясничного отдела позвоночника</w:t>
            </w:r>
            <w:proofErr w:type="gramStart"/>
            <w:r w:rsidR="00986AC6">
              <w:rPr>
                <w:rFonts w:ascii="Times New Roman" w:hAnsi="Times New Roman"/>
                <w:sz w:val="24"/>
                <w:szCs w:val="24"/>
                <w:lang w:eastAsia="ru-RU"/>
              </w:rPr>
              <w:t xml:space="preserve"> (%)</w:t>
            </w:r>
            <w:proofErr w:type="gramEnd"/>
          </w:p>
        </w:tc>
      </w:tr>
      <w:tr w:rsidR="006F434A" w:rsidRPr="00C76470" w:rsidTr="00986AC6">
        <w:tc>
          <w:tcPr>
            <w:tcW w:w="1515" w:type="pct"/>
            <w:tcBorders>
              <w:top w:val="single" w:sz="4" w:space="0" w:color="auto"/>
              <w:left w:val="single" w:sz="4" w:space="0" w:color="auto"/>
              <w:bottom w:val="single" w:sz="4" w:space="0" w:color="auto"/>
              <w:right w:val="single" w:sz="4" w:space="0" w:color="auto"/>
            </w:tcBorders>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1212" w:type="pct"/>
            <w:tcBorders>
              <w:top w:val="single" w:sz="4" w:space="0" w:color="auto"/>
              <w:left w:val="single" w:sz="4" w:space="0" w:color="auto"/>
              <w:bottom w:val="single" w:sz="4" w:space="0" w:color="auto"/>
              <w:right w:val="single" w:sz="4" w:space="0" w:color="auto"/>
            </w:tcBorders>
            <w:vAlign w:val="center"/>
          </w:tcPr>
          <w:p w:rsidR="006F434A" w:rsidRPr="00C76470" w:rsidRDefault="007A62E1" w:rsidP="007A62E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7,74</w:t>
            </w:r>
            <w:r w:rsidR="006F434A" w:rsidRPr="00C76470">
              <w:rPr>
                <w:rFonts w:ascii="Times New Roman" w:hAnsi="Times New Roman"/>
                <w:sz w:val="24"/>
                <w:szCs w:val="24"/>
                <w:lang w:eastAsia="ru-RU"/>
              </w:rPr>
              <w:t>±</w:t>
            </w:r>
            <w:r>
              <w:rPr>
                <w:rFonts w:ascii="Times New Roman" w:hAnsi="Times New Roman"/>
                <w:sz w:val="24"/>
                <w:szCs w:val="24"/>
                <w:lang w:eastAsia="ru-RU"/>
              </w:rPr>
              <w:t>1,47</w:t>
            </w:r>
          </w:p>
        </w:tc>
        <w:tc>
          <w:tcPr>
            <w:tcW w:w="2273"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7A62E1">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-0,</w:t>
            </w:r>
            <w:r w:rsidR="007A62E1">
              <w:rPr>
                <w:rFonts w:ascii="Times New Roman" w:hAnsi="Times New Roman"/>
                <w:sz w:val="24"/>
                <w:szCs w:val="24"/>
                <w:lang w:eastAsia="ru-RU"/>
              </w:rPr>
              <w:t>71</w:t>
            </w:r>
            <w:r w:rsidRPr="00C76470">
              <w:rPr>
                <w:rFonts w:ascii="Times New Roman" w:hAnsi="Times New Roman"/>
                <w:sz w:val="24"/>
                <w:szCs w:val="24"/>
                <w:lang w:eastAsia="ru-RU"/>
              </w:rPr>
              <w:t>±0,</w:t>
            </w:r>
            <w:r w:rsidR="007A62E1">
              <w:rPr>
                <w:rFonts w:ascii="Times New Roman" w:hAnsi="Times New Roman"/>
                <w:sz w:val="24"/>
                <w:szCs w:val="24"/>
                <w:lang w:eastAsia="ru-RU"/>
              </w:rPr>
              <w:t>77</w:t>
            </w:r>
          </w:p>
        </w:tc>
      </w:tr>
      <w:tr w:rsidR="006F434A" w:rsidRPr="00C76470" w:rsidTr="00986AC6">
        <w:tc>
          <w:tcPr>
            <w:tcW w:w="1515" w:type="pct"/>
            <w:tcBorders>
              <w:top w:val="single" w:sz="4" w:space="0" w:color="auto"/>
              <w:left w:val="single" w:sz="4" w:space="0" w:color="auto"/>
              <w:bottom w:val="single" w:sz="4" w:space="0" w:color="auto"/>
              <w:right w:val="single" w:sz="4" w:space="0" w:color="auto"/>
            </w:tcBorders>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1212" w:type="pct"/>
            <w:tcBorders>
              <w:top w:val="single" w:sz="4" w:space="0" w:color="auto"/>
              <w:left w:val="single" w:sz="4" w:space="0" w:color="auto"/>
              <w:bottom w:val="single" w:sz="4" w:space="0" w:color="auto"/>
              <w:right w:val="single" w:sz="4" w:space="0" w:color="auto"/>
            </w:tcBorders>
            <w:vAlign w:val="center"/>
          </w:tcPr>
          <w:p w:rsidR="006F434A" w:rsidRPr="00C76470" w:rsidRDefault="00C14EE7" w:rsidP="00C14EE7">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6,82</w:t>
            </w:r>
            <w:r w:rsidR="006F434A" w:rsidRPr="00C76470">
              <w:rPr>
                <w:rFonts w:ascii="Times New Roman" w:hAnsi="Times New Roman"/>
                <w:sz w:val="24"/>
                <w:szCs w:val="24"/>
                <w:lang w:eastAsia="ru-RU"/>
              </w:rPr>
              <w:t>±</w:t>
            </w:r>
            <w:r>
              <w:rPr>
                <w:rFonts w:ascii="Times New Roman" w:hAnsi="Times New Roman"/>
                <w:sz w:val="24"/>
                <w:szCs w:val="24"/>
                <w:lang w:eastAsia="ru-RU"/>
              </w:rPr>
              <w:t>1,63</w:t>
            </w:r>
          </w:p>
        </w:tc>
        <w:tc>
          <w:tcPr>
            <w:tcW w:w="2273"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C14EE7">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w:t>
            </w:r>
            <w:r w:rsidR="00C14EE7">
              <w:rPr>
                <w:rFonts w:ascii="Times New Roman" w:hAnsi="Times New Roman"/>
                <w:sz w:val="24"/>
                <w:szCs w:val="24"/>
                <w:lang w:eastAsia="ru-RU"/>
              </w:rPr>
              <w:t>1,89</w:t>
            </w:r>
            <w:r w:rsidRPr="00C76470">
              <w:rPr>
                <w:rFonts w:ascii="Times New Roman" w:hAnsi="Times New Roman"/>
                <w:sz w:val="24"/>
                <w:szCs w:val="24"/>
                <w:lang w:eastAsia="ru-RU"/>
              </w:rPr>
              <w:t>±</w:t>
            </w:r>
            <w:r w:rsidR="00C14EE7">
              <w:rPr>
                <w:rFonts w:ascii="Times New Roman" w:hAnsi="Times New Roman"/>
                <w:sz w:val="24"/>
                <w:szCs w:val="24"/>
                <w:lang w:eastAsia="ru-RU"/>
              </w:rPr>
              <w:t>1,98</w:t>
            </w:r>
          </w:p>
        </w:tc>
      </w:tr>
      <w:tr w:rsidR="006F434A" w:rsidRPr="00C76470" w:rsidTr="00986AC6">
        <w:tc>
          <w:tcPr>
            <w:tcW w:w="1515" w:type="pct"/>
            <w:tcBorders>
              <w:top w:val="single" w:sz="4" w:space="0" w:color="auto"/>
              <w:left w:val="single" w:sz="4" w:space="0" w:color="auto"/>
              <w:bottom w:val="single" w:sz="4" w:space="0" w:color="auto"/>
              <w:right w:val="single" w:sz="4" w:space="0" w:color="auto"/>
            </w:tcBorders>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1212"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7A62E1">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w:t>
            </w:r>
            <w:r w:rsidR="007A62E1">
              <w:rPr>
                <w:rFonts w:ascii="Times New Roman" w:hAnsi="Times New Roman"/>
                <w:sz w:val="24"/>
                <w:szCs w:val="24"/>
                <w:lang w:eastAsia="ru-RU"/>
              </w:rPr>
              <w:t>2,82</w:t>
            </w:r>
            <w:r w:rsidRPr="00C76470">
              <w:rPr>
                <w:rFonts w:ascii="Times New Roman" w:hAnsi="Times New Roman"/>
                <w:sz w:val="24"/>
                <w:szCs w:val="24"/>
                <w:lang w:eastAsia="ru-RU"/>
              </w:rPr>
              <w:t>±</w:t>
            </w:r>
            <w:r w:rsidR="007A62E1">
              <w:rPr>
                <w:rFonts w:ascii="Times New Roman" w:hAnsi="Times New Roman"/>
                <w:sz w:val="24"/>
                <w:szCs w:val="24"/>
                <w:lang w:eastAsia="ru-RU"/>
              </w:rPr>
              <w:t>0,57</w:t>
            </w:r>
          </w:p>
        </w:tc>
        <w:tc>
          <w:tcPr>
            <w:tcW w:w="2273"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7A62E1">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w:t>
            </w:r>
            <w:r w:rsidR="007A62E1">
              <w:rPr>
                <w:rFonts w:ascii="Times New Roman" w:hAnsi="Times New Roman"/>
                <w:sz w:val="24"/>
                <w:szCs w:val="24"/>
                <w:lang w:eastAsia="ru-RU"/>
              </w:rPr>
              <w:t>4,00</w:t>
            </w:r>
            <w:r w:rsidRPr="00C76470">
              <w:rPr>
                <w:rFonts w:ascii="Times New Roman" w:hAnsi="Times New Roman"/>
                <w:sz w:val="24"/>
                <w:szCs w:val="24"/>
                <w:lang w:eastAsia="ru-RU"/>
              </w:rPr>
              <w:t>±</w:t>
            </w:r>
            <w:r w:rsidR="007A62E1">
              <w:rPr>
                <w:rFonts w:ascii="Times New Roman" w:hAnsi="Times New Roman"/>
                <w:sz w:val="24"/>
                <w:szCs w:val="24"/>
                <w:lang w:eastAsia="ru-RU"/>
              </w:rPr>
              <w:t>2,58</w:t>
            </w:r>
          </w:p>
        </w:tc>
      </w:tr>
      <w:tr w:rsidR="006F434A" w:rsidRPr="00C76470" w:rsidTr="00986AC6">
        <w:tc>
          <w:tcPr>
            <w:tcW w:w="1515" w:type="pct"/>
            <w:tcBorders>
              <w:top w:val="single" w:sz="4" w:space="0" w:color="auto"/>
              <w:left w:val="single" w:sz="4" w:space="0" w:color="auto"/>
              <w:bottom w:val="single" w:sz="4" w:space="0" w:color="auto"/>
              <w:right w:val="single" w:sz="4" w:space="0" w:color="auto"/>
            </w:tcBorders>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1212"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C14EE7">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w:t>
            </w:r>
            <w:r w:rsidR="00C14EE7">
              <w:rPr>
                <w:rFonts w:ascii="Times New Roman" w:hAnsi="Times New Roman"/>
                <w:sz w:val="24"/>
                <w:szCs w:val="24"/>
                <w:lang w:eastAsia="ru-RU"/>
              </w:rPr>
              <w:t>3,42</w:t>
            </w:r>
            <w:r w:rsidRPr="00C76470">
              <w:rPr>
                <w:rFonts w:ascii="Times New Roman" w:hAnsi="Times New Roman"/>
                <w:sz w:val="24"/>
                <w:szCs w:val="24"/>
                <w:lang w:eastAsia="ru-RU"/>
              </w:rPr>
              <w:t>±</w:t>
            </w:r>
            <w:r w:rsidR="00C14EE7">
              <w:rPr>
                <w:rFonts w:ascii="Times New Roman" w:hAnsi="Times New Roman"/>
                <w:sz w:val="24"/>
                <w:szCs w:val="24"/>
                <w:lang w:eastAsia="ru-RU"/>
              </w:rPr>
              <w:t>2,32</w:t>
            </w:r>
          </w:p>
        </w:tc>
        <w:tc>
          <w:tcPr>
            <w:tcW w:w="2273"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C14EE7">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w:t>
            </w:r>
            <w:r w:rsidR="00C14EE7">
              <w:rPr>
                <w:rFonts w:ascii="Times New Roman" w:hAnsi="Times New Roman"/>
                <w:sz w:val="24"/>
                <w:szCs w:val="24"/>
                <w:lang w:eastAsia="ru-RU"/>
              </w:rPr>
              <w:t>6,82</w:t>
            </w:r>
            <w:r w:rsidRPr="00C76470">
              <w:rPr>
                <w:rFonts w:ascii="Times New Roman" w:hAnsi="Times New Roman"/>
                <w:sz w:val="24"/>
                <w:szCs w:val="24"/>
                <w:lang w:eastAsia="ru-RU"/>
              </w:rPr>
              <w:t>±</w:t>
            </w:r>
            <w:r w:rsidR="00C14EE7">
              <w:rPr>
                <w:rFonts w:ascii="Times New Roman" w:hAnsi="Times New Roman"/>
                <w:sz w:val="24"/>
                <w:szCs w:val="24"/>
                <w:lang w:eastAsia="ru-RU"/>
              </w:rPr>
              <w:t>3,71</w:t>
            </w:r>
          </w:p>
        </w:tc>
      </w:tr>
      <w:tr w:rsidR="006F434A" w:rsidRPr="00C76470" w:rsidTr="00986AC6">
        <w:tc>
          <w:tcPr>
            <w:tcW w:w="1515" w:type="pct"/>
            <w:tcBorders>
              <w:top w:val="single" w:sz="4" w:space="0" w:color="auto"/>
              <w:left w:val="single" w:sz="4" w:space="0" w:color="auto"/>
              <w:bottom w:val="single" w:sz="4" w:space="0" w:color="auto"/>
              <w:right w:val="single" w:sz="4" w:space="0" w:color="auto"/>
            </w:tcBorders>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1212"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C14EE7">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0,8</w:t>
            </w:r>
            <w:r w:rsidR="00C14EE7">
              <w:rPr>
                <w:rFonts w:ascii="Times New Roman" w:hAnsi="Times New Roman"/>
                <w:sz w:val="24"/>
                <w:szCs w:val="24"/>
                <w:lang w:eastAsia="ru-RU"/>
              </w:rPr>
              <w:t>77</w:t>
            </w:r>
          </w:p>
        </w:tc>
        <w:tc>
          <w:tcPr>
            <w:tcW w:w="2273"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C14EE7">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0,6</w:t>
            </w:r>
            <w:r w:rsidR="00C14EE7">
              <w:rPr>
                <w:rFonts w:ascii="Times New Roman" w:hAnsi="Times New Roman"/>
                <w:sz w:val="24"/>
                <w:szCs w:val="24"/>
                <w:lang w:eastAsia="ru-RU"/>
              </w:rPr>
              <w:t>02</w:t>
            </w:r>
          </w:p>
        </w:tc>
      </w:tr>
      <w:tr w:rsidR="006F434A" w:rsidRPr="00C76470" w:rsidTr="00986AC6">
        <w:tc>
          <w:tcPr>
            <w:tcW w:w="1515" w:type="pct"/>
            <w:tcBorders>
              <w:top w:val="single" w:sz="4" w:space="0" w:color="auto"/>
              <w:left w:val="single" w:sz="4" w:space="0" w:color="auto"/>
              <w:bottom w:val="single" w:sz="4" w:space="0" w:color="auto"/>
              <w:right w:val="single" w:sz="4" w:space="0" w:color="auto"/>
            </w:tcBorders>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1212"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6F434A">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0,664</w:t>
            </w:r>
          </w:p>
        </w:tc>
        <w:tc>
          <w:tcPr>
            <w:tcW w:w="2273"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C14EE7">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0,</w:t>
            </w:r>
            <w:r w:rsidR="00C14EE7">
              <w:rPr>
                <w:rFonts w:ascii="Times New Roman" w:hAnsi="Times New Roman"/>
                <w:sz w:val="24"/>
                <w:szCs w:val="24"/>
                <w:lang w:eastAsia="ru-RU"/>
              </w:rPr>
              <w:t>289</w:t>
            </w:r>
          </w:p>
        </w:tc>
      </w:tr>
      <w:tr w:rsidR="006F434A" w:rsidRPr="00C76470" w:rsidTr="00986AC6">
        <w:tc>
          <w:tcPr>
            <w:tcW w:w="1515" w:type="pct"/>
            <w:tcBorders>
              <w:top w:val="single" w:sz="4" w:space="0" w:color="auto"/>
              <w:left w:val="single" w:sz="4" w:space="0" w:color="auto"/>
              <w:bottom w:val="single" w:sz="4" w:space="0" w:color="auto"/>
              <w:right w:val="single" w:sz="4" w:space="0" w:color="auto"/>
            </w:tcBorders>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1212"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7A62E1">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0,00</w:t>
            </w:r>
            <w:r w:rsidR="007A62E1">
              <w:rPr>
                <w:rFonts w:ascii="Times New Roman" w:hAnsi="Times New Roman"/>
                <w:sz w:val="24"/>
                <w:szCs w:val="24"/>
                <w:lang w:eastAsia="ru-RU"/>
              </w:rPr>
              <w:t>15</w:t>
            </w:r>
          </w:p>
        </w:tc>
        <w:tc>
          <w:tcPr>
            <w:tcW w:w="2273"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7A62E1">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0,</w:t>
            </w:r>
            <w:r w:rsidR="007A62E1">
              <w:rPr>
                <w:rFonts w:ascii="Times New Roman" w:hAnsi="Times New Roman"/>
                <w:sz w:val="24"/>
                <w:szCs w:val="24"/>
                <w:lang w:eastAsia="ru-RU"/>
              </w:rPr>
              <w:t>198</w:t>
            </w:r>
          </w:p>
        </w:tc>
      </w:tr>
      <w:tr w:rsidR="006F434A" w:rsidRPr="00C76470" w:rsidTr="00986AC6">
        <w:tc>
          <w:tcPr>
            <w:tcW w:w="1515" w:type="pct"/>
            <w:tcBorders>
              <w:top w:val="single" w:sz="4" w:space="0" w:color="auto"/>
              <w:left w:val="single" w:sz="4" w:space="0" w:color="auto"/>
              <w:bottom w:val="single" w:sz="4" w:space="0" w:color="auto"/>
              <w:right w:val="single" w:sz="4" w:space="0" w:color="auto"/>
            </w:tcBorders>
            <w:vAlign w:val="center"/>
          </w:tcPr>
          <w:p w:rsidR="006F434A" w:rsidRPr="00654A6C" w:rsidRDefault="006F434A" w:rsidP="00994002">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1212"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C14EE7">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0,00</w:t>
            </w:r>
            <w:r w:rsidR="00C14EE7">
              <w:rPr>
                <w:rFonts w:ascii="Times New Roman" w:hAnsi="Times New Roman"/>
                <w:sz w:val="24"/>
                <w:szCs w:val="24"/>
                <w:lang w:eastAsia="ru-RU"/>
              </w:rPr>
              <w:t>34</w:t>
            </w:r>
          </w:p>
        </w:tc>
        <w:tc>
          <w:tcPr>
            <w:tcW w:w="2273" w:type="pct"/>
            <w:tcBorders>
              <w:top w:val="single" w:sz="4" w:space="0" w:color="auto"/>
              <w:left w:val="single" w:sz="4" w:space="0" w:color="auto"/>
              <w:bottom w:val="single" w:sz="4" w:space="0" w:color="auto"/>
              <w:right w:val="single" w:sz="4" w:space="0" w:color="auto"/>
            </w:tcBorders>
            <w:vAlign w:val="center"/>
          </w:tcPr>
          <w:p w:rsidR="006F434A" w:rsidRPr="00C76470" w:rsidRDefault="006F434A" w:rsidP="00C14EE7">
            <w:pPr>
              <w:spacing w:after="0" w:line="360" w:lineRule="auto"/>
              <w:jc w:val="center"/>
              <w:rPr>
                <w:rFonts w:ascii="Times New Roman" w:hAnsi="Times New Roman"/>
                <w:sz w:val="24"/>
                <w:szCs w:val="24"/>
                <w:lang w:eastAsia="ru-RU"/>
              </w:rPr>
            </w:pPr>
            <w:r w:rsidRPr="00C76470">
              <w:rPr>
                <w:rFonts w:ascii="Times New Roman" w:hAnsi="Times New Roman"/>
                <w:sz w:val="24"/>
                <w:szCs w:val="24"/>
                <w:lang w:eastAsia="ru-RU"/>
              </w:rPr>
              <w:t>0,</w:t>
            </w:r>
            <w:r w:rsidR="00C14EE7">
              <w:rPr>
                <w:rFonts w:ascii="Times New Roman" w:hAnsi="Times New Roman"/>
                <w:sz w:val="24"/>
                <w:szCs w:val="24"/>
                <w:lang w:eastAsia="ru-RU"/>
              </w:rPr>
              <w:t>089</w:t>
            </w:r>
          </w:p>
        </w:tc>
      </w:tr>
    </w:tbl>
    <w:p w:rsidR="00C76470" w:rsidRDefault="00C76470" w:rsidP="00C76470">
      <w:pPr>
        <w:spacing w:after="0" w:line="360" w:lineRule="auto"/>
        <w:ind w:firstLine="708"/>
        <w:jc w:val="both"/>
        <w:rPr>
          <w:rFonts w:ascii="Times New Roman" w:eastAsia="Times New Roman" w:hAnsi="Times New Roman"/>
          <w:sz w:val="28"/>
          <w:szCs w:val="28"/>
          <w:lang w:eastAsia="ru-RU"/>
        </w:rPr>
      </w:pPr>
    </w:p>
    <w:p w:rsidR="002C3A1C" w:rsidRDefault="002C3A1C" w:rsidP="00C76470">
      <w:pPr>
        <w:spacing w:after="0" w:line="360" w:lineRule="auto"/>
        <w:ind w:firstLine="708"/>
        <w:jc w:val="both"/>
        <w:rPr>
          <w:rFonts w:ascii="Times New Roman" w:eastAsia="Times New Roman" w:hAnsi="Times New Roman"/>
          <w:sz w:val="28"/>
          <w:szCs w:val="28"/>
          <w:lang w:eastAsia="ru-RU"/>
        </w:rPr>
      </w:pPr>
    </w:p>
    <w:p w:rsidR="00DB0FD6" w:rsidRPr="00F71B34" w:rsidRDefault="006F434A" w:rsidP="00DE5A43">
      <w:pPr>
        <w:spacing w:after="0" w:line="360" w:lineRule="auto"/>
        <w:ind w:left="340"/>
        <w:jc w:val="both"/>
        <w:rPr>
          <w:rFonts w:ascii="Times New Roman" w:eastAsia="Times New Roman" w:hAnsi="Times New Roman"/>
          <w:sz w:val="28"/>
          <w:szCs w:val="28"/>
          <w:lang w:eastAsia="ru-RU"/>
        </w:rPr>
      </w:pPr>
      <w:r>
        <w:rPr>
          <w:color w:val="000000"/>
          <w:sz w:val="28"/>
          <w:szCs w:val="28"/>
        </w:rPr>
        <w:lastRenderedPageBreak/>
        <w:t xml:space="preserve">▪ </w:t>
      </w:r>
      <w:r w:rsidR="002C3A1C" w:rsidRPr="002C3A1C">
        <w:rPr>
          <w:rFonts w:ascii="Times New Roman" w:eastAsia="Times New Roman" w:hAnsi="Times New Roman"/>
          <w:sz w:val="28"/>
          <w:szCs w:val="28"/>
          <w:lang w:eastAsia="ru-RU"/>
        </w:rPr>
        <w:t xml:space="preserve">Динамика денситометрических показателей в зависимости от </w:t>
      </w:r>
      <w:r w:rsidR="002C3A1C">
        <w:rPr>
          <w:rFonts w:ascii="Times New Roman" w:eastAsia="Times New Roman" w:hAnsi="Times New Roman"/>
          <w:sz w:val="28"/>
          <w:szCs w:val="28"/>
          <w:lang w:eastAsia="ru-RU"/>
        </w:rPr>
        <w:t>исходного</w:t>
      </w:r>
      <w:r w:rsidR="00DB0FD6" w:rsidRPr="00F71B34">
        <w:rPr>
          <w:rFonts w:ascii="Times New Roman" w:eastAsia="Times New Roman" w:hAnsi="Times New Roman"/>
          <w:sz w:val="28"/>
          <w:szCs w:val="28"/>
          <w:lang w:eastAsia="ru-RU"/>
        </w:rPr>
        <w:t xml:space="preserve"> функциональн</w:t>
      </w:r>
      <w:r w:rsidR="002C3A1C">
        <w:rPr>
          <w:rFonts w:ascii="Times New Roman" w:eastAsia="Times New Roman" w:hAnsi="Times New Roman"/>
          <w:sz w:val="28"/>
          <w:szCs w:val="28"/>
          <w:lang w:eastAsia="ru-RU"/>
        </w:rPr>
        <w:t>ого</w:t>
      </w:r>
      <w:r w:rsidR="00DB0FD6" w:rsidRPr="00F71B34">
        <w:rPr>
          <w:rFonts w:ascii="Times New Roman" w:eastAsia="Times New Roman" w:hAnsi="Times New Roman"/>
          <w:sz w:val="28"/>
          <w:szCs w:val="28"/>
          <w:lang w:eastAsia="ru-RU"/>
        </w:rPr>
        <w:t xml:space="preserve"> класс</w:t>
      </w:r>
      <w:r w:rsidR="002C3A1C">
        <w:rPr>
          <w:rFonts w:ascii="Times New Roman" w:eastAsia="Times New Roman" w:hAnsi="Times New Roman"/>
          <w:sz w:val="28"/>
          <w:szCs w:val="28"/>
          <w:lang w:eastAsia="ru-RU"/>
        </w:rPr>
        <w:t>а</w:t>
      </w:r>
      <w:r w:rsidR="00AC3116">
        <w:rPr>
          <w:rFonts w:ascii="Times New Roman" w:eastAsia="Times New Roman" w:hAnsi="Times New Roman"/>
          <w:sz w:val="28"/>
          <w:szCs w:val="28"/>
          <w:lang w:eastAsia="ru-RU"/>
        </w:rPr>
        <w:t xml:space="preserve"> </w:t>
      </w:r>
    </w:p>
    <w:p w:rsidR="00DB0FD6" w:rsidRPr="00F71B34" w:rsidRDefault="00DB0FD6"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Для изучения </w:t>
      </w:r>
      <w:r w:rsidR="002C3A1C">
        <w:rPr>
          <w:rFonts w:ascii="Times New Roman" w:eastAsia="Times New Roman" w:hAnsi="Times New Roman"/>
          <w:sz w:val="28"/>
          <w:szCs w:val="28"/>
          <w:lang w:eastAsia="ru-RU"/>
        </w:rPr>
        <w:t>зависимости динамики денситометрических показателей и исходного</w:t>
      </w:r>
      <w:r w:rsidRPr="00F71B34">
        <w:rPr>
          <w:rFonts w:ascii="Times New Roman" w:eastAsia="Times New Roman" w:hAnsi="Times New Roman"/>
          <w:sz w:val="28"/>
          <w:szCs w:val="28"/>
          <w:lang w:eastAsia="ru-RU"/>
        </w:rPr>
        <w:t xml:space="preserve"> функциональн</w:t>
      </w:r>
      <w:r w:rsidR="002C3A1C">
        <w:rPr>
          <w:rFonts w:ascii="Times New Roman" w:eastAsia="Times New Roman" w:hAnsi="Times New Roman"/>
          <w:sz w:val="28"/>
          <w:szCs w:val="28"/>
          <w:lang w:eastAsia="ru-RU"/>
        </w:rPr>
        <w:t>ого</w:t>
      </w:r>
      <w:r w:rsidRPr="00F71B34">
        <w:rPr>
          <w:rFonts w:ascii="Times New Roman" w:eastAsia="Times New Roman" w:hAnsi="Times New Roman"/>
          <w:sz w:val="28"/>
          <w:szCs w:val="28"/>
          <w:lang w:eastAsia="ru-RU"/>
        </w:rPr>
        <w:t xml:space="preserve"> класс</w:t>
      </w:r>
      <w:r w:rsidR="002C3A1C">
        <w:rPr>
          <w:rFonts w:ascii="Times New Roman" w:eastAsia="Times New Roman" w:hAnsi="Times New Roman"/>
          <w:sz w:val="28"/>
          <w:szCs w:val="28"/>
          <w:lang w:eastAsia="ru-RU"/>
        </w:rPr>
        <w:t>а</w:t>
      </w:r>
      <w:r w:rsidRPr="00F71B34">
        <w:rPr>
          <w:rFonts w:ascii="Times New Roman" w:eastAsia="Times New Roman" w:hAnsi="Times New Roman"/>
          <w:sz w:val="28"/>
          <w:szCs w:val="28"/>
          <w:lang w:eastAsia="ru-RU"/>
        </w:rPr>
        <w:t xml:space="preserve"> больные в каждой из групп были разделены на две подгруппы: А</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I</w:t>
      </w:r>
      <w:r w:rsidR="006F434A">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II ФК, В</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 III</w:t>
      </w:r>
      <w:r w:rsidR="006F434A">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IV ФК. Больные распределились по группам следующим образом: А</w:t>
      </w:r>
      <w:proofErr w:type="gramStart"/>
      <w:r w:rsidRPr="00F71B34">
        <w:rPr>
          <w:rFonts w:ascii="Times New Roman" w:eastAsia="Times New Roman" w:hAnsi="Times New Roman"/>
          <w:sz w:val="28"/>
          <w:szCs w:val="28"/>
          <w:vertAlign w:val="subscript"/>
          <w:lang w:eastAsia="ru-RU"/>
        </w:rPr>
        <w:t>1</w:t>
      </w:r>
      <w:proofErr w:type="gramEnd"/>
      <w:r w:rsidRPr="00F71B34">
        <w:rPr>
          <w:rFonts w:ascii="Times New Roman" w:eastAsia="Times New Roman" w:hAnsi="Times New Roman"/>
          <w:sz w:val="28"/>
          <w:szCs w:val="28"/>
          <w:lang w:eastAsia="ru-RU"/>
        </w:rPr>
        <w:t xml:space="preserve"> – пациенты </w:t>
      </w:r>
      <w:r w:rsidR="00EB0BB6" w:rsidRPr="00F71B34">
        <w:rPr>
          <w:rFonts w:ascii="Times New Roman" w:eastAsia="Times New Roman" w:hAnsi="Times New Roman"/>
          <w:sz w:val="28"/>
          <w:szCs w:val="28"/>
          <w:lang w:eastAsia="ru-RU"/>
        </w:rPr>
        <w:t xml:space="preserve">группы 1 </w:t>
      </w:r>
      <w:r w:rsidRPr="00F71B34">
        <w:rPr>
          <w:rFonts w:ascii="Times New Roman" w:eastAsia="Times New Roman" w:hAnsi="Times New Roman"/>
          <w:sz w:val="28"/>
          <w:szCs w:val="28"/>
          <w:lang w:eastAsia="ru-RU"/>
        </w:rPr>
        <w:t>с I</w:t>
      </w:r>
      <w:r w:rsidR="006F434A">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II ФК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=36),  В</w:t>
      </w:r>
      <w:r w:rsidRPr="00F71B34">
        <w:rPr>
          <w:rFonts w:ascii="Times New Roman" w:eastAsia="Times New Roman" w:hAnsi="Times New Roman"/>
          <w:sz w:val="28"/>
          <w:szCs w:val="28"/>
          <w:vertAlign w:val="subscript"/>
          <w:lang w:eastAsia="ru-RU"/>
        </w:rPr>
        <w:t>1</w:t>
      </w:r>
      <w:r w:rsidRPr="00F71B34">
        <w:rPr>
          <w:rFonts w:ascii="Times New Roman" w:eastAsia="Times New Roman" w:hAnsi="Times New Roman"/>
          <w:sz w:val="28"/>
          <w:szCs w:val="28"/>
          <w:lang w:eastAsia="ru-RU"/>
        </w:rPr>
        <w:t xml:space="preserve"> – </w:t>
      </w:r>
      <w:r w:rsidR="00EB0BB6" w:rsidRPr="00F71B34">
        <w:rPr>
          <w:rFonts w:ascii="Times New Roman" w:eastAsia="Times New Roman" w:hAnsi="Times New Roman"/>
          <w:sz w:val="28"/>
          <w:szCs w:val="28"/>
          <w:lang w:eastAsia="ru-RU"/>
        </w:rPr>
        <w:t xml:space="preserve">больные группы 1 </w:t>
      </w:r>
      <w:r w:rsidRPr="00F71B34">
        <w:rPr>
          <w:rFonts w:ascii="Times New Roman" w:eastAsia="Times New Roman" w:hAnsi="Times New Roman"/>
          <w:sz w:val="28"/>
          <w:szCs w:val="28"/>
          <w:lang w:eastAsia="ru-RU"/>
        </w:rPr>
        <w:t>с III</w:t>
      </w:r>
      <w:r w:rsidR="006F434A">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IV ФК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=8), А</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 </w:t>
      </w:r>
      <w:r w:rsidR="00EB0BB6" w:rsidRPr="00F71B34">
        <w:rPr>
          <w:rFonts w:ascii="Times New Roman" w:eastAsia="Times New Roman" w:hAnsi="Times New Roman"/>
          <w:sz w:val="28"/>
          <w:szCs w:val="28"/>
          <w:lang w:eastAsia="ru-RU"/>
        </w:rPr>
        <w:t xml:space="preserve">больные группы 2 </w:t>
      </w:r>
      <w:r w:rsidRPr="00F71B34">
        <w:rPr>
          <w:rFonts w:ascii="Times New Roman" w:eastAsia="Times New Roman" w:hAnsi="Times New Roman"/>
          <w:sz w:val="28"/>
          <w:szCs w:val="28"/>
          <w:lang w:eastAsia="ru-RU"/>
        </w:rPr>
        <w:t>с I</w:t>
      </w:r>
      <w:r w:rsidR="006F434A">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II ФК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=23),  В</w:t>
      </w:r>
      <w:r w:rsidRPr="00F71B34">
        <w:rPr>
          <w:rFonts w:ascii="Times New Roman" w:eastAsia="Times New Roman" w:hAnsi="Times New Roman"/>
          <w:sz w:val="28"/>
          <w:szCs w:val="28"/>
          <w:vertAlign w:val="subscript"/>
          <w:lang w:eastAsia="ru-RU"/>
        </w:rPr>
        <w:t>2</w:t>
      </w:r>
      <w:r w:rsidRPr="00F71B34">
        <w:rPr>
          <w:rFonts w:ascii="Times New Roman" w:eastAsia="Times New Roman" w:hAnsi="Times New Roman"/>
          <w:sz w:val="28"/>
          <w:szCs w:val="28"/>
          <w:lang w:eastAsia="ru-RU"/>
        </w:rPr>
        <w:t xml:space="preserve"> – </w:t>
      </w:r>
      <w:r w:rsidR="00EB0BB6" w:rsidRPr="00F71B34">
        <w:rPr>
          <w:rFonts w:ascii="Times New Roman" w:eastAsia="Times New Roman" w:hAnsi="Times New Roman"/>
          <w:sz w:val="28"/>
          <w:szCs w:val="28"/>
          <w:lang w:eastAsia="ru-RU"/>
        </w:rPr>
        <w:t xml:space="preserve">больные группы 2 </w:t>
      </w:r>
      <w:r w:rsidRPr="00F71B34">
        <w:rPr>
          <w:rFonts w:ascii="Times New Roman" w:eastAsia="Times New Roman" w:hAnsi="Times New Roman"/>
          <w:sz w:val="28"/>
          <w:szCs w:val="28"/>
          <w:lang w:eastAsia="ru-RU"/>
        </w:rPr>
        <w:t>с III</w:t>
      </w:r>
      <w:r w:rsidR="006F434A">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IV ФК (</w:t>
      </w:r>
      <w:r w:rsidRPr="00F71B34">
        <w:rPr>
          <w:rFonts w:ascii="Times New Roman" w:eastAsia="Times New Roman" w:hAnsi="Times New Roman"/>
          <w:sz w:val="28"/>
          <w:szCs w:val="28"/>
          <w:lang w:val="en-US" w:eastAsia="ru-RU"/>
        </w:rPr>
        <w:t>n</w:t>
      </w:r>
      <w:r w:rsidRPr="00F71B34">
        <w:rPr>
          <w:rFonts w:ascii="Times New Roman" w:eastAsia="Times New Roman" w:hAnsi="Times New Roman"/>
          <w:sz w:val="28"/>
          <w:szCs w:val="28"/>
          <w:lang w:eastAsia="ru-RU"/>
        </w:rPr>
        <w:t xml:space="preserve">=12). </w:t>
      </w:r>
    </w:p>
    <w:p w:rsidR="00DB0FD6" w:rsidRPr="00F71B34" w:rsidRDefault="00DB0FD6"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Результаты анализа изучаемых параметров в зависимости от ФК представлены в табл</w:t>
      </w:r>
      <w:r w:rsidR="006F434A">
        <w:rPr>
          <w:rFonts w:ascii="Times New Roman" w:eastAsia="Times New Roman" w:hAnsi="Times New Roman"/>
          <w:sz w:val="28"/>
          <w:szCs w:val="28"/>
          <w:lang w:eastAsia="ru-RU"/>
        </w:rPr>
        <w:t>ицах</w:t>
      </w:r>
      <w:r w:rsidRPr="00F71B34">
        <w:rPr>
          <w:rFonts w:ascii="Times New Roman" w:eastAsia="Times New Roman" w:hAnsi="Times New Roman"/>
          <w:sz w:val="28"/>
          <w:szCs w:val="28"/>
          <w:lang w:eastAsia="ru-RU"/>
        </w:rPr>
        <w:t xml:space="preserve"> 20 и 21. </w:t>
      </w:r>
    </w:p>
    <w:p w:rsidR="002C3A1C" w:rsidRPr="00F71B34" w:rsidRDefault="002C3A1C" w:rsidP="002C3A1C">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Из таблиц следует, что зависимости плотностных значений кости от ФК и варианта терапии исходно и через 4 года наблюдения не отмечено как в шейке бедра, так и в поясничном отделе позвоночника.</w:t>
      </w:r>
    </w:p>
    <w:p w:rsidR="00EB0BB6" w:rsidRPr="00F71B34" w:rsidRDefault="00EB0BB6" w:rsidP="00F71B34">
      <w:pPr>
        <w:spacing w:after="0" w:line="360" w:lineRule="auto"/>
        <w:jc w:val="both"/>
        <w:rPr>
          <w:rFonts w:ascii="Times New Roman" w:eastAsia="Times New Roman" w:hAnsi="Times New Roman"/>
          <w:color w:val="FF0000"/>
          <w:sz w:val="28"/>
          <w:szCs w:val="28"/>
          <w:lang w:eastAsia="ru-RU"/>
        </w:rPr>
      </w:pPr>
    </w:p>
    <w:p w:rsidR="00DB0FD6" w:rsidRPr="00F71B34" w:rsidRDefault="00DB0FD6" w:rsidP="00F71B34">
      <w:pPr>
        <w:spacing w:after="0" w:line="360" w:lineRule="auto"/>
        <w:ind w:firstLine="708"/>
        <w:jc w:val="both"/>
        <w:rPr>
          <w:rFonts w:ascii="Times New Roman" w:eastAsia="Times New Roman" w:hAnsi="Times New Roman"/>
          <w:sz w:val="28"/>
          <w:szCs w:val="28"/>
          <w:lang w:eastAsia="ru-RU"/>
        </w:rPr>
      </w:pPr>
      <w:r w:rsidRPr="006F434A">
        <w:rPr>
          <w:rFonts w:ascii="Times New Roman" w:eastAsia="Times New Roman" w:hAnsi="Times New Roman"/>
          <w:spacing w:val="40"/>
          <w:sz w:val="28"/>
          <w:szCs w:val="28"/>
          <w:lang w:eastAsia="ru-RU"/>
        </w:rPr>
        <w:t>Таблица</w:t>
      </w:r>
      <w:r w:rsidRPr="00F71B34">
        <w:rPr>
          <w:rFonts w:ascii="Times New Roman" w:eastAsia="Times New Roman" w:hAnsi="Times New Roman"/>
          <w:sz w:val="28"/>
          <w:szCs w:val="28"/>
          <w:lang w:eastAsia="ru-RU"/>
        </w:rPr>
        <w:t xml:space="preserve"> 20</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Денситометрические показатели шейки бедра</w:t>
      </w:r>
      <w:r w:rsidR="006F434A">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у больных РА в зависимости от ФК и варианта терапии исходно и через</w:t>
      </w:r>
      <w:r w:rsidR="006F434A">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4</w:t>
      </w:r>
      <w:r w:rsidR="006F434A">
        <w:rPr>
          <w:rFonts w:ascii="Times New Roman" w:eastAsia="Times New Roman" w:hAnsi="Times New Roman"/>
          <w:sz w:val="28"/>
          <w:szCs w:val="28"/>
          <w:lang w:eastAsia="ru-RU"/>
        </w:rPr>
        <w:t>8 месяцев</w:t>
      </w:r>
      <w:r w:rsidRPr="00F71B34">
        <w:rPr>
          <w:rFonts w:ascii="Times New Roman" w:eastAsia="Times New Roman" w:hAnsi="Times New Roman"/>
          <w:sz w:val="28"/>
          <w:szCs w:val="28"/>
          <w:lang w:eastAsia="ru-RU"/>
        </w:rPr>
        <w:t xml:space="preserve"> наблюдения (М±</w:t>
      </w:r>
      <w:r w:rsidRPr="00F71B34">
        <w:rPr>
          <w:rFonts w:ascii="Times New Roman" w:eastAsia="Times New Roman" w:hAnsi="Times New Roman"/>
          <w:sz w:val="28"/>
          <w:szCs w:val="28"/>
          <w:lang w:val="en-US" w:eastAsia="ru-RU"/>
        </w:rPr>
        <w:t>m</w:t>
      </w:r>
      <w:r w:rsidRPr="00F71B34">
        <w:rPr>
          <w:rFonts w:ascii="Times New Roman" w:eastAsia="Times New Roman" w:hAnsi="Times New Roman"/>
          <w:sz w:val="28"/>
          <w:szCs w:val="28"/>
          <w:lang w:eastAsia="ru-RU"/>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2276"/>
        <w:gridCol w:w="1791"/>
        <w:gridCol w:w="1698"/>
        <w:gridCol w:w="771"/>
        <w:gridCol w:w="1300"/>
        <w:gridCol w:w="1543"/>
        <w:gridCol w:w="682"/>
      </w:tblGrid>
      <w:tr w:rsidR="00106F5E" w:rsidRPr="008D6B36" w:rsidTr="00106F5E">
        <w:trPr>
          <w:trHeight w:val="256"/>
          <w:jc w:val="center"/>
        </w:trPr>
        <w:tc>
          <w:tcPr>
            <w:tcW w:w="1131" w:type="pct"/>
            <w:vMerge w:val="restart"/>
            <w:shd w:val="clear" w:color="auto" w:fill="auto"/>
            <w:vAlign w:val="center"/>
          </w:tcPr>
          <w:p w:rsidR="00106F5E" w:rsidRPr="00654A6C" w:rsidRDefault="00106F5E"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 </w:t>
            </w:r>
          </w:p>
          <w:p w:rsidR="00106F5E" w:rsidRPr="00654A6C" w:rsidRDefault="00106F5E"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 xml:space="preserve">(А – </w:t>
            </w:r>
            <w:r w:rsidRPr="00654A6C">
              <w:rPr>
                <w:rFonts w:ascii="Times New Roman" w:eastAsia="Times New Roman" w:hAnsi="Times New Roman"/>
                <w:sz w:val="24"/>
                <w:szCs w:val="24"/>
                <w:lang w:val="en-US" w:eastAsia="ru-RU"/>
              </w:rPr>
              <w:t>I</w:t>
            </w:r>
            <w:r w:rsidRPr="00654A6C">
              <w:rPr>
                <w:rFonts w:ascii="Times New Roman" w:eastAsia="Times New Roman" w:hAnsi="Times New Roman"/>
                <w:sz w:val="24"/>
                <w:szCs w:val="24"/>
                <w:lang w:eastAsia="ru-RU"/>
              </w:rPr>
              <w:t>–</w:t>
            </w:r>
            <w:r w:rsidRPr="00654A6C">
              <w:rPr>
                <w:rFonts w:ascii="Times New Roman" w:eastAsia="Times New Roman" w:hAnsi="Times New Roman"/>
                <w:sz w:val="24"/>
                <w:szCs w:val="24"/>
                <w:lang w:val="en-US" w:eastAsia="ru-RU"/>
              </w:rPr>
              <w:t>II</w:t>
            </w:r>
            <w:r w:rsidRPr="00654A6C">
              <w:rPr>
                <w:rFonts w:ascii="Times New Roman" w:eastAsia="Times New Roman" w:hAnsi="Times New Roman"/>
                <w:sz w:val="24"/>
                <w:szCs w:val="24"/>
                <w:lang w:eastAsia="ru-RU"/>
              </w:rPr>
              <w:t xml:space="preserve"> ФК, </w:t>
            </w:r>
            <w:proofErr w:type="gramEnd"/>
          </w:p>
          <w:p w:rsidR="00106F5E" w:rsidRPr="00654A6C" w:rsidRDefault="00106F5E" w:rsidP="00106F5E">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В –</w:t>
            </w:r>
            <w:r w:rsidRPr="00654A6C">
              <w:rPr>
                <w:rFonts w:ascii="Times New Roman" w:eastAsia="Times New Roman" w:hAnsi="Times New Roman"/>
                <w:sz w:val="24"/>
                <w:szCs w:val="24"/>
              </w:rPr>
              <w:t xml:space="preserve"> </w:t>
            </w:r>
            <w:r w:rsidRPr="00654A6C">
              <w:rPr>
                <w:rFonts w:ascii="Times New Roman" w:eastAsia="Times New Roman" w:hAnsi="Times New Roman"/>
                <w:sz w:val="24"/>
                <w:szCs w:val="24"/>
                <w:lang w:eastAsia="ru-RU"/>
              </w:rPr>
              <w:t>III</w:t>
            </w:r>
            <w:r>
              <w:rPr>
                <w:rFonts w:ascii="Times New Roman" w:eastAsia="Times New Roman" w:hAnsi="Times New Roman"/>
                <w:sz w:val="24"/>
                <w:szCs w:val="24"/>
                <w:lang w:eastAsia="ru-RU"/>
              </w:rPr>
              <w:t>–</w:t>
            </w:r>
            <w:r w:rsidRPr="00654A6C">
              <w:rPr>
                <w:rFonts w:ascii="Times New Roman" w:eastAsia="Times New Roman" w:hAnsi="Times New Roman"/>
                <w:sz w:val="24"/>
                <w:szCs w:val="24"/>
                <w:lang w:eastAsia="ru-RU"/>
              </w:rPr>
              <w:t>IV ФК)</w:t>
            </w:r>
            <w:proofErr w:type="gramEnd"/>
          </w:p>
        </w:tc>
        <w:tc>
          <w:tcPr>
            <w:tcW w:w="3869" w:type="pct"/>
            <w:gridSpan w:val="6"/>
            <w:shd w:val="clear" w:color="auto" w:fill="auto"/>
            <w:vAlign w:val="center"/>
          </w:tcPr>
          <w:p w:rsidR="00106F5E" w:rsidRPr="00654A6C" w:rsidRDefault="00106F5E" w:rsidP="00106F5E">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106F5E" w:rsidRPr="008D6B36" w:rsidTr="00106F5E">
        <w:trPr>
          <w:trHeight w:val="262"/>
          <w:jc w:val="center"/>
        </w:trPr>
        <w:tc>
          <w:tcPr>
            <w:tcW w:w="1131" w:type="pct"/>
            <w:vMerge/>
            <w:shd w:val="clear" w:color="auto" w:fill="auto"/>
            <w:vAlign w:val="center"/>
          </w:tcPr>
          <w:p w:rsidR="00106F5E" w:rsidRPr="00654A6C" w:rsidRDefault="00106F5E" w:rsidP="00654A6C">
            <w:pPr>
              <w:spacing w:after="0" w:line="360" w:lineRule="auto"/>
              <w:ind w:right="-82"/>
              <w:jc w:val="center"/>
              <w:rPr>
                <w:rFonts w:ascii="Times New Roman" w:eastAsia="Times New Roman" w:hAnsi="Times New Roman"/>
                <w:sz w:val="24"/>
                <w:szCs w:val="24"/>
                <w:lang w:eastAsia="ru-RU"/>
              </w:rPr>
            </w:pPr>
          </w:p>
        </w:tc>
        <w:tc>
          <w:tcPr>
            <w:tcW w:w="2117" w:type="pct"/>
            <w:gridSpan w:val="3"/>
            <w:shd w:val="clear" w:color="auto" w:fill="auto"/>
            <w:vAlign w:val="center"/>
          </w:tcPr>
          <w:p w:rsidR="00106F5E" w:rsidRPr="00654A6C" w:rsidRDefault="00106F5E"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752" w:type="pct"/>
            <w:gridSpan w:val="3"/>
            <w:tcBorders>
              <w:bottom w:val="single" w:sz="4" w:space="0" w:color="auto"/>
            </w:tcBorders>
            <w:shd w:val="clear" w:color="auto" w:fill="auto"/>
            <w:vAlign w:val="center"/>
          </w:tcPr>
          <w:p w:rsidR="00106F5E" w:rsidRPr="00654A6C" w:rsidRDefault="00106F5E"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DB0FD6" w:rsidRPr="008D6B36" w:rsidTr="00106F5E">
        <w:trPr>
          <w:jc w:val="center"/>
        </w:trPr>
        <w:tc>
          <w:tcPr>
            <w:tcW w:w="1131" w:type="pct"/>
            <w:vMerge/>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c>
          <w:tcPr>
            <w:tcW w:w="890" w:type="pct"/>
            <w:shd w:val="clear" w:color="auto" w:fill="auto"/>
            <w:vAlign w:val="center"/>
          </w:tcPr>
          <w:p w:rsidR="00DB0FD6" w:rsidRPr="00654A6C" w:rsidRDefault="00106F5E"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DB0FD6" w:rsidRPr="00654A6C">
              <w:rPr>
                <w:rFonts w:ascii="Times New Roman" w:eastAsia="Times New Roman" w:hAnsi="Times New Roman"/>
                <w:sz w:val="24"/>
                <w:szCs w:val="24"/>
                <w:lang w:eastAsia="ru-RU"/>
              </w:rPr>
              <w:t>сходно</w:t>
            </w:r>
          </w:p>
        </w:tc>
        <w:tc>
          <w:tcPr>
            <w:tcW w:w="844" w:type="pct"/>
            <w:shd w:val="clear" w:color="auto" w:fill="auto"/>
            <w:vAlign w:val="center"/>
          </w:tcPr>
          <w:p w:rsidR="00DB0FD6" w:rsidRPr="00654A6C" w:rsidRDefault="00106F5E"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DB0FD6" w:rsidRPr="00654A6C">
              <w:rPr>
                <w:rFonts w:ascii="Times New Roman" w:eastAsia="Times New Roman" w:hAnsi="Times New Roman"/>
                <w:sz w:val="24"/>
                <w:szCs w:val="24"/>
                <w:lang w:eastAsia="ru-RU"/>
              </w:rPr>
              <w:t>ерез 48 мес.</w:t>
            </w:r>
          </w:p>
        </w:tc>
        <w:tc>
          <w:tcPr>
            <w:tcW w:w="383"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46" w:type="pct"/>
            <w:tcBorders>
              <w:top w:val="single" w:sz="4" w:space="0" w:color="auto"/>
            </w:tcBorders>
            <w:shd w:val="clear" w:color="auto" w:fill="auto"/>
            <w:vAlign w:val="center"/>
          </w:tcPr>
          <w:p w:rsidR="00DB0FD6" w:rsidRPr="00654A6C" w:rsidRDefault="00106F5E"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DB0FD6" w:rsidRPr="00654A6C">
              <w:rPr>
                <w:rFonts w:ascii="Times New Roman" w:eastAsia="Times New Roman" w:hAnsi="Times New Roman"/>
                <w:sz w:val="24"/>
                <w:szCs w:val="24"/>
                <w:lang w:eastAsia="ru-RU"/>
              </w:rPr>
              <w:t>сходно</w:t>
            </w:r>
          </w:p>
        </w:tc>
        <w:tc>
          <w:tcPr>
            <w:tcW w:w="767" w:type="pct"/>
            <w:tcBorders>
              <w:top w:val="single" w:sz="4" w:space="0" w:color="auto"/>
            </w:tcBorders>
            <w:shd w:val="clear" w:color="auto" w:fill="auto"/>
            <w:vAlign w:val="center"/>
          </w:tcPr>
          <w:p w:rsidR="00DB0FD6" w:rsidRPr="00654A6C" w:rsidRDefault="00106F5E"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DB0FD6" w:rsidRPr="00654A6C">
              <w:rPr>
                <w:rFonts w:ascii="Times New Roman" w:eastAsia="Times New Roman" w:hAnsi="Times New Roman"/>
                <w:sz w:val="24"/>
                <w:szCs w:val="24"/>
                <w:lang w:eastAsia="ru-RU"/>
              </w:rPr>
              <w:t>ерез 48 мес.</w:t>
            </w:r>
          </w:p>
        </w:tc>
        <w:tc>
          <w:tcPr>
            <w:tcW w:w="339" w:type="pct"/>
            <w:tcBorders>
              <w:top w:val="single" w:sz="4" w:space="0" w:color="auto"/>
            </w:tcBorders>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DB0FD6" w:rsidRPr="008D6B36" w:rsidTr="00106F5E">
        <w:trPr>
          <w:jc w:val="center"/>
        </w:trPr>
        <w:tc>
          <w:tcPr>
            <w:tcW w:w="1131"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89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0,7740±0,018</w:t>
            </w:r>
          </w:p>
        </w:tc>
        <w:tc>
          <w:tcPr>
            <w:tcW w:w="844"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val="en-US" w:eastAsia="ru-RU"/>
              </w:rPr>
            </w:pPr>
            <w:r w:rsidRPr="00654A6C">
              <w:rPr>
                <w:rFonts w:ascii="Times New Roman" w:eastAsia="Times New Roman" w:hAnsi="Times New Roman"/>
                <w:spacing w:val="-8"/>
                <w:sz w:val="24"/>
                <w:szCs w:val="24"/>
                <w:lang w:eastAsia="ru-RU"/>
              </w:rPr>
              <w:t>0,8324</w:t>
            </w:r>
            <w:r w:rsidRPr="00654A6C">
              <w:rPr>
                <w:rFonts w:ascii="Times New Roman" w:eastAsia="Times New Roman" w:hAnsi="Times New Roman"/>
                <w:sz w:val="24"/>
                <w:szCs w:val="24"/>
                <w:lang w:eastAsia="ru-RU"/>
              </w:rPr>
              <w:t>±</w:t>
            </w:r>
            <w:r w:rsidRPr="00654A6C">
              <w:rPr>
                <w:rFonts w:ascii="Times New Roman" w:eastAsia="Times New Roman" w:hAnsi="Times New Roman"/>
                <w:spacing w:val="-8"/>
                <w:sz w:val="24"/>
                <w:szCs w:val="24"/>
                <w:lang w:eastAsia="ru-RU"/>
              </w:rPr>
              <w:t>0,023</w:t>
            </w:r>
          </w:p>
        </w:tc>
        <w:tc>
          <w:tcPr>
            <w:tcW w:w="383"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0,0002</w:t>
            </w:r>
          </w:p>
        </w:tc>
        <w:tc>
          <w:tcPr>
            <w:tcW w:w="646"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-1,96±0,15</w:t>
            </w:r>
          </w:p>
        </w:tc>
        <w:tc>
          <w:tcPr>
            <w:tcW w:w="767"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-1,50±0,19</w:t>
            </w:r>
          </w:p>
        </w:tc>
        <w:tc>
          <w:tcPr>
            <w:tcW w:w="339"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0,003</w:t>
            </w:r>
          </w:p>
        </w:tc>
      </w:tr>
      <w:tr w:rsidR="00DB0FD6" w:rsidRPr="008D6B36" w:rsidTr="00106F5E">
        <w:trPr>
          <w:jc w:val="center"/>
        </w:trPr>
        <w:tc>
          <w:tcPr>
            <w:tcW w:w="1131"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89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0,7246±0,048</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0,8333</w:t>
            </w:r>
            <w:r w:rsidRPr="00654A6C">
              <w:rPr>
                <w:rFonts w:ascii="Times New Roman" w:eastAsia="Times New Roman" w:hAnsi="Times New Roman"/>
                <w:sz w:val="24"/>
                <w:szCs w:val="24"/>
                <w:lang w:eastAsia="ru-RU"/>
              </w:rPr>
              <w:t>±</w:t>
            </w:r>
            <w:r w:rsidRPr="00654A6C">
              <w:rPr>
                <w:rFonts w:ascii="Times New Roman" w:eastAsia="Times New Roman" w:hAnsi="Times New Roman"/>
                <w:spacing w:val="-8"/>
                <w:sz w:val="24"/>
                <w:szCs w:val="24"/>
                <w:lang w:eastAsia="ru-RU"/>
              </w:rPr>
              <w:t>0,060</w:t>
            </w:r>
          </w:p>
        </w:tc>
        <w:tc>
          <w:tcPr>
            <w:tcW w:w="383"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0,043</w:t>
            </w:r>
          </w:p>
        </w:tc>
        <w:tc>
          <w:tcPr>
            <w:tcW w:w="646"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-2,52±0,37</w:t>
            </w:r>
          </w:p>
        </w:tc>
        <w:tc>
          <w:tcPr>
            <w:tcW w:w="767"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-1,62±0,43</w:t>
            </w:r>
          </w:p>
        </w:tc>
        <w:tc>
          <w:tcPr>
            <w:tcW w:w="339"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0,028</w:t>
            </w:r>
          </w:p>
        </w:tc>
      </w:tr>
      <w:tr w:rsidR="00DB0FD6" w:rsidRPr="008D6B36" w:rsidTr="00106F5E">
        <w:trPr>
          <w:jc w:val="center"/>
        </w:trPr>
        <w:tc>
          <w:tcPr>
            <w:tcW w:w="1131"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89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0,7981±0,026</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0,7594</w:t>
            </w:r>
            <w:r w:rsidRPr="00654A6C">
              <w:rPr>
                <w:rFonts w:ascii="Times New Roman" w:eastAsia="Times New Roman" w:hAnsi="Times New Roman"/>
                <w:sz w:val="24"/>
                <w:szCs w:val="24"/>
                <w:lang w:eastAsia="ru-RU"/>
              </w:rPr>
              <w:t>±</w:t>
            </w:r>
            <w:r w:rsidRPr="00654A6C">
              <w:rPr>
                <w:rFonts w:ascii="Times New Roman" w:eastAsia="Times New Roman" w:hAnsi="Times New Roman"/>
                <w:spacing w:val="-8"/>
                <w:sz w:val="24"/>
                <w:szCs w:val="24"/>
                <w:lang w:eastAsia="ru-RU"/>
              </w:rPr>
              <w:t>0,034</w:t>
            </w:r>
          </w:p>
        </w:tc>
        <w:tc>
          <w:tcPr>
            <w:tcW w:w="383"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0,091</w:t>
            </w:r>
          </w:p>
        </w:tc>
        <w:tc>
          <w:tcPr>
            <w:tcW w:w="646"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-1,79±0,24</w:t>
            </w:r>
          </w:p>
        </w:tc>
        <w:tc>
          <w:tcPr>
            <w:tcW w:w="767"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-2,17±0,32</w:t>
            </w:r>
          </w:p>
        </w:tc>
        <w:tc>
          <w:tcPr>
            <w:tcW w:w="339"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0,091</w:t>
            </w:r>
          </w:p>
        </w:tc>
      </w:tr>
      <w:tr w:rsidR="00DB0FD6" w:rsidRPr="008D6B36" w:rsidTr="00106F5E">
        <w:trPr>
          <w:jc w:val="center"/>
        </w:trPr>
        <w:tc>
          <w:tcPr>
            <w:tcW w:w="1131"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89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val="en-US" w:eastAsia="ru-RU"/>
              </w:rPr>
            </w:pPr>
            <w:r w:rsidRPr="00654A6C">
              <w:rPr>
                <w:rFonts w:ascii="Times New Roman" w:eastAsia="Times New Roman" w:hAnsi="Times New Roman"/>
                <w:sz w:val="24"/>
                <w:szCs w:val="24"/>
                <w:lang w:eastAsia="ru-RU"/>
              </w:rPr>
              <w:t>0,7711±0,03</w:t>
            </w:r>
            <w:r w:rsidRPr="00654A6C">
              <w:rPr>
                <w:rFonts w:ascii="Times New Roman" w:eastAsia="Times New Roman" w:hAnsi="Times New Roman"/>
                <w:sz w:val="24"/>
                <w:szCs w:val="24"/>
                <w:lang w:val="en-US" w:eastAsia="ru-RU"/>
              </w:rPr>
              <w:t>0</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0,7097</w:t>
            </w:r>
            <w:r w:rsidRPr="00654A6C">
              <w:rPr>
                <w:rFonts w:ascii="Times New Roman" w:eastAsia="Times New Roman" w:hAnsi="Times New Roman"/>
                <w:sz w:val="24"/>
                <w:szCs w:val="24"/>
                <w:lang w:eastAsia="ru-RU"/>
              </w:rPr>
              <w:t>±</w:t>
            </w:r>
            <w:r w:rsidRPr="00654A6C">
              <w:rPr>
                <w:rFonts w:ascii="Times New Roman" w:eastAsia="Times New Roman" w:hAnsi="Times New Roman"/>
                <w:spacing w:val="-8"/>
                <w:sz w:val="24"/>
                <w:szCs w:val="24"/>
                <w:lang w:eastAsia="ru-RU"/>
              </w:rPr>
              <w:t>0,046</w:t>
            </w:r>
          </w:p>
        </w:tc>
        <w:tc>
          <w:tcPr>
            <w:tcW w:w="383"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0,225</w:t>
            </w:r>
          </w:p>
        </w:tc>
        <w:tc>
          <w:tcPr>
            <w:tcW w:w="646"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-1,76±0,25</w:t>
            </w:r>
          </w:p>
        </w:tc>
        <w:tc>
          <w:tcPr>
            <w:tcW w:w="767"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-2,45±0,38</w:t>
            </w:r>
          </w:p>
        </w:tc>
        <w:tc>
          <w:tcPr>
            <w:tcW w:w="339"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0,080</w:t>
            </w:r>
          </w:p>
        </w:tc>
      </w:tr>
      <w:tr w:rsidR="00DB0FD6" w:rsidRPr="008D6B36" w:rsidTr="00106F5E">
        <w:trPr>
          <w:jc w:val="center"/>
        </w:trPr>
        <w:tc>
          <w:tcPr>
            <w:tcW w:w="1131"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89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0,327</w:t>
            </w:r>
          </w:p>
        </w:tc>
        <w:tc>
          <w:tcPr>
            <w:tcW w:w="844"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0,876</w:t>
            </w:r>
          </w:p>
        </w:tc>
        <w:tc>
          <w:tcPr>
            <w:tcW w:w="383"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c>
          <w:tcPr>
            <w:tcW w:w="646"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0,104</w:t>
            </w:r>
          </w:p>
        </w:tc>
        <w:tc>
          <w:tcPr>
            <w:tcW w:w="767"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0,697</w:t>
            </w:r>
          </w:p>
        </w:tc>
        <w:tc>
          <w:tcPr>
            <w:tcW w:w="339"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r>
      <w:tr w:rsidR="00DB0FD6" w:rsidRPr="008D6B36" w:rsidTr="00106F5E">
        <w:trPr>
          <w:jc w:val="center"/>
        </w:trPr>
        <w:tc>
          <w:tcPr>
            <w:tcW w:w="1131"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9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0,583</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0,398</w:t>
            </w:r>
          </w:p>
        </w:tc>
        <w:tc>
          <w:tcPr>
            <w:tcW w:w="383"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p>
        </w:tc>
        <w:tc>
          <w:tcPr>
            <w:tcW w:w="646"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1,00</w:t>
            </w:r>
          </w:p>
        </w:tc>
        <w:tc>
          <w:tcPr>
            <w:tcW w:w="767"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val="en-US" w:eastAsia="ru-RU"/>
              </w:rPr>
            </w:pPr>
            <w:r w:rsidRPr="00654A6C">
              <w:rPr>
                <w:rFonts w:ascii="Times New Roman" w:eastAsia="Times New Roman" w:hAnsi="Times New Roman"/>
                <w:spacing w:val="-8"/>
                <w:sz w:val="24"/>
                <w:szCs w:val="24"/>
                <w:lang w:val="en-US" w:eastAsia="ru-RU"/>
              </w:rPr>
              <w:t>0</w:t>
            </w:r>
            <w:r w:rsidRPr="00654A6C">
              <w:rPr>
                <w:rFonts w:ascii="Times New Roman" w:eastAsia="Times New Roman" w:hAnsi="Times New Roman"/>
                <w:spacing w:val="-8"/>
                <w:sz w:val="24"/>
                <w:szCs w:val="24"/>
                <w:lang w:eastAsia="ru-RU"/>
              </w:rPr>
              <w:t>,735</w:t>
            </w:r>
          </w:p>
        </w:tc>
        <w:tc>
          <w:tcPr>
            <w:tcW w:w="339"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val="en-US" w:eastAsia="ru-RU"/>
              </w:rPr>
            </w:pPr>
          </w:p>
        </w:tc>
      </w:tr>
      <w:tr w:rsidR="00DB0FD6" w:rsidRPr="008D6B36" w:rsidTr="00106F5E">
        <w:trPr>
          <w:jc w:val="center"/>
        </w:trPr>
        <w:tc>
          <w:tcPr>
            <w:tcW w:w="1131"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9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0,373</w:t>
            </w:r>
          </w:p>
        </w:tc>
        <w:tc>
          <w:tcPr>
            <w:tcW w:w="844"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0,115</w:t>
            </w:r>
          </w:p>
        </w:tc>
        <w:tc>
          <w:tcPr>
            <w:tcW w:w="383"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c>
          <w:tcPr>
            <w:tcW w:w="646"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0,501</w:t>
            </w:r>
          </w:p>
        </w:tc>
        <w:tc>
          <w:tcPr>
            <w:tcW w:w="767"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0,070</w:t>
            </w:r>
          </w:p>
        </w:tc>
        <w:tc>
          <w:tcPr>
            <w:tcW w:w="339"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r>
      <w:tr w:rsidR="00DB0FD6" w:rsidRPr="008D6B36" w:rsidTr="00106F5E">
        <w:trPr>
          <w:jc w:val="center"/>
        </w:trPr>
        <w:tc>
          <w:tcPr>
            <w:tcW w:w="1131"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9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0,374</w:t>
            </w:r>
          </w:p>
        </w:tc>
        <w:tc>
          <w:tcPr>
            <w:tcW w:w="844"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0,200</w:t>
            </w:r>
          </w:p>
        </w:tc>
        <w:tc>
          <w:tcPr>
            <w:tcW w:w="383"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c>
          <w:tcPr>
            <w:tcW w:w="646"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0,110</w:t>
            </w:r>
          </w:p>
        </w:tc>
        <w:tc>
          <w:tcPr>
            <w:tcW w:w="767"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0,423</w:t>
            </w:r>
          </w:p>
        </w:tc>
        <w:tc>
          <w:tcPr>
            <w:tcW w:w="339"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r>
    </w:tbl>
    <w:p w:rsidR="00DB0FD6" w:rsidRPr="00F71B34" w:rsidRDefault="00DB0FD6" w:rsidP="00F71B34">
      <w:pPr>
        <w:spacing w:after="0" w:line="360" w:lineRule="auto"/>
        <w:ind w:firstLine="708"/>
        <w:jc w:val="both"/>
        <w:rPr>
          <w:rFonts w:ascii="Times New Roman" w:eastAsia="Times New Roman" w:hAnsi="Times New Roman"/>
          <w:color w:val="FF0000"/>
          <w:sz w:val="28"/>
          <w:szCs w:val="28"/>
          <w:lang w:eastAsia="ru-RU"/>
        </w:rPr>
      </w:pPr>
    </w:p>
    <w:p w:rsidR="00DB0FD6" w:rsidRPr="00F71B34" w:rsidRDefault="006F434A" w:rsidP="00F71B34">
      <w:pPr>
        <w:spacing w:after="0" w:line="360" w:lineRule="auto"/>
        <w:ind w:firstLine="708"/>
        <w:jc w:val="both"/>
        <w:rPr>
          <w:rFonts w:ascii="Times New Roman" w:eastAsia="Times New Roman" w:hAnsi="Times New Roman"/>
          <w:sz w:val="28"/>
          <w:szCs w:val="28"/>
          <w:lang w:eastAsia="ru-RU"/>
        </w:rPr>
      </w:pPr>
      <w:r w:rsidRPr="006F434A">
        <w:rPr>
          <w:rFonts w:ascii="Times New Roman" w:eastAsia="Times New Roman" w:hAnsi="Times New Roman"/>
          <w:spacing w:val="40"/>
          <w:sz w:val="28"/>
          <w:szCs w:val="28"/>
          <w:lang w:eastAsia="ru-RU"/>
        </w:rPr>
        <w:lastRenderedPageBreak/>
        <w:t>Таблица</w:t>
      </w:r>
      <w:r w:rsidR="00DB0FD6" w:rsidRPr="00F71B34">
        <w:rPr>
          <w:rFonts w:ascii="Times New Roman" w:eastAsia="Times New Roman" w:hAnsi="Times New Roman"/>
          <w:sz w:val="28"/>
          <w:szCs w:val="28"/>
          <w:lang w:eastAsia="ru-RU"/>
        </w:rPr>
        <w:t xml:space="preserve"> 21</w:t>
      </w:r>
      <w:r w:rsidR="00CD2EDC">
        <w:rPr>
          <w:rFonts w:ascii="Times New Roman" w:eastAsia="Times New Roman" w:hAnsi="Times New Roman"/>
          <w:sz w:val="28"/>
          <w:szCs w:val="28"/>
          <w:lang w:eastAsia="ru-RU"/>
        </w:rPr>
        <w:t xml:space="preserve"> – </w:t>
      </w:r>
      <w:r w:rsidR="00DB0FD6" w:rsidRPr="00F71B34">
        <w:rPr>
          <w:rFonts w:ascii="Times New Roman" w:eastAsia="Times New Roman" w:hAnsi="Times New Roman"/>
          <w:sz w:val="28"/>
          <w:szCs w:val="28"/>
          <w:lang w:eastAsia="ru-RU"/>
        </w:rPr>
        <w:t>Денситометрические показатели поясничного отдела позвоночника у больных РА в зависимости от функционального класса и варианта терапии исходно и через 4</w:t>
      </w:r>
      <w:r w:rsidR="00106F5E">
        <w:rPr>
          <w:rFonts w:ascii="Times New Roman" w:eastAsia="Times New Roman" w:hAnsi="Times New Roman"/>
          <w:sz w:val="28"/>
          <w:szCs w:val="28"/>
          <w:lang w:eastAsia="ru-RU"/>
        </w:rPr>
        <w:t>8 месяцев</w:t>
      </w:r>
      <w:r w:rsidR="00DB0FD6" w:rsidRPr="00F71B34">
        <w:rPr>
          <w:rFonts w:ascii="Times New Roman" w:eastAsia="Times New Roman" w:hAnsi="Times New Roman"/>
          <w:sz w:val="28"/>
          <w:szCs w:val="28"/>
          <w:lang w:eastAsia="ru-RU"/>
        </w:rPr>
        <w:t xml:space="preserve"> наблюдения (М±</w:t>
      </w:r>
      <w:r w:rsidR="00DB0FD6" w:rsidRPr="00F71B34">
        <w:rPr>
          <w:rFonts w:ascii="Times New Roman" w:eastAsia="Times New Roman" w:hAnsi="Times New Roman"/>
          <w:sz w:val="28"/>
          <w:szCs w:val="28"/>
          <w:lang w:val="en-US" w:eastAsia="ru-RU"/>
        </w:rPr>
        <w:t>m</w:t>
      </w:r>
      <w:r w:rsidR="00DB0FD6" w:rsidRPr="00F71B34">
        <w:rPr>
          <w:rFonts w:ascii="Times New Roman" w:eastAsia="Times New Roman" w:hAnsi="Times New Roman"/>
          <w:sz w:val="28"/>
          <w:szCs w:val="28"/>
          <w:lang w:eastAsia="ru-RU"/>
        </w:rPr>
        <w:t>)</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19"/>
        <w:gridCol w:w="1654"/>
        <w:gridCol w:w="1599"/>
        <w:gridCol w:w="802"/>
        <w:gridCol w:w="1348"/>
        <w:gridCol w:w="1646"/>
        <w:gridCol w:w="683"/>
      </w:tblGrid>
      <w:tr w:rsidR="00106F5E" w:rsidRPr="008D6B36" w:rsidTr="00106F5E">
        <w:trPr>
          <w:trHeight w:val="321"/>
          <w:jc w:val="center"/>
        </w:trPr>
        <w:tc>
          <w:tcPr>
            <w:tcW w:w="1036" w:type="pct"/>
            <w:vMerge w:val="restart"/>
            <w:shd w:val="clear" w:color="auto" w:fill="auto"/>
            <w:vAlign w:val="center"/>
          </w:tcPr>
          <w:p w:rsidR="00106F5E" w:rsidRPr="00654A6C" w:rsidRDefault="00106F5E"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а</w:t>
            </w:r>
            <w:r w:rsidRPr="00654A6C">
              <w:rPr>
                <w:rFonts w:ascii="Times New Roman" w:eastAsia="Times New Roman" w:hAnsi="Times New Roman"/>
                <w:sz w:val="24"/>
                <w:szCs w:val="24"/>
                <w:lang w:eastAsia="ru-RU"/>
              </w:rPr>
              <w:t xml:space="preserve"> больных </w:t>
            </w:r>
          </w:p>
          <w:p w:rsidR="00106F5E" w:rsidRPr="00654A6C" w:rsidRDefault="00106F5E"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 xml:space="preserve">(А – </w:t>
            </w:r>
            <w:r w:rsidRPr="00654A6C">
              <w:rPr>
                <w:rFonts w:ascii="Times New Roman" w:eastAsia="Times New Roman" w:hAnsi="Times New Roman"/>
                <w:sz w:val="24"/>
                <w:szCs w:val="24"/>
                <w:lang w:val="en-US" w:eastAsia="ru-RU"/>
              </w:rPr>
              <w:t>I</w:t>
            </w:r>
            <w:r w:rsidRPr="00654A6C">
              <w:rPr>
                <w:rFonts w:ascii="Times New Roman" w:eastAsia="Times New Roman" w:hAnsi="Times New Roman"/>
                <w:sz w:val="24"/>
                <w:szCs w:val="24"/>
                <w:lang w:eastAsia="ru-RU"/>
              </w:rPr>
              <w:t>–</w:t>
            </w:r>
            <w:r w:rsidRPr="00654A6C">
              <w:rPr>
                <w:rFonts w:ascii="Times New Roman" w:eastAsia="Times New Roman" w:hAnsi="Times New Roman"/>
                <w:sz w:val="24"/>
                <w:szCs w:val="24"/>
                <w:lang w:val="en-US" w:eastAsia="ru-RU"/>
              </w:rPr>
              <w:t>II</w:t>
            </w:r>
            <w:r w:rsidRPr="00654A6C">
              <w:rPr>
                <w:rFonts w:ascii="Times New Roman" w:eastAsia="Times New Roman" w:hAnsi="Times New Roman"/>
                <w:sz w:val="24"/>
                <w:szCs w:val="24"/>
                <w:lang w:eastAsia="ru-RU"/>
              </w:rPr>
              <w:t xml:space="preserve"> ФК, </w:t>
            </w:r>
            <w:proofErr w:type="gramEnd"/>
          </w:p>
          <w:p w:rsidR="00106F5E" w:rsidRPr="00654A6C" w:rsidRDefault="00106F5E" w:rsidP="00106F5E">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В –</w:t>
            </w:r>
            <w:r w:rsidRPr="00654A6C">
              <w:rPr>
                <w:rFonts w:ascii="Times New Roman" w:eastAsia="Times New Roman" w:hAnsi="Times New Roman"/>
                <w:sz w:val="24"/>
                <w:szCs w:val="24"/>
              </w:rPr>
              <w:t xml:space="preserve"> </w:t>
            </w:r>
            <w:r w:rsidRPr="00654A6C">
              <w:rPr>
                <w:rFonts w:ascii="Times New Roman" w:eastAsia="Times New Roman" w:hAnsi="Times New Roman"/>
                <w:sz w:val="24"/>
                <w:szCs w:val="24"/>
                <w:lang w:eastAsia="ru-RU"/>
              </w:rPr>
              <w:t>III</w:t>
            </w:r>
            <w:r>
              <w:rPr>
                <w:rFonts w:ascii="Times New Roman" w:eastAsia="Times New Roman" w:hAnsi="Times New Roman"/>
                <w:sz w:val="24"/>
                <w:szCs w:val="24"/>
                <w:lang w:eastAsia="ru-RU"/>
              </w:rPr>
              <w:t>–</w:t>
            </w:r>
            <w:r w:rsidRPr="00654A6C">
              <w:rPr>
                <w:rFonts w:ascii="Times New Roman" w:eastAsia="Times New Roman" w:hAnsi="Times New Roman"/>
                <w:sz w:val="24"/>
                <w:szCs w:val="24"/>
                <w:lang w:eastAsia="ru-RU"/>
              </w:rPr>
              <w:t>IV ФК)</w:t>
            </w:r>
            <w:proofErr w:type="gramEnd"/>
          </w:p>
        </w:tc>
        <w:tc>
          <w:tcPr>
            <w:tcW w:w="3964" w:type="pct"/>
            <w:gridSpan w:val="6"/>
            <w:shd w:val="clear" w:color="auto" w:fill="auto"/>
            <w:vAlign w:val="center"/>
          </w:tcPr>
          <w:p w:rsidR="00106F5E" w:rsidRPr="00654A6C" w:rsidRDefault="00106F5E" w:rsidP="00106F5E">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w:t>
            </w:r>
          </w:p>
        </w:tc>
      </w:tr>
      <w:tr w:rsidR="00106F5E" w:rsidRPr="008D6B36" w:rsidTr="00106F5E">
        <w:trPr>
          <w:trHeight w:val="327"/>
          <w:jc w:val="center"/>
        </w:trPr>
        <w:tc>
          <w:tcPr>
            <w:tcW w:w="1036" w:type="pct"/>
            <w:vMerge/>
            <w:shd w:val="clear" w:color="auto" w:fill="auto"/>
            <w:vAlign w:val="center"/>
          </w:tcPr>
          <w:p w:rsidR="00106F5E" w:rsidRPr="00654A6C" w:rsidRDefault="00106F5E" w:rsidP="00654A6C">
            <w:pPr>
              <w:spacing w:after="0" w:line="360" w:lineRule="auto"/>
              <w:ind w:right="-82"/>
              <w:jc w:val="center"/>
              <w:rPr>
                <w:rFonts w:ascii="Times New Roman" w:eastAsia="Times New Roman" w:hAnsi="Times New Roman"/>
                <w:sz w:val="24"/>
                <w:szCs w:val="24"/>
                <w:lang w:eastAsia="ru-RU"/>
              </w:rPr>
            </w:pPr>
          </w:p>
        </w:tc>
        <w:tc>
          <w:tcPr>
            <w:tcW w:w="2079" w:type="pct"/>
            <w:gridSpan w:val="3"/>
            <w:shd w:val="clear" w:color="auto" w:fill="auto"/>
            <w:vAlign w:val="center"/>
          </w:tcPr>
          <w:p w:rsidR="00106F5E" w:rsidRPr="00654A6C" w:rsidRDefault="00106F5E"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МПК</w:t>
            </w:r>
          </w:p>
        </w:tc>
        <w:tc>
          <w:tcPr>
            <w:tcW w:w="1885" w:type="pct"/>
            <w:gridSpan w:val="3"/>
            <w:tcBorders>
              <w:bottom w:val="single" w:sz="4" w:space="0" w:color="auto"/>
            </w:tcBorders>
            <w:shd w:val="clear" w:color="auto" w:fill="auto"/>
            <w:vAlign w:val="center"/>
          </w:tcPr>
          <w:p w:rsidR="00106F5E" w:rsidRPr="00654A6C" w:rsidRDefault="00106F5E" w:rsidP="00994002">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Т-критерий</w:t>
            </w:r>
          </w:p>
        </w:tc>
      </w:tr>
      <w:tr w:rsidR="00DB0FD6" w:rsidRPr="008D6B36" w:rsidTr="00106F5E">
        <w:trPr>
          <w:jc w:val="center"/>
        </w:trPr>
        <w:tc>
          <w:tcPr>
            <w:tcW w:w="1036" w:type="pct"/>
            <w:vMerge/>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c>
          <w:tcPr>
            <w:tcW w:w="848" w:type="pct"/>
            <w:shd w:val="clear" w:color="auto" w:fill="auto"/>
            <w:vAlign w:val="center"/>
          </w:tcPr>
          <w:p w:rsidR="00DB0FD6" w:rsidRPr="00654A6C" w:rsidRDefault="00106F5E"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DB0FD6" w:rsidRPr="00654A6C">
              <w:rPr>
                <w:rFonts w:ascii="Times New Roman" w:eastAsia="Times New Roman" w:hAnsi="Times New Roman"/>
                <w:sz w:val="24"/>
                <w:szCs w:val="24"/>
                <w:lang w:eastAsia="ru-RU"/>
              </w:rPr>
              <w:t>сходно</w:t>
            </w:r>
          </w:p>
        </w:tc>
        <w:tc>
          <w:tcPr>
            <w:tcW w:w="820" w:type="pct"/>
            <w:shd w:val="clear" w:color="auto" w:fill="auto"/>
            <w:vAlign w:val="center"/>
          </w:tcPr>
          <w:p w:rsidR="00DB0FD6" w:rsidRPr="00654A6C" w:rsidRDefault="00106F5E"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DB0FD6" w:rsidRPr="00654A6C">
              <w:rPr>
                <w:rFonts w:ascii="Times New Roman" w:eastAsia="Times New Roman" w:hAnsi="Times New Roman"/>
                <w:sz w:val="24"/>
                <w:szCs w:val="24"/>
                <w:lang w:eastAsia="ru-RU"/>
              </w:rPr>
              <w:t>ерез 48 мес.</w:t>
            </w:r>
          </w:p>
        </w:tc>
        <w:tc>
          <w:tcPr>
            <w:tcW w:w="41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c>
          <w:tcPr>
            <w:tcW w:w="691" w:type="pct"/>
            <w:tcBorders>
              <w:top w:val="single" w:sz="4" w:space="0" w:color="auto"/>
            </w:tcBorders>
            <w:shd w:val="clear" w:color="auto" w:fill="auto"/>
            <w:vAlign w:val="center"/>
          </w:tcPr>
          <w:p w:rsidR="00DB0FD6" w:rsidRPr="00654A6C" w:rsidRDefault="00106F5E"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DB0FD6" w:rsidRPr="00654A6C">
              <w:rPr>
                <w:rFonts w:ascii="Times New Roman" w:eastAsia="Times New Roman" w:hAnsi="Times New Roman"/>
                <w:sz w:val="24"/>
                <w:szCs w:val="24"/>
                <w:lang w:eastAsia="ru-RU"/>
              </w:rPr>
              <w:t>сходно</w:t>
            </w:r>
          </w:p>
        </w:tc>
        <w:tc>
          <w:tcPr>
            <w:tcW w:w="844" w:type="pct"/>
            <w:tcBorders>
              <w:top w:val="single" w:sz="4" w:space="0" w:color="auto"/>
            </w:tcBorders>
            <w:shd w:val="clear" w:color="auto" w:fill="auto"/>
            <w:vAlign w:val="center"/>
          </w:tcPr>
          <w:p w:rsidR="00DB0FD6" w:rsidRPr="00654A6C" w:rsidRDefault="00106F5E" w:rsidP="00654A6C">
            <w:pPr>
              <w:spacing w:after="0" w:line="360" w:lineRule="auto"/>
              <w:ind w:right="-8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DB0FD6" w:rsidRPr="00654A6C">
              <w:rPr>
                <w:rFonts w:ascii="Times New Roman" w:eastAsia="Times New Roman" w:hAnsi="Times New Roman"/>
                <w:sz w:val="24"/>
                <w:szCs w:val="24"/>
                <w:lang w:eastAsia="ru-RU"/>
              </w:rPr>
              <w:t>ерез 48 мес.</w:t>
            </w:r>
          </w:p>
        </w:tc>
        <w:tc>
          <w:tcPr>
            <w:tcW w:w="350" w:type="pct"/>
            <w:tcBorders>
              <w:top w:val="single" w:sz="4" w:space="0" w:color="auto"/>
            </w:tcBorders>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p>
        </w:tc>
      </w:tr>
      <w:tr w:rsidR="00DB0FD6" w:rsidRPr="008D6B36" w:rsidTr="00106F5E">
        <w:trPr>
          <w:jc w:val="center"/>
        </w:trPr>
        <w:tc>
          <w:tcPr>
            <w:tcW w:w="1036"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1</w:t>
            </w:r>
            <w:proofErr w:type="gramEnd"/>
          </w:p>
        </w:tc>
        <w:tc>
          <w:tcPr>
            <w:tcW w:w="848"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0,9596±0,030</w:t>
            </w:r>
          </w:p>
        </w:tc>
        <w:tc>
          <w:tcPr>
            <w:tcW w:w="82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0,9484±0,0</w:t>
            </w:r>
            <w:r w:rsidRPr="00654A6C">
              <w:rPr>
                <w:rFonts w:ascii="Times New Roman" w:eastAsia="Times New Roman" w:hAnsi="Times New Roman"/>
                <w:spacing w:val="-8"/>
                <w:sz w:val="24"/>
                <w:szCs w:val="24"/>
                <w:lang w:val="en-US" w:eastAsia="ru-RU"/>
              </w:rPr>
              <w:t>4</w:t>
            </w:r>
            <w:r w:rsidRPr="00654A6C">
              <w:rPr>
                <w:rFonts w:ascii="Times New Roman" w:eastAsia="Times New Roman" w:hAnsi="Times New Roman"/>
                <w:spacing w:val="-8"/>
                <w:sz w:val="24"/>
                <w:szCs w:val="24"/>
                <w:lang w:eastAsia="ru-RU"/>
              </w:rPr>
              <w:t>1</w:t>
            </w:r>
          </w:p>
        </w:tc>
        <w:tc>
          <w:tcPr>
            <w:tcW w:w="41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0,918</w:t>
            </w:r>
          </w:p>
        </w:tc>
        <w:tc>
          <w:tcPr>
            <w:tcW w:w="691"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-0,76±0,17</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-0,90±0,24</w:t>
            </w:r>
          </w:p>
        </w:tc>
        <w:tc>
          <w:tcPr>
            <w:tcW w:w="35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0,535</w:t>
            </w:r>
          </w:p>
        </w:tc>
      </w:tr>
      <w:tr w:rsidR="00DB0FD6" w:rsidRPr="008D6B36" w:rsidTr="00106F5E">
        <w:trPr>
          <w:jc w:val="center"/>
        </w:trPr>
        <w:tc>
          <w:tcPr>
            <w:tcW w:w="1036"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1</w:t>
            </w:r>
            <w:proofErr w:type="gramEnd"/>
          </w:p>
        </w:tc>
        <w:tc>
          <w:tcPr>
            <w:tcW w:w="848"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0,9402±0,091</w:t>
            </w:r>
          </w:p>
        </w:tc>
        <w:tc>
          <w:tcPr>
            <w:tcW w:w="82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0,9323±0,110</w:t>
            </w:r>
          </w:p>
        </w:tc>
        <w:tc>
          <w:tcPr>
            <w:tcW w:w="41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0,079</w:t>
            </w:r>
          </w:p>
        </w:tc>
        <w:tc>
          <w:tcPr>
            <w:tcW w:w="691"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-1,18±0,35</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-1,27±0,47</w:t>
            </w:r>
          </w:p>
        </w:tc>
        <w:tc>
          <w:tcPr>
            <w:tcW w:w="35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0,144</w:t>
            </w:r>
          </w:p>
        </w:tc>
      </w:tr>
      <w:tr w:rsidR="00DB0FD6" w:rsidRPr="008D6B36" w:rsidTr="00106F5E">
        <w:trPr>
          <w:jc w:val="center"/>
        </w:trPr>
        <w:tc>
          <w:tcPr>
            <w:tcW w:w="1036"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А</w:t>
            </w:r>
            <w:proofErr w:type="gramStart"/>
            <w:r w:rsidRPr="00654A6C">
              <w:rPr>
                <w:rFonts w:ascii="Times New Roman" w:eastAsia="Times New Roman" w:hAnsi="Times New Roman"/>
                <w:sz w:val="24"/>
                <w:szCs w:val="24"/>
                <w:vertAlign w:val="subscript"/>
                <w:lang w:eastAsia="ru-RU"/>
              </w:rPr>
              <w:t>2</w:t>
            </w:r>
            <w:proofErr w:type="gramEnd"/>
          </w:p>
        </w:tc>
        <w:tc>
          <w:tcPr>
            <w:tcW w:w="848"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0,9770±0,031</w:t>
            </w:r>
          </w:p>
        </w:tc>
        <w:tc>
          <w:tcPr>
            <w:tcW w:w="82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0,8925±0,029</w:t>
            </w:r>
          </w:p>
        </w:tc>
        <w:tc>
          <w:tcPr>
            <w:tcW w:w="41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0,047</w:t>
            </w:r>
          </w:p>
        </w:tc>
        <w:tc>
          <w:tcPr>
            <w:tcW w:w="691"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-0,55±0,23</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-1,07±0,26</w:t>
            </w:r>
          </w:p>
        </w:tc>
        <w:tc>
          <w:tcPr>
            <w:tcW w:w="35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0,022</w:t>
            </w:r>
          </w:p>
        </w:tc>
      </w:tr>
      <w:tr w:rsidR="00DB0FD6" w:rsidRPr="008D6B36" w:rsidTr="00106F5E">
        <w:trPr>
          <w:jc w:val="center"/>
        </w:trPr>
        <w:tc>
          <w:tcPr>
            <w:tcW w:w="1036"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В</w:t>
            </w:r>
            <w:proofErr w:type="gramStart"/>
            <w:r w:rsidRPr="00654A6C">
              <w:rPr>
                <w:rFonts w:ascii="Times New Roman" w:eastAsia="Times New Roman" w:hAnsi="Times New Roman"/>
                <w:sz w:val="24"/>
                <w:szCs w:val="24"/>
                <w:vertAlign w:val="subscript"/>
                <w:lang w:eastAsia="ru-RU"/>
              </w:rPr>
              <w:t>2</w:t>
            </w:r>
            <w:proofErr w:type="gramEnd"/>
          </w:p>
        </w:tc>
        <w:tc>
          <w:tcPr>
            <w:tcW w:w="848"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1,0010±0,041</w:t>
            </w:r>
          </w:p>
        </w:tc>
        <w:tc>
          <w:tcPr>
            <w:tcW w:w="82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0,9031±0,036</w:t>
            </w:r>
          </w:p>
        </w:tc>
        <w:tc>
          <w:tcPr>
            <w:tcW w:w="41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0,038</w:t>
            </w:r>
          </w:p>
        </w:tc>
        <w:tc>
          <w:tcPr>
            <w:tcW w:w="691"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-0,22±0,38</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-0,93±0,23</w:t>
            </w:r>
          </w:p>
        </w:tc>
        <w:tc>
          <w:tcPr>
            <w:tcW w:w="35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0,043</w:t>
            </w:r>
          </w:p>
        </w:tc>
      </w:tr>
      <w:tr w:rsidR="00DB0FD6" w:rsidRPr="008D6B36" w:rsidTr="00106F5E">
        <w:trPr>
          <w:jc w:val="center"/>
        </w:trPr>
        <w:tc>
          <w:tcPr>
            <w:tcW w:w="1036"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vertAlign w:val="subscript"/>
                <w:lang w:val="en-US"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w:t>
            </w:r>
          </w:p>
        </w:tc>
        <w:tc>
          <w:tcPr>
            <w:tcW w:w="848"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0,352</w:t>
            </w:r>
          </w:p>
        </w:tc>
        <w:tc>
          <w:tcPr>
            <w:tcW w:w="82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0,484</w:t>
            </w:r>
          </w:p>
        </w:tc>
        <w:tc>
          <w:tcPr>
            <w:tcW w:w="41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c>
          <w:tcPr>
            <w:tcW w:w="691"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0,295</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0,448</w:t>
            </w:r>
          </w:p>
        </w:tc>
        <w:tc>
          <w:tcPr>
            <w:tcW w:w="35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r>
      <w:tr w:rsidR="00DB0FD6" w:rsidRPr="008D6B36" w:rsidTr="00106F5E">
        <w:trPr>
          <w:jc w:val="center"/>
        </w:trPr>
        <w:tc>
          <w:tcPr>
            <w:tcW w:w="1036"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48"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0,642</w:t>
            </w:r>
          </w:p>
        </w:tc>
        <w:tc>
          <w:tcPr>
            <w:tcW w:w="82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0,683</w:t>
            </w:r>
          </w:p>
        </w:tc>
        <w:tc>
          <w:tcPr>
            <w:tcW w:w="41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p>
        </w:tc>
        <w:tc>
          <w:tcPr>
            <w:tcW w:w="691"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0,767</w:t>
            </w:r>
          </w:p>
        </w:tc>
        <w:tc>
          <w:tcPr>
            <w:tcW w:w="844"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val="en-US" w:eastAsia="ru-RU"/>
              </w:rPr>
            </w:pPr>
            <w:r w:rsidRPr="00654A6C">
              <w:rPr>
                <w:rFonts w:ascii="Times New Roman" w:eastAsia="Times New Roman" w:hAnsi="Times New Roman"/>
                <w:spacing w:val="-8"/>
                <w:sz w:val="24"/>
                <w:szCs w:val="24"/>
                <w:lang w:eastAsia="ru-RU"/>
              </w:rPr>
              <w:t>0,556</w:t>
            </w:r>
          </w:p>
        </w:tc>
        <w:tc>
          <w:tcPr>
            <w:tcW w:w="35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val="en-US" w:eastAsia="ru-RU"/>
              </w:rPr>
            </w:pPr>
          </w:p>
        </w:tc>
      </w:tr>
      <w:tr w:rsidR="00DB0FD6" w:rsidRPr="008D6B36" w:rsidTr="00106F5E">
        <w:trPr>
          <w:jc w:val="center"/>
        </w:trPr>
        <w:tc>
          <w:tcPr>
            <w:tcW w:w="1036"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val="en-US" w:eastAsia="ru-RU"/>
              </w:rPr>
              <w:t>p</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А</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48"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0,379</w:t>
            </w:r>
          </w:p>
        </w:tc>
        <w:tc>
          <w:tcPr>
            <w:tcW w:w="82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pacing w:val="-8"/>
                <w:sz w:val="24"/>
                <w:szCs w:val="24"/>
                <w:lang w:eastAsia="ru-RU"/>
              </w:rPr>
              <w:t>0,513</w:t>
            </w:r>
          </w:p>
        </w:tc>
        <w:tc>
          <w:tcPr>
            <w:tcW w:w="410"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p>
        </w:tc>
        <w:tc>
          <w:tcPr>
            <w:tcW w:w="691"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0,455</w:t>
            </w:r>
          </w:p>
        </w:tc>
        <w:tc>
          <w:tcPr>
            <w:tcW w:w="844"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0,648</w:t>
            </w:r>
          </w:p>
        </w:tc>
        <w:tc>
          <w:tcPr>
            <w:tcW w:w="35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r>
      <w:tr w:rsidR="00DB0FD6" w:rsidRPr="008D6B36" w:rsidTr="00106F5E">
        <w:trPr>
          <w:jc w:val="center"/>
        </w:trPr>
        <w:tc>
          <w:tcPr>
            <w:tcW w:w="1036"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roofErr w:type="gramStart"/>
            <w:r w:rsidRPr="00654A6C">
              <w:rPr>
                <w:rFonts w:ascii="Times New Roman" w:eastAsia="Times New Roman" w:hAnsi="Times New Roman"/>
                <w:sz w:val="24"/>
                <w:szCs w:val="24"/>
                <w:lang w:eastAsia="ru-RU"/>
              </w:rPr>
              <w:t>р</w:t>
            </w:r>
            <w:proofErr w:type="gramEnd"/>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1</w:t>
            </w:r>
            <w:r w:rsidRPr="00654A6C">
              <w:rPr>
                <w:rFonts w:ascii="Times New Roman" w:eastAsia="Times New Roman" w:hAnsi="Times New Roman"/>
                <w:sz w:val="24"/>
                <w:szCs w:val="24"/>
                <w:lang w:eastAsia="ru-RU"/>
              </w:rPr>
              <w:t xml:space="preserve"> </w:t>
            </w:r>
            <w:r w:rsidRPr="00654A6C">
              <w:rPr>
                <w:rFonts w:ascii="Times New Roman" w:eastAsia="Times New Roman" w:hAnsi="Times New Roman"/>
                <w:sz w:val="24"/>
                <w:szCs w:val="24"/>
                <w:lang w:val="en-US" w:eastAsia="ru-RU"/>
              </w:rPr>
              <w:t>vs</w:t>
            </w:r>
            <w:r w:rsidRPr="00654A6C">
              <w:rPr>
                <w:rFonts w:ascii="Times New Roman" w:eastAsia="Times New Roman" w:hAnsi="Times New Roman"/>
                <w:sz w:val="24"/>
                <w:szCs w:val="24"/>
                <w:lang w:eastAsia="ru-RU"/>
              </w:rPr>
              <w:t xml:space="preserve"> В</w:t>
            </w:r>
            <w:r w:rsidRPr="00654A6C">
              <w:rPr>
                <w:rFonts w:ascii="Times New Roman" w:eastAsia="Times New Roman" w:hAnsi="Times New Roman"/>
                <w:sz w:val="24"/>
                <w:szCs w:val="24"/>
                <w:vertAlign w:val="subscript"/>
                <w:lang w:eastAsia="ru-RU"/>
              </w:rPr>
              <w:t>2</w:t>
            </w:r>
            <w:r w:rsidRPr="00654A6C">
              <w:rPr>
                <w:rFonts w:ascii="Times New Roman" w:eastAsia="Times New Roman" w:hAnsi="Times New Roman"/>
                <w:sz w:val="24"/>
                <w:szCs w:val="24"/>
                <w:lang w:eastAsia="ru-RU"/>
              </w:rPr>
              <w:t>)</w:t>
            </w:r>
          </w:p>
        </w:tc>
        <w:tc>
          <w:tcPr>
            <w:tcW w:w="848"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0,172</w:t>
            </w:r>
          </w:p>
        </w:tc>
        <w:tc>
          <w:tcPr>
            <w:tcW w:w="82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1,00</w:t>
            </w:r>
          </w:p>
        </w:tc>
        <w:tc>
          <w:tcPr>
            <w:tcW w:w="41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c>
          <w:tcPr>
            <w:tcW w:w="691" w:type="pct"/>
            <w:shd w:val="clear" w:color="auto" w:fill="auto"/>
            <w:vAlign w:val="center"/>
          </w:tcPr>
          <w:p w:rsidR="00DB0FD6" w:rsidRPr="00654A6C" w:rsidRDefault="00DB0FD6" w:rsidP="00654A6C">
            <w:pPr>
              <w:spacing w:after="0" w:line="360" w:lineRule="auto"/>
              <w:jc w:val="center"/>
              <w:rPr>
                <w:rFonts w:ascii="Times New Roman" w:eastAsia="Times New Roman" w:hAnsi="Times New Roman"/>
                <w:spacing w:val="-8"/>
                <w:sz w:val="24"/>
                <w:szCs w:val="24"/>
                <w:lang w:eastAsia="ru-RU"/>
              </w:rPr>
            </w:pPr>
            <w:r w:rsidRPr="00654A6C">
              <w:rPr>
                <w:rFonts w:ascii="Times New Roman" w:eastAsia="Times New Roman" w:hAnsi="Times New Roman"/>
                <w:sz w:val="24"/>
                <w:szCs w:val="24"/>
                <w:lang w:eastAsia="ru-RU"/>
              </w:rPr>
              <w:t>0,097</w:t>
            </w:r>
          </w:p>
        </w:tc>
        <w:tc>
          <w:tcPr>
            <w:tcW w:w="844"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r w:rsidRPr="00654A6C">
              <w:rPr>
                <w:rFonts w:ascii="Times New Roman" w:eastAsia="Times New Roman" w:hAnsi="Times New Roman"/>
                <w:spacing w:val="-8"/>
                <w:sz w:val="24"/>
                <w:szCs w:val="24"/>
                <w:lang w:eastAsia="ru-RU"/>
              </w:rPr>
              <w:t>0,749</w:t>
            </w:r>
          </w:p>
        </w:tc>
        <w:tc>
          <w:tcPr>
            <w:tcW w:w="350" w:type="pct"/>
            <w:shd w:val="clear" w:color="auto" w:fill="auto"/>
            <w:vAlign w:val="center"/>
          </w:tcPr>
          <w:p w:rsidR="00DB0FD6" w:rsidRPr="00654A6C" w:rsidRDefault="00DB0FD6" w:rsidP="00654A6C">
            <w:pPr>
              <w:spacing w:after="0" w:line="360" w:lineRule="auto"/>
              <w:ind w:right="-82"/>
              <w:jc w:val="center"/>
              <w:rPr>
                <w:rFonts w:ascii="Times New Roman" w:eastAsia="Times New Roman" w:hAnsi="Times New Roman"/>
                <w:sz w:val="24"/>
                <w:szCs w:val="24"/>
                <w:lang w:eastAsia="ru-RU"/>
              </w:rPr>
            </w:pPr>
          </w:p>
        </w:tc>
      </w:tr>
    </w:tbl>
    <w:p w:rsidR="00DB0FD6" w:rsidRPr="00F71B34" w:rsidRDefault="00DB0FD6" w:rsidP="00F71B34">
      <w:pPr>
        <w:spacing w:after="0" w:line="360" w:lineRule="auto"/>
        <w:jc w:val="both"/>
        <w:rPr>
          <w:rFonts w:ascii="Times New Roman" w:eastAsia="Times New Roman" w:hAnsi="Times New Roman"/>
          <w:color w:val="FF0000"/>
          <w:sz w:val="28"/>
          <w:szCs w:val="28"/>
          <w:lang w:eastAsia="ru-RU"/>
        </w:rPr>
      </w:pPr>
    </w:p>
    <w:p w:rsidR="001C7C52" w:rsidRPr="00F71B34" w:rsidRDefault="001C7C52" w:rsidP="001C7C52">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У больных РА, получавших комбинированную терапию РТМ и МТХ, на фоне четырехлетней терапии отмечается статистически значимое повышение МПК и Т-критерия шейки бедра, в то время как у пациентов с монотерапией МТХ данные показатели достоверно не изменились.  </w:t>
      </w:r>
    </w:p>
    <w:p w:rsidR="00DB0FD6" w:rsidRPr="001C7C52" w:rsidRDefault="001C7C52" w:rsidP="001C7C52">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В поясничном отделе позвоночника денситометрические показатели группы 1 оставались стабильными на протяжении 48 месяцев наблюдения, у пациентов группы 2 как с </w:t>
      </w:r>
      <w:r w:rsidRPr="00F71B34">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w:t>
      </w:r>
      <w:r w:rsidRPr="00F71B34">
        <w:rPr>
          <w:rFonts w:ascii="Times New Roman" w:eastAsia="Times New Roman" w:hAnsi="Times New Roman"/>
          <w:sz w:val="28"/>
          <w:szCs w:val="28"/>
          <w:lang w:val="en-US" w:eastAsia="ru-RU"/>
        </w:rPr>
        <w:t>II</w:t>
      </w:r>
      <w:r w:rsidRPr="00F71B34">
        <w:rPr>
          <w:rFonts w:ascii="Times New Roman" w:eastAsia="Times New Roman" w:hAnsi="Times New Roman"/>
          <w:sz w:val="28"/>
          <w:szCs w:val="28"/>
          <w:lang w:eastAsia="ru-RU"/>
        </w:rPr>
        <w:t>, так и с III</w:t>
      </w:r>
      <w:r>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IV ФК наблюдается снижение МПК и Т-критери</w:t>
      </w:r>
      <w:r>
        <w:rPr>
          <w:rFonts w:ascii="Times New Roman" w:eastAsia="Times New Roman" w:hAnsi="Times New Roman"/>
          <w:sz w:val="28"/>
          <w:szCs w:val="28"/>
          <w:lang w:eastAsia="ru-RU"/>
        </w:rPr>
        <w:t>я относительно исходных данных.</w:t>
      </w:r>
    </w:p>
    <w:p w:rsidR="00B14E16" w:rsidRDefault="00B14E16" w:rsidP="00B14E16">
      <w:pPr>
        <w:spacing w:after="0" w:line="360" w:lineRule="auto"/>
        <w:ind w:firstLine="708"/>
        <w:jc w:val="both"/>
        <w:rPr>
          <w:rFonts w:ascii="Times New Roman" w:eastAsia="Times New Roman" w:hAnsi="Times New Roman"/>
          <w:sz w:val="28"/>
          <w:szCs w:val="28"/>
          <w:lang w:eastAsia="ru-RU"/>
        </w:rPr>
      </w:pPr>
      <w:proofErr w:type="gramStart"/>
      <w:r w:rsidRPr="00F71B34">
        <w:rPr>
          <w:rFonts w:ascii="Times New Roman" w:eastAsia="Times New Roman" w:hAnsi="Times New Roman"/>
          <w:sz w:val="28"/>
          <w:szCs w:val="28"/>
          <w:lang w:eastAsia="ru-RU"/>
        </w:rPr>
        <w:t>При анализе динамики МПК за 4 года наблюдения установлено, что независимо от ФК Δ</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шейки бедра в группе больных с комбинированной терапией РТМ и МТХ статистически значимо больше данного показателя в группе пациентов с монотерапией МТХ, в то время как в поясничном отделе позвоночника Δ</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МПК в группе 1 была сопоставима с аналогичным показателем  в группе 2 (табл. 22).</w:t>
      </w:r>
      <w:proofErr w:type="gramEnd"/>
    </w:p>
    <w:p w:rsidR="008D6B36" w:rsidRPr="00F71B34" w:rsidRDefault="008D6B36" w:rsidP="008D6B36">
      <w:pPr>
        <w:spacing w:after="0" w:line="360" w:lineRule="auto"/>
        <w:ind w:firstLine="708"/>
        <w:jc w:val="both"/>
        <w:rPr>
          <w:rFonts w:ascii="Times New Roman" w:eastAsia="Times New Roman" w:hAnsi="Times New Roman"/>
          <w:sz w:val="28"/>
          <w:szCs w:val="28"/>
          <w:lang w:eastAsia="ru-RU"/>
        </w:rPr>
      </w:pPr>
    </w:p>
    <w:p w:rsidR="00DB0FD6" w:rsidRPr="00F71B34" w:rsidRDefault="007274CD" w:rsidP="00F71B34">
      <w:pPr>
        <w:spacing w:after="0" w:line="360" w:lineRule="auto"/>
        <w:ind w:firstLine="708"/>
        <w:jc w:val="both"/>
        <w:rPr>
          <w:rFonts w:ascii="Times New Roman" w:eastAsia="Times New Roman" w:hAnsi="Times New Roman"/>
          <w:sz w:val="28"/>
          <w:szCs w:val="28"/>
          <w:lang w:eastAsia="ru-RU"/>
        </w:rPr>
      </w:pPr>
      <w:r w:rsidRPr="006F434A">
        <w:rPr>
          <w:rFonts w:ascii="Times New Roman" w:eastAsia="Times New Roman" w:hAnsi="Times New Roman"/>
          <w:spacing w:val="40"/>
          <w:sz w:val="28"/>
          <w:szCs w:val="28"/>
          <w:lang w:eastAsia="ru-RU"/>
        </w:rPr>
        <w:lastRenderedPageBreak/>
        <w:t>Таблица</w:t>
      </w:r>
      <w:r w:rsidR="00DB0FD6" w:rsidRPr="00F71B34">
        <w:rPr>
          <w:rFonts w:ascii="Times New Roman" w:eastAsia="Times New Roman" w:hAnsi="Times New Roman"/>
          <w:sz w:val="28"/>
          <w:szCs w:val="28"/>
          <w:lang w:eastAsia="ru-RU"/>
        </w:rPr>
        <w:t xml:space="preserve"> </w:t>
      </w:r>
      <w:r w:rsidR="00DB0FD6" w:rsidRPr="007274CD">
        <w:rPr>
          <w:rFonts w:ascii="Times New Roman" w:eastAsia="Times New Roman" w:hAnsi="Times New Roman"/>
          <w:spacing w:val="-4"/>
          <w:sz w:val="28"/>
          <w:szCs w:val="28"/>
          <w:lang w:eastAsia="ru-RU"/>
        </w:rPr>
        <w:t>22</w:t>
      </w:r>
      <w:r w:rsidR="00CD2EDC" w:rsidRPr="007274CD">
        <w:rPr>
          <w:rFonts w:ascii="Times New Roman" w:eastAsia="Times New Roman" w:hAnsi="Times New Roman"/>
          <w:spacing w:val="-4"/>
          <w:sz w:val="28"/>
          <w:szCs w:val="28"/>
          <w:lang w:eastAsia="ru-RU"/>
        </w:rPr>
        <w:t xml:space="preserve"> – </w:t>
      </w:r>
      <w:r w:rsidR="00986AC6" w:rsidRPr="00F71B34">
        <w:rPr>
          <w:rFonts w:ascii="Times New Roman" w:eastAsia="Times New Roman" w:hAnsi="Times New Roman"/>
          <w:sz w:val="28"/>
          <w:szCs w:val="28"/>
          <w:lang w:eastAsia="ru-RU"/>
        </w:rPr>
        <w:t>Δ</w:t>
      </w:r>
      <w:r w:rsidR="00986AC6">
        <w:rPr>
          <w:rFonts w:ascii="Times New Roman" w:eastAsia="Times New Roman" w:hAnsi="Times New Roman"/>
          <w:sz w:val="28"/>
          <w:szCs w:val="28"/>
          <w:lang w:eastAsia="ru-RU"/>
        </w:rPr>
        <w:t xml:space="preserve"> </w:t>
      </w:r>
      <w:r w:rsidR="00986AC6" w:rsidRPr="00F71B34">
        <w:rPr>
          <w:rFonts w:ascii="Times New Roman" w:eastAsia="Times New Roman" w:hAnsi="Times New Roman"/>
          <w:sz w:val="28"/>
          <w:szCs w:val="28"/>
          <w:lang w:eastAsia="ru-RU"/>
        </w:rPr>
        <w:t>МПК</w:t>
      </w:r>
      <w:r w:rsidR="00986AC6">
        <w:rPr>
          <w:rFonts w:ascii="Times New Roman" w:eastAsia="Times New Roman" w:hAnsi="Times New Roman"/>
          <w:spacing w:val="-4"/>
          <w:sz w:val="28"/>
          <w:szCs w:val="28"/>
          <w:lang w:eastAsia="ru-RU"/>
        </w:rPr>
        <w:t xml:space="preserve"> </w:t>
      </w:r>
      <w:r w:rsidR="00DB0FD6" w:rsidRPr="007274CD">
        <w:rPr>
          <w:rFonts w:ascii="Times New Roman" w:eastAsia="Times New Roman" w:hAnsi="Times New Roman"/>
          <w:spacing w:val="-4"/>
          <w:sz w:val="28"/>
          <w:szCs w:val="28"/>
          <w:lang w:eastAsia="ru-RU"/>
        </w:rPr>
        <w:t>шейки бедра и</w:t>
      </w:r>
      <w:r w:rsidR="00DB0FD6" w:rsidRPr="00F71B34">
        <w:rPr>
          <w:rFonts w:ascii="Times New Roman" w:eastAsia="Times New Roman" w:hAnsi="Times New Roman"/>
          <w:sz w:val="28"/>
          <w:szCs w:val="28"/>
          <w:lang w:eastAsia="ru-RU"/>
        </w:rPr>
        <w:t xml:space="preserve"> поясничного отдела позвоночника у больных РА в зависимости от функционального класса и варианта терапии (М±m)</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402"/>
        <w:gridCol w:w="4654"/>
      </w:tblGrid>
      <w:tr w:rsidR="007274CD" w:rsidRPr="008D6B36" w:rsidTr="00986AC6">
        <w:tc>
          <w:tcPr>
            <w:tcW w:w="1440" w:type="pct"/>
            <w:vMerge w:val="restart"/>
            <w:tcBorders>
              <w:top w:val="single" w:sz="4" w:space="0" w:color="auto"/>
              <w:left w:val="single" w:sz="4" w:space="0" w:color="auto"/>
              <w:right w:val="single" w:sz="4" w:space="0" w:color="auto"/>
            </w:tcBorders>
            <w:vAlign w:val="center"/>
          </w:tcPr>
          <w:p w:rsidR="007274CD" w:rsidRPr="008D6B36" w:rsidRDefault="007274CD" w:rsidP="00F71B34">
            <w:pPr>
              <w:spacing w:after="0" w:line="360" w:lineRule="auto"/>
              <w:ind w:right="-82"/>
              <w:jc w:val="center"/>
              <w:rPr>
                <w:rFonts w:ascii="Times New Roman" w:hAnsi="Times New Roman"/>
                <w:sz w:val="24"/>
                <w:szCs w:val="24"/>
                <w:lang w:eastAsia="ru-RU"/>
              </w:rPr>
            </w:pPr>
            <w:r w:rsidRPr="008D6B36">
              <w:rPr>
                <w:rFonts w:ascii="Times New Roman" w:hAnsi="Times New Roman"/>
                <w:sz w:val="24"/>
                <w:szCs w:val="24"/>
                <w:lang w:eastAsia="ru-RU"/>
              </w:rPr>
              <w:t>Групп</w:t>
            </w:r>
            <w:r>
              <w:rPr>
                <w:rFonts w:ascii="Times New Roman" w:hAnsi="Times New Roman"/>
                <w:sz w:val="24"/>
                <w:szCs w:val="24"/>
                <w:lang w:eastAsia="ru-RU"/>
              </w:rPr>
              <w:t>а</w:t>
            </w:r>
            <w:r w:rsidRPr="008D6B36">
              <w:rPr>
                <w:rFonts w:ascii="Times New Roman" w:hAnsi="Times New Roman"/>
                <w:sz w:val="24"/>
                <w:szCs w:val="24"/>
                <w:lang w:eastAsia="ru-RU"/>
              </w:rPr>
              <w:t xml:space="preserve"> больных </w:t>
            </w:r>
          </w:p>
          <w:p w:rsidR="00986AC6" w:rsidRDefault="007274CD" w:rsidP="007274CD">
            <w:pPr>
              <w:spacing w:after="0" w:line="360" w:lineRule="auto"/>
              <w:ind w:right="-82"/>
              <w:jc w:val="center"/>
              <w:rPr>
                <w:rFonts w:ascii="Times New Roman" w:hAnsi="Times New Roman"/>
                <w:sz w:val="24"/>
                <w:szCs w:val="24"/>
                <w:lang w:eastAsia="ru-RU"/>
              </w:rPr>
            </w:pPr>
            <w:proofErr w:type="gramStart"/>
            <w:r w:rsidRPr="008D6B36">
              <w:rPr>
                <w:rFonts w:ascii="Times New Roman" w:hAnsi="Times New Roman"/>
                <w:sz w:val="24"/>
                <w:szCs w:val="24"/>
                <w:lang w:eastAsia="ru-RU"/>
              </w:rPr>
              <w:t xml:space="preserve">(А – </w:t>
            </w:r>
            <w:r w:rsidRPr="008D6B36">
              <w:rPr>
                <w:rFonts w:ascii="Times New Roman" w:hAnsi="Times New Roman"/>
                <w:sz w:val="24"/>
                <w:szCs w:val="24"/>
                <w:lang w:val="en-US" w:eastAsia="ru-RU"/>
              </w:rPr>
              <w:t>I</w:t>
            </w:r>
            <w:r w:rsidRPr="008D6B36">
              <w:rPr>
                <w:rFonts w:ascii="Times New Roman" w:hAnsi="Times New Roman"/>
                <w:sz w:val="24"/>
                <w:szCs w:val="24"/>
                <w:lang w:eastAsia="ru-RU"/>
              </w:rPr>
              <w:t>–</w:t>
            </w:r>
            <w:r w:rsidRPr="008D6B36">
              <w:rPr>
                <w:rFonts w:ascii="Times New Roman" w:hAnsi="Times New Roman"/>
                <w:sz w:val="24"/>
                <w:szCs w:val="24"/>
                <w:lang w:val="en-US" w:eastAsia="ru-RU"/>
              </w:rPr>
              <w:t>II</w:t>
            </w:r>
            <w:r>
              <w:rPr>
                <w:rFonts w:ascii="Times New Roman" w:hAnsi="Times New Roman"/>
                <w:sz w:val="24"/>
                <w:szCs w:val="24"/>
                <w:lang w:eastAsia="ru-RU"/>
              </w:rPr>
              <w:t xml:space="preserve"> ФК, </w:t>
            </w:r>
            <w:proofErr w:type="gramEnd"/>
          </w:p>
          <w:p w:rsidR="007274CD" w:rsidRPr="008D6B36" w:rsidRDefault="007274CD" w:rsidP="007274CD">
            <w:pPr>
              <w:spacing w:after="0" w:line="360" w:lineRule="auto"/>
              <w:ind w:right="-82"/>
              <w:jc w:val="center"/>
              <w:rPr>
                <w:rFonts w:ascii="Times New Roman" w:hAnsi="Times New Roman"/>
                <w:sz w:val="24"/>
                <w:szCs w:val="24"/>
                <w:lang w:eastAsia="ru-RU"/>
              </w:rPr>
            </w:pPr>
            <w:proofErr w:type="gramStart"/>
            <w:r w:rsidRPr="008D6B36">
              <w:rPr>
                <w:rFonts w:ascii="Times New Roman" w:hAnsi="Times New Roman"/>
                <w:sz w:val="24"/>
                <w:szCs w:val="24"/>
                <w:lang w:eastAsia="ru-RU"/>
              </w:rPr>
              <w:t>В –</w:t>
            </w:r>
            <w:r w:rsidRPr="008D6B36">
              <w:rPr>
                <w:rFonts w:ascii="Times New Roman" w:hAnsi="Times New Roman"/>
                <w:sz w:val="24"/>
                <w:szCs w:val="24"/>
              </w:rPr>
              <w:t xml:space="preserve"> </w:t>
            </w:r>
            <w:r w:rsidRPr="008D6B36">
              <w:rPr>
                <w:rFonts w:ascii="Times New Roman" w:hAnsi="Times New Roman"/>
                <w:sz w:val="24"/>
                <w:szCs w:val="24"/>
                <w:lang w:eastAsia="ru-RU"/>
              </w:rPr>
              <w:t>III</w:t>
            </w:r>
            <w:r>
              <w:rPr>
                <w:rFonts w:ascii="Times New Roman" w:hAnsi="Times New Roman"/>
                <w:sz w:val="24"/>
                <w:szCs w:val="24"/>
                <w:lang w:eastAsia="ru-RU"/>
              </w:rPr>
              <w:t>–</w:t>
            </w:r>
            <w:r w:rsidRPr="008D6B36">
              <w:rPr>
                <w:rFonts w:ascii="Times New Roman" w:hAnsi="Times New Roman"/>
                <w:sz w:val="24"/>
                <w:szCs w:val="24"/>
                <w:lang w:eastAsia="ru-RU"/>
              </w:rPr>
              <w:t>IV ФК)</w:t>
            </w:r>
            <w:proofErr w:type="gramEnd"/>
          </w:p>
        </w:tc>
        <w:tc>
          <w:tcPr>
            <w:tcW w:w="3560" w:type="pct"/>
            <w:gridSpan w:val="2"/>
            <w:tcBorders>
              <w:top w:val="single" w:sz="4" w:space="0" w:color="auto"/>
              <w:left w:val="single" w:sz="4" w:space="0" w:color="auto"/>
              <w:bottom w:val="single" w:sz="4" w:space="0" w:color="auto"/>
              <w:right w:val="single" w:sz="4" w:space="0" w:color="auto"/>
            </w:tcBorders>
            <w:vAlign w:val="center"/>
          </w:tcPr>
          <w:p w:rsidR="007274CD" w:rsidRPr="008D6B36" w:rsidRDefault="007274CD" w:rsidP="007274CD">
            <w:pPr>
              <w:spacing w:after="0" w:line="360" w:lineRule="auto"/>
              <w:ind w:right="-82"/>
              <w:jc w:val="center"/>
              <w:rPr>
                <w:rFonts w:ascii="Times New Roman" w:hAnsi="Times New Roman"/>
                <w:sz w:val="24"/>
                <w:szCs w:val="24"/>
                <w:lang w:eastAsia="ru-RU"/>
              </w:rPr>
            </w:pPr>
            <w:r>
              <w:rPr>
                <w:rFonts w:ascii="Times New Roman" w:hAnsi="Times New Roman"/>
                <w:sz w:val="24"/>
                <w:szCs w:val="24"/>
                <w:lang w:eastAsia="ru-RU"/>
              </w:rPr>
              <w:t>Δ МПК</w:t>
            </w:r>
          </w:p>
        </w:tc>
      </w:tr>
      <w:tr w:rsidR="007274CD" w:rsidRPr="008D6B36" w:rsidTr="00986AC6">
        <w:tc>
          <w:tcPr>
            <w:tcW w:w="1440" w:type="pct"/>
            <w:vMerge/>
            <w:tcBorders>
              <w:left w:val="single" w:sz="4" w:space="0" w:color="auto"/>
              <w:bottom w:val="single" w:sz="4" w:space="0" w:color="auto"/>
              <w:right w:val="single" w:sz="4" w:space="0" w:color="auto"/>
            </w:tcBorders>
            <w:vAlign w:val="center"/>
          </w:tcPr>
          <w:p w:rsidR="007274CD" w:rsidRPr="008D6B36" w:rsidRDefault="007274CD" w:rsidP="00F71B34">
            <w:pPr>
              <w:spacing w:after="0" w:line="360" w:lineRule="auto"/>
              <w:ind w:right="-82"/>
              <w:jc w:val="center"/>
              <w:rPr>
                <w:rFonts w:ascii="Times New Roman" w:hAnsi="Times New Roman"/>
                <w:sz w:val="24"/>
                <w:szCs w:val="24"/>
                <w:lang w:eastAsia="ru-RU"/>
              </w:rPr>
            </w:pPr>
          </w:p>
        </w:tc>
        <w:tc>
          <w:tcPr>
            <w:tcW w:w="1212" w:type="pct"/>
            <w:tcBorders>
              <w:top w:val="single" w:sz="4" w:space="0" w:color="auto"/>
              <w:left w:val="single" w:sz="4" w:space="0" w:color="auto"/>
              <w:bottom w:val="single" w:sz="4" w:space="0" w:color="auto"/>
              <w:right w:val="single" w:sz="4" w:space="0" w:color="auto"/>
            </w:tcBorders>
            <w:vAlign w:val="center"/>
          </w:tcPr>
          <w:p w:rsidR="007274CD" w:rsidRPr="008D6B36" w:rsidRDefault="007274CD" w:rsidP="00F71B34">
            <w:pPr>
              <w:spacing w:after="0" w:line="360" w:lineRule="auto"/>
              <w:ind w:right="-82"/>
              <w:jc w:val="center"/>
              <w:rPr>
                <w:rFonts w:ascii="Times New Roman" w:hAnsi="Times New Roman"/>
                <w:sz w:val="24"/>
                <w:szCs w:val="24"/>
                <w:lang w:eastAsia="ru-RU"/>
              </w:rPr>
            </w:pPr>
            <w:r w:rsidRPr="008D6B36">
              <w:rPr>
                <w:rFonts w:ascii="Times New Roman" w:hAnsi="Times New Roman"/>
                <w:sz w:val="24"/>
                <w:szCs w:val="24"/>
                <w:lang w:eastAsia="ru-RU"/>
              </w:rPr>
              <w:t>шейки бедра</w:t>
            </w:r>
            <w:proofErr w:type="gramStart"/>
            <w:r w:rsidR="00986AC6">
              <w:rPr>
                <w:rFonts w:ascii="Times New Roman" w:hAnsi="Times New Roman"/>
                <w:sz w:val="24"/>
                <w:szCs w:val="24"/>
                <w:lang w:eastAsia="ru-RU"/>
              </w:rPr>
              <w:t xml:space="preserve"> (%)</w:t>
            </w:r>
            <w:proofErr w:type="gramEnd"/>
          </w:p>
        </w:tc>
        <w:tc>
          <w:tcPr>
            <w:tcW w:w="2348" w:type="pct"/>
            <w:tcBorders>
              <w:top w:val="single" w:sz="4" w:space="0" w:color="auto"/>
              <w:left w:val="single" w:sz="4" w:space="0" w:color="auto"/>
              <w:bottom w:val="single" w:sz="4" w:space="0" w:color="auto"/>
              <w:right w:val="single" w:sz="4" w:space="0" w:color="auto"/>
            </w:tcBorders>
            <w:vAlign w:val="center"/>
          </w:tcPr>
          <w:p w:rsidR="007274CD" w:rsidRPr="008D6B36" w:rsidRDefault="007274CD" w:rsidP="00F71B34">
            <w:pPr>
              <w:spacing w:after="0" w:line="360" w:lineRule="auto"/>
              <w:ind w:right="-82"/>
              <w:jc w:val="center"/>
              <w:rPr>
                <w:rFonts w:ascii="Times New Roman" w:hAnsi="Times New Roman"/>
                <w:sz w:val="24"/>
                <w:szCs w:val="24"/>
                <w:lang w:eastAsia="ru-RU"/>
              </w:rPr>
            </w:pPr>
            <w:r w:rsidRPr="008D6B36">
              <w:rPr>
                <w:rFonts w:ascii="Times New Roman" w:hAnsi="Times New Roman"/>
                <w:sz w:val="24"/>
                <w:szCs w:val="24"/>
                <w:lang w:eastAsia="ru-RU"/>
              </w:rPr>
              <w:t>поясничного отдела позвоночника</w:t>
            </w:r>
            <w:proofErr w:type="gramStart"/>
            <w:r w:rsidR="00986AC6">
              <w:rPr>
                <w:rFonts w:ascii="Times New Roman" w:hAnsi="Times New Roman"/>
                <w:sz w:val="24"/>
                <w:szCs w:val="24"/>
                <w:lang w:eastAsia="ru-RU"/>
              </w:rPr>
              <w:t xml:space="preserve"> (%)</w:t>
            </w:r>
            <w:proofErr w:type="gramEnd"/>
          </w:p>
        </w:tc>
      </w:tr>
      <w:tr w:rsidR="00DB0FD6" w:rsidRPr="008D6B36" w:rsidTr="00986AC6">
        <w:tc>
          <w:tcPr>
            <w:tcW w:w="1440"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F71B34">
            <w:pPr>
              <w:spacing w:after="0" w:line="360" w:lineRule="auto"/>
              <w:ind w:right="-82"/>
              <w:jc w:val="center"/>
              <w:rPr>
                <w:rFonts w:ascii="Times New Roman" w:hAnsi="Times New Roman"/>
                <w:sz w:val="24"/>
                <w:szCs w:val="24"/>
                <w:lang w:eastAsia="ru-RU"/>
              </w:rPr>
            </w:pPr>
            <w:r w:rsidRPr="008D6B36">
              <w:rPr>
                <w:rFonts w:ascii="Times New Roman" w:hAnsi="Times New Roman"/>
                <w:sz w:val="24"/>
                <w:szCs w:val="24"/>
                <w:lang w:eastAsia="ru-RU"/>
              </w:rPr>
              <w:t>А</w:t>
            </w:r>
            <w:proofErr w:type="gramStart"/>
            <w:r w:rsidRPr="008D6B36">
              <w:rPr>
                <w:rFonts w:ascii="Times New Roman" w:hAnsi="Times New Roman"/>
                <w:sz w:val="24"/>
                <w:szCs w:val="24"/>
                <w:lang w:eastAsia="ru-RU"/>
              </w:rPr>
              <w:t>1</w:t>
            </w:r>
            <w:proofErr w:type="gramEnd"/>
          </w:p>
        </w:tc>
        <w:tc>
          <w:tcPr>
            <w:tcW w:w="1212" w:type="pct"/>
            <w:tcBorders>
              <w:top w:val="single" w:sz="4" w:space="0" w:color="auto"/>
              <w:left w:val="single" w:sz="4" w:space="0" w:color="auto"/>
              <w:bottom w:val="single" w:sz="4" w:space="0" w:color="auto"/>
              <w:right w:val="single" w:sz="4" w:space="0" w:color="auto"/>
            </w:tcBorders>
            <w:vAlign w:val="center"/>
          </w:tcPr>
          <w:p w:rsidR="00DB0FD6" w:rsidRPr="008D6B36" w:rsidRDefault="00D55332" w:rsidP="00D5533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6,89</w:t>
            </w:r>
            <w:r w:rsidR="00DB0FD6" w:rsidRPr="008D6B36">
              <w:rPr>
                <w:rFonts w:ascii="Times New Roman" w:hAnsi="Times New Roman"/>
                <w:sz w:val="24"/>
                <w:szCs w:val="24"/>
                <w:lang w:eastAsia="ru-RU"/>
              </w:rPr>
              <w:t>±</w:t>
            </w:r>
            <w:r>
              <w:rPr>
                <w:rFonts w:ascii="Times New Roman" w:hAnsi="Times New Roman"/>
                <w:sz w:val="24"/>
                <w:szCs w:val="24"/>
                <w:lang w:eastAsia="ru-RU"/>
              </w:rPr>
              <w:t>1,18</w:t>
            </w:r>
          </w:p>
        </w:tc>
        <w:tc>
          <w:tcPr>
            <w:tcW w:w="2348"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D55332">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-0,</w:t>
            </w:r>
            <w:r w:rsidR="00D55332">
              <w:rPr>
                <w:rFonts w:ascii="Times New Roman" w:hAnsi="Times New Roman"/>
                <w:sz w:val="24"/>
                <w:szCs w:val="24"/>
                <w:lang w:eastAsia="ru-RU"/>
              </w:rPr>
              <w:t>89</w:t>
            </w:r>
            <w:r w:rsidRPr="008D6B36">
              <w:rPr>
                <w:rFonts w:ascii="Times New Roman" w:hAnsi="Times New Roman"/>
                <w:sz w:val="24"/>
                <w:szCs w:val="24"/>
                <w:lang w:eastAsia="ru-RU"/>
              </w:rPr>
              <w:t>±</w:t>
            </w:r>
            <w:r w:rsidR="00D55332">
              <w:rPr>
                <w:rFonts w:ascii="Times New Roman" w:hAnsi="Times New Roman"/>
                <w:sz w:val="24"/>
                <w:szCs w:val="24"/>
                <w:lang w:eastAsia="ru-RU"/>
              </w:rPr>
              <w:t>1,71</w:t>
            </w:r>
          </w:p>
        </w:tc>
      </w:tr>
      <w:tr w:rsidR="00DB0FD6" w:rsidRPr="008D6B36" w:rsidTr="00986AC6">
        <w:tc>
          <w:tcPr>
            <w:tcW w:w="1440"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F71B34">
            <w:pPr>
              <w:spacing w:after="0" w:line="360" w:lineRule="auto"/>
              <w:ind w:right="-82"/>
              <w:jc w:val="center"/>
              <w:rPr>
                <w:rFonts w:ascii="Times New Roman" w:hAnsi="Times New Roman"/>
                <w:sz w:val="24"/>
                <w:szCs w:val="24"/>
                <w:lang w:eastAsia="ru-RU"/>
              </w:rPr>
            </w:pPr>
            <w:r w:rsidRPr="008D6B36">
              <w:rPr>
                <w:rFonts w:ascii="Times New Roman" w:hAnsi="Times New Roman"/>
                <w:sz w:val="24"/>
                <w:szCs w:val="24"/>
                <w:lang w:eastAsia="ru-RU"/>
              </w:rPr>
              <w:t>В</w:t>
            </w:r>
            <w:proofErr w:type="gramStart"/>
            <w:r w:rsidRPr="008D6B36">
              <w:rPr>
                <w:rFonts w:ascii="Times New Roman" w:hAnsi="Times New Roman"/>
                <w:sz w:val="24"/>
                <w:szCs w:val="24"/>
                <w:lang w:eastAsia="ru-RU"/>
              </w:rPr>
              <w:t>1</w:t>
            </w:r>
            <w:proofErr w:type="gramEnd"/>
          </w:p>
        </w:tc>
        <w:tc>
          <w:tcPr>
            <w:tcW w:w="1212" w:type="pct"/>
            <w:tcBorders>
              <w:top w:val="single" w:sz="4" w:space="0" w:color="auto"/>
              <w:left w:val="single" w:sz="4" w:space="0" w:color="auto"/>
              <w:bottom w:val="single" w:sz="4" w:space="0" w:color="auto"/>
              <w:right w:val="single" w:sz="4" w:space="0" w:color="auto"/>
            </w:tcBorders>
            <w:vAlign w:val="center"/>
          </w:tcPr>
          <w:p w:rsidR="00DB0FD6" w:rsidRPr="008D6B36" w:rsidRDefault="00826364" w:rsidP="00826364">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7,94</w:t>
            </w:r>
            <w:r w:rsidR="00DB0FD6" w:rsidRPr="008D6B36">
              <w:rPr>
                <w:rFonts w:ascii="Times New Roman" w:hAnsi="Times New Roman"/>
                <w:sz w:val="24"/>
                <w:szCs w:val="24"/>
                <w:lang w:eastAsia="ru-RU"/>
              </w:rPr>
              <w:t>±</w:t>
            </w:r>
            <w:r>
              <w:rPr>
                <w:rFonts w:ascii="Times New Roman" w:hAnsi="Times New Roman"/>
                <w:sz w:val="24"/>
                <w:szCs w:val="24"/>
                <w:lang w:eastAsia="ru-RU"/>
              </w:rPr>
              <w:t>3,56</w:t>
            </w:r>
          </w:p>
        </w:tc>
        <w:tc>
          <w:tcPr>
            <w:tcW w:w="2348"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826364">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w:t>
            </w:r>
            <w:r w:rsidR="00826364">
              <w:rPr>
                <w:rFonts w:ascii="Times New Roman" w:hAnsi="Times New Roman"/>
                <w:sz w:val="24"/>
                <w:szCs w:val="24"/>
                <w:lang w:eastAsia="ru-RU"/>
              </w:rPr>
              <w:t>3,43</w:t>
            </w:r>
            <w:r w:rsidRPr="008D6B36">
              <w:rPr>
                <w:rFonts w:ascii="Times New Roman" w:hAnsi="Times New Roman"/>
                <w:sz w:val="24"/>
                <w:szCs w:val="24"/>
                <w:lang w:eastAsia="ru-RU"/>
              </w:rPr>
              <w:t>±</w:t>
            </w:r>
            <w:r w:rsidR="00826364">
              <w:rPr>
                <w:rFonts w:ascii="Times New Roman" w:hAnsi="Times New Roman"/>
                <w:sz w:val="24"/>
                <w:szCs w:val="24"/>
                <w:lang w:eastAsia="ru-RU"/>
              </w:rPr>
              <w:t>1,05</w:t>
            </w:r>
          </w:p>
        </w:tc>
      </w:tr>
      <w:tr w:rsidR="00DB0FD6" w:rsidRPr="008D6B36" w:rsidTr="00986AC6">
        <w:tc>
          <w:tcPr>
            <w:tcW w:w="1440"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F71B34">
            <w:pPr>
              <w:spacing w:after="0" w:line="360" w:lineRule="auto"/>
              <w:ind w:right="-82"/>
              <w:jc w:val="center"/>
              <w:rPr>
                <w:rFonts w:ascii="Times New Roman" w:hAnsi="Times New Roman"/>
                <w:sz w:val="24"/>
                <w:szCs w:val="24"/>
                <w:lang w:eastAsia="ru-RU"/>
              </w:rPr>
            </w:pPr>
            <w:r w:rsidRPr="008D6B36">
              <w:rPr>
                <w:rFonts w:ascii="Times New Roman" w:hAnsi="Times New Roman"/>
                <w:sz w:val="24"/>
                <w:szCs w:val="24"/>
                <w:lang w:eastAsia="ru-RU"/>
              </w:rPr>
              <w:t>А</w:t>
            </w:r>
            <w:proofErr w:type="gramStart"/>
            <w:r w:rsidRPr="008D6B36">
              <w:rPr>
                <w:rFonts w:ascii="Times New Roman" w:hAnsi="Times New Roman"/>
                <w:sz w:val="24"/>
                <w:szCs w:val="24"/>
                <w:lang w:eastAsia="ru-RU"/>
              </w:rPr>
              <w:t>2</w:t>
            </w:r>
            <w:proofErr w:type="gramEnd"/>
          </w:p>
        </w:tc>
        <w:tc>
          <w:tcPr>
            <w:tcW w:w="1212"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D55332">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w:t>
            </w:r>
            <w:r w:rsidR="00D55332">
              <w:rPr>
                <w:rFonts w:ascii="Times New Roman" w:hAnsi="Times New Roman"/>
                <w:sz w:val="24"/>
                <w:szCs w:val="24"/>
                <w:lang w:eastAsia="ru-RU"/>
              </w:rPr>
              <w:t>3,05</w:t>
            </w:r>
            <w:r w:rsidRPr="008D6B36">
              <w:rPr>
                <w:rFonts w:ascii="Times New Roman" w:hAnsi="Times New Roman"/>
                <w:sz w:val="24"/>
                <w:szCs w:val="24"/>
                <w:lang w:eastAsia="ru-RU"/>
              </w:rPr>
              <w:t>±</w:t>
            </w:r>
            <w:r w:rsidR="00D55332">
              <w:rPr>
                <w:rFonts w:ascii="Times New Roman" w:hAnsi="Times New Roman"/>
                <w:sz w:val="24"/>
                <w:szCs w:val="24"/>
                <w:lang w:eastAsia="ru-RU"/>
              </w:rPr>
              <w:t>1,90</w:t>
            </w:r>
          </w:p>
        </w:tc>
        <w:tc>
          <w:tcPr>
            <w:tcW w:w="2348"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D55332">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w:t>
            </w:r>
            <w:r w:rsidR="00D55332">
              <w:rPr>
                <w:rFonts w:ascii="Times New Roman" w:hAnsi="Times New Roman"/>
                <w:sz w:val="24"/>
                <w:szCs w:val="24"/>
                <w:lang w:eastAsia="ru-RU"/>
              </w:rPr>
              <w:t>5,21</w:t>
            </w:r>
            <w:r w:rsidRPr="008D6B36">
              <w:rPr>
                <w:rFonts w:ascii="Times New Roman" w:hAnsi="Times New Roman"/>
                <w:sz w:val="24"/>
                <w:szCs w:val="24"/>
                <w:lang w:eastAsia="ru-RU"/>
              </w:rPr>
              <w:t>±</w:t>
            </w:r>
            <w:r w:rsidR="00D55332">
              <w:rPr>
                <w:rFonts w:ascii="Times New Roman" w:hAnsi="Times New Roman"/>
                <w:sz w:val="24"/>
                <w:szCs w:val="24"/>
                <w:lang w:eastAsia="ru-RU"/>
              </w:rPr>
              <w:t>2,77</w:t>
            </w:r>
          </w:p>
        </w:tc>
      </w:tr>
      <w:tr w:rsidR="00DB0FD6" w:rsidRPr="008D6B36" w:rsidTr="00986AC6">
        <w:tc>
          <w:tcPr>
            <w:tcW w:w="1440"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F71B34">
            <w:pPr>
              <w:spacing w:after="0" w:line="360" w:lineRule="auto"/>
              <w:ind w:right="-82"/>
              <w:jc w:val="center"/>
              <w:rPr>
                <w:rFonts w:ascii="Times New Roman" w:hAnsi="Times New Roman"/>
                <w:sz w:val="24"/>
                <w:szCs w:val="24"/>
                <w:lang w:eastAsia="ru-RU"/>
              </w:rPr>
            </w:pPr>
            <w:r w:rsidRPr="008D6B36">
              <w:rPr>
                <w:rFonts w:ascii="Times New Roman" w:hAnsi="Times New Roman"/>
                <w:sz w:val="24"/>
                <w:szCs w:val="24"/>
                <w:lang w:eastAsia="ru-RU"/>
              </w:rPr>
              <w:t>В</w:t>
            </w:r>
            <w:proofErr w:type="gramStart"/>
            <w:r w:rsidRPr="008D6B36">
              <w:rPr>
                <w:rFonts w:ascii="Times New Roman" w:hAnsi="Times New Roman"/>
                <w:sz w:val="24"/>
                <w:szCs w:val="24"/>
                <w:lang w:eastAsia="ru-RU"/>
              </w:rPr>
              <w:t>2</w:t>
            </w:r>
            <w:proofErr w:type="gramEnd"/>
          </w:p>
        </w:tc>
        <w:tc>
          <w:tcPr>
            <w:tcW w:w="1212"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826364">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w:t>
            </w:r>
            <w:r w:rsidR="00826364">
              <w:rPr>
                <w:rFonts w:ascii="Times New Roman" w:hAnsi="Times New Roman"/>
                <w:sz w:val="24"/>
                <w:szCs w:val="24"/>
                <w:lang w:eastAsia="ru-RU"/>
              </w:rPr>
              <w:t>3,82</w:t>
            </w:r>
            <w:r w:rsidRPr="008D6B36">
              <w:rPr>
                <w:rFonts w:ascii="Times New Roman" w:hAnsi="Times New Roman"/>
                <w:sz w:val="24"/>
                <w:szCs w:val="24"/>
                <w:lang w:eastAsia="ru-RU"/>
              </w:rPr>
              <w:t>±</w:t>
            </w:r>
            <w:r w:rsidR="00826364">
              <w:rPr>
                <w:rFonts w:ascii="Times New Roman" w:hAnsi="Times New Roman"/>
                <w:sz w:val="24"/>
                <w:szCs w:val="24"/>
                <w:lang w:eastAsia="ru-RU"/>
              </w:rPr>
              <w:t>1,85</w:t>
            </w:r>
          </w:p>
        </w:tc>
        <w:tc>
          <w:tcPr>
            <w:tcW w:w="2348"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127B57">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w:t>
            </w:r>
            <w:r w:rsidR="00127B57">
              <w:rPr>
                <w:rFonts w:ascii="Times New Roman" w:hAnsi="Times New Roman"/>
                <w:sz w:val="24"/>
                <w:szCs w:val="24"/>
                <w:lang w:eastAsia="ru-RU"/>
              </w:rPr>
              <w:t>8,98</w:t>
            </w:r>
            <w:r w:rsidRPr="008D6B36">
              <w:rPr>
                <w:rFonts w:ascii="Times New Roman" w:hAnsi="Times New Roman"/>
                <w:sz w:val="24"/>
                <w:szCs w:val="24"/>
                <w:lang w:eastAsia="ru-RU"/>
              </w:rPr>
              <w:t>±</w:t>
            </w:r>
            <w:r w:rsidR="00127B57">
              <w:rPr>
                <w:rFonts w:ascii="Times New Roman" w:hAnsi="Times New Roman"/>
                <w:sz w:val="24"/>
                <w:szCs w:val="24"/>
                <w:lang w:eastAsia="ru-RU"/>
              </w:rPr>
              <w:t>4,78</w:t>
            </w:r>
          </w:p>
        </w:tc>
      </w:tr>
      <w:tr w:rsidR="00DB0FD6" w:rsidRPr="008D6B36" w:rsidTr="00986AC6">
        <w:tc>
          <w:tcPr>
            <w:tcW w:w="1440"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F71B34">
            <w:pPr>
              <w:spacing w:after="0" w:line="360" w:lineRule="auto"/>
              <w:ind w:right="-82"/>
              <w:jc w:val="center"/>
              <w:rPr>
                <w:rFonts w:ascii="Times New Roman" w:hAnsi="Times New Roman"/>
                <w:sz w:val="24"/>
                <w:szCs w:val="24"/>
                <w:lang w:eastAsia="ru-RU"/>
              </w:rPr>
            </w:pPr>
            <w:proofErr w:type="gramStart"/>
            <w:r w:rsidRPr="008D6B36">
              <w:rPr>
                <w:rFonts w:ascii="Times New Roman" w:hAnsi="Times New Roman"/>
                <w:sz w:val="24"/>
                <w:szCs w:val="24"/>
                <w:lang w:eastAsia="ru-RU"/>
              </w:rPr>
              <w:t>р</w:t>
            </w:r>
            <w:proofErr w:type="gramEnd"/>
            <w:r w:rsidRPr="008D6B36">
              <w:rPr>
                <w:rFonts w:ascii="Times New Roman" w:hAnsi="Times New Roman"/>
                <w:sz w:val="24"/>
                <w:szCs w:val="24"/>
                <w:lang w:eastAsia="ru-RU"/>
              </w:rPr>
              <w:t xml:space="preserve"> (А1 vs В1)</w:t>
            </w:r>
          </w:p>
        </w:tc>
        <w:tc>
          <w:tcPr>
            <w:tcW w:w="1212"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127B57">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0,4</w:t>
            </w:r>
            <w:r w:rsidR="00127B57">
              <w:rPr>
                <w:rFonts w:ascii="Times New Roman" w:hAnsi="Times New Roman"/>
                <w:sz w:val="24"/>
                <w:szCs w:val="24"/>
                <w:lang w:eastAsia="ru-RU"/>
              </w:rPr>
              <w:t>84</w:t>
            </w:r>
          </w:p>
        </w:tc>
        <w:tc>
          <w:tcPr>
            <w:tcW w:w="2348" w:type="pct"/>
            <w:tcBorders>
              <w:top w:val="single" w:sz="4" w:space="0" w:color="auto"/>
              <w:left w:val="single" w:sz="4" w:space="0" w:color="auto"/>
              <w:bottom w:val="single" w:sz="4" w:space="0" w:color="auto"/>
              <w:right w:val="single" w:sz="4" w:space="0" w:color="auto"/>
            </w:tcBorders>
            <w:vAlign w:val="center"/>
          </w:tcPr>
          <w:p w:rsidR="00DB0FD6" w:rsidRPr="008D6B36" w:rsidRDefault="00127B57" w:rsidP="00F71B34">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0,052</w:t>
            </w:r>
          </w:p>
        </w:tc>
      </w:tr>
      <w:tr w:rsidR="00DB0FD6" w:rsidRPr="008D6B36" w:rsidTr="00986AC6">
        <w:tc>
          <w:tcPr>
            <w:tcW w:w="1440"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F71B34">
            <w:pPr>
              <w:spacing w:after="0" w:line="360" w:lineRule="auto"/>
              <w:ind w:right="-82"/>
              <w:jc w:val="center"/>
              <w:rPr>
                <w:rFonts w:ascii="Times New Roman" w:hAnsi="Times New Roman"/>
                <w:sz w:val="24"/>
                <w:szCs w:val="24"/>
                <w:lang w:eastAsia="ru-RU"/>
              </w:rPr>
            </w:pPr>
            <w:r w:rsidRPr="008D6B36">
              <w:rPr>
                <w:rFonts w:ascii="Times New Roman" w:hAnsi="Times New Roman"/>
                <w:sz w:val="24"/>
                <w:szCs w:val="24"/>
                <w:lang w:eastAsia="ru-RU"/>
              </w:rPr>
              <w:t>p (А</w:t>
            </w:r>
            <w:proofErr w:type="gramStart"/>
            <w:r w:rsidRPr="008D6B36">
              <w:rPr>
                <w:rFonts w:ascii="Times New Roman" w:hAnsi="Times New Roman"/>
                <w:sz w:val="24"/>
                <w:szCs w:val="24"/>
                <w:lang w:eastAsia="ru-RU"/>
              </w:rPr>
              <w:t>2</w:t>
            </w:r>
            <w:proofErr w:type="gramEnd"/>
            <w:r w:rsidRPr="008D6B36">
              <w:rPr>
                <w:rFonts w:ascii="Times New Roman" w:hAnsi="Times New Roman"/>
                <w:sz w:val="24"/>
                <w:szCs w:val="24"/>
                <w:lang w:eastAsia="ru-RU"/>
              </w:rPr>
              <w:t xml:space="preserve"> vs В2)</w:t>
            </w:r>
          </w:p>
        </w:tc>
        <w:tc>
          <w:tcPr>
            <w:tcW w:w="1212"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127B57">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0,9</w:t>
            </w:r>
            <w:r w:rsidR="00127B57">
              <w:rPr>
                <w:rFonts w:ascii="Times New Roman" w:hAnsi="Times New Roman"/>
                <w:sz w:val="24"/>
                <w:szCs w:val="24"/>
                <w:lang w:eastAsia="ru-RU"/>
              </w:rPr>
              <w:t>19</w:t>
            </w:r>
          </w:p>
        </w:tc>
        <w:tc>
          <w:tcPr>
            <w:tcW w:w="2348"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127B57">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0,</w:t>
            </w:r>
            <w:r w:rsidR="00127B57">
              <w:rPr>
                <w:rFonts w:ascii="Times New Roman" w:hAnsi="Times New Roman"/>
                <w:sz w:val="24"/>
                <w:szCs w:val="24"/>
                <w:lang w:eastAsia="ru-RU"/>
              </w:rPr>
              <w:t>914</w:t>
            </w:r>
          </w:p>
        </w:tc>
      </w:tr>
      <w:tr w:rsidR="00DB0FD6" w:rsidRPr="008D6B36" w:rsidTr="00986AC6">
        <w:tc>
          <w:tcPr>
            <w:tcW w:w="1440"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F71B34">
            <w:pPr>
              <w:spacing w:after="0" w:line="360" w:lineRule="auto"/>
              <w:ind w:right="-82"/>
              <w:jc w:val="center"/>
              <w:rPr>
                <w:rFonts w:ascii="Times New Roman" w:hAnsi="Times New Roman"/>
                <w:sz w:val="24"/>
                <w:szCs w:val="24"/>
                <w:lang w:eastAsia="ru-RU"/>
              </w:rPr>
            </w:pPr>
            <w:r w:rsidRPr="008D6B36">
              <w:rPr>
                <w:rFonts w:ascii="Times New Roman" w:hAnsi="Times New Roman"/>
                <w:sz w:val="24"/>
                <w:szCs w:val="24"/>
                <w:lang w:eastAsia="ru-RU"/>
              </w:rPr>
              <w:t>p (А</w:t>
            </w:r>
            <w:proofErr w:type="gramStart"/>
            <w:r w:rsidRPr="008D6B36">
              <w:rPr>
                <w:rFonts w:ascii="Times New Roman" w:hAnsi="Times New Roman"/>
                <w:sz w:val="24"/>
                <w:szCs w:val="24"/>
                <w:lang w:eastAsia="ru-RU"/>
              </w:rPr>
              <w:t>1</w:t>
            </w:r>
            <w:proofErr w:type="gramEnd"/>
            <w:r w:rsidRPr="008D6B36">
              <w:rPr>
                <w:rFonts w:ascii="Times New Roman" w:hAnsi="Times New Roman"/>
                <w:sz w:val="24"/>
                <w:szCs w:val="24"/>
                <w:lang w:eastAsia="ru-RU"/>
              </w:rPr>
              <w:t xml:space="preserve"> vs А2)</w:t>
            </w:r>
          </w:p>
        </w:tc>
        <w:tc>
          <w:tcPr>
            <w:tcW w:w="1212"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826364">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0,000</w:t>
            </w:r>
            <w:r w:rsidR="00826364">
              <w:rPr>
                <w:rFonts w:ascii="Times New Roman" w:hAnsi="Times New Roman"/>
                <w:sz w:val="24"/>
                <w:szCs w:val="24"/>
                <w:lang w:eastAsia="ru-RU"/>
              </w:rPr>
              <w:t>38</w:t>
            </w:r>
          </w:p>
        </w:tc>
        <w:tc>
          <w:tcPr>
            <w:tcW w:w="2348" w:type="pct"/>
            <w:tcBorders>
              <w:top w:val="single" w:sz="4" w:space="0" w:color="auto"/>
              <w:left w:val="single" w:sz="4" w:space="0" w:color="auto"/>
              <w:bottom w:val="single" w:sz="4" w:space="0" w:color="auto"/>
              <w:right w:val="single" w:sz="4" w:space="0" w:color="auto"/>
            </w:tcBorders>
            <w:vAlign w:val="center"/>
          </w:tcPr>
          <w:p w:rsidR="00DB0FD6" w:rsidRPr="008D6B36" w:rsidRDefault="00826364" w:rsidP="00F71B34">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0,053</w:t>
            </w:r>
          </w:p>
        </w:tc>
      </w:tr>
      <w:tr w:rsidR="00DB0FD6" w:rsidRPr="008D6B36" w:rsidTr="00986AC6">
        <w:tc>
          <w:tcPr>
            <w:tcW w:w="1440"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F71B34">
            <w:pPr>
              <w:spacing w:after="0" w:line="360" w:lineRule="auto"/>
              <w:ind w:right="-82"/>
              <w:jc w:val="center"/>
              <w:rPr>
                <w:rFonts w:ascii="Times New Roman" w:hAnsi="Times New Roman"/>
                <w:sz w:val="24"/>
                <w:szCs w:val="24"/>
                <w:lang w:eastAsia="ru-RU"/>
              </w:rPr>
            </w:pPr>
            <w:proofErr w:type="gramStart"/>
            <w:r w:rsidRPr="008D6B36">
              <w:rPr>
                <w:rFonts w:ascii="Times New Roman" w:hAnsi="Times New Roman"/>
                <w:sz w:val="24"/>
                <w:szCs w:val="24"/>
                <w:lang w:eastAsia="ru-RU"/>
              </w:rPr>
              <w:t>р</w:t>
            </w:r>
            <w:proofErr w:type="gramEnd"/>
            <w:r w:rsidRPr="008D6B36">
              <w:rPr>
                <w:rFonts w:ascii="Times New Roman" w:hAnsi="Times New Roman"/>
                <w:sz w:val="24"/>
                <w:szCs w:val="24"/>
                <w:lang w:eastAsia="ru-RU"/>
              </w:rPr>
              <w:t xml:space="preserve"> (В1 vs В2)</w:t>
            </w:r>
          </w:p>
        </w:tc>
        <w:tc>
          <w:tcPr>
            <w:tcW w:w="1212"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127B57">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0,0</w:t>
            </w:r>
            <w:r w:rsidR="00127B57">
              <w:rPr>
                <w:rFonts w:ascii="Times New Roman" w:hAnsi="Times New Roman"/>
                <w:sz w:val="24"/>
                <w:szCs w:val="24"/>
                <w:lang w:eastAsia="ru-RU"/>
              </w:rPr>
              <w:t>37</w:t>
            </w:r>
          </w:p>
        </w:tc>
        <w:tc>
          <w:tcPr>
            <w:tcW w:w="2348" w:type="pct"/>
            <w:tcBorders>
              <w:top w:val="single" w:sz="4" w:space="0" w:color="auto"/>
              <w:left w:val="single" w:sz="4" w:space="0" w:color="auto"/>
              <w:bottom w:val="single" w:sz="4" w:space="0" w:color="auto"/>
              <w:right w:val="single" w:sz="4" w:space="0" w:color="auto"/>
            </w:tcBorders>
            <w:vAlign w:val="center"/>
          </w:tcPr>
          <w:p w:rsidR="00DB0FD6" w:rsidRPr="008D6B36" w:rsidRDefault="00DB0FD6" w:rsidP="00F71B34">
            <w:pPr>
              <w:spacing w:after="0" w:line="360" w:lineRule="auto"/>
              <w:jc w:val="center"/>
              <w:rPr>
                <w:rFonts w:ascii="Times New Roman" w:hAnsi="Times New Roman"/>
                <w:sz w:val="24"/>
                <w:szCs w:val="24"/>
                <w:lang w:eastAsia="ru-RU"/>
              </w:rPr>
            </w:pPr>
            <w:r w:rsidRPr="008D6B36">
              <w:rPr>
                <w:rFonts w:ascii="Times New Roman" w:hAnsi="Times New Roman"/>
                <w:sz w:val="24"/>
                <w:szCs w:val="24"/>
                <w:lang w:eastAsia="ru-RU"/>
              </w:rPr>
              <w:t>0,174</w:t>
            </w:r>
          </w:p>
        </w:tc>
      </w:tr>
    </w:tbl>
    <w:p w:rsidR="001C7C52" w:rsidRDefault="001C7C52" w:rsidP="001C7C52">
      <w:pPr>
        <w:spacing w:after="0" w:line="360" w:lineRule="auto"/>
        <w:ind w:firstLine="708"/>
        <w:jc w:val="both"/>
        <w:rPr>
          <w:rFonts w:ascii="Times New Roman" w:eastAsia="Times New Roman" w:hAnsi="Times New Roman"/>
          <w:sz w:val="28"/>
          <w:szCs w:val="28"/>
          <w:lang w:eastAsia="ru-RU"/>
        </w:rPr>
      </w:pPr>
    </w:p>
    <w:p w:rsidR="00DB0FD6" w:rsidRPr="00F71B34" w:rsidRDefault="00DB0FD6" w:rsidP="00F71B34">
      <w:pPr>
        <w:spacing w:after="0" w:line="360" w:lineRule="auto"/>
        <w:ind w:firstLine="708"/>
        <w:jc w:val="both"/>
        <w:rPr>
          <w:rFonts w:ascii="Times New Roman" w:eastAsia="Times New Roman" w:hAnsi="Times New Roman"/>
          <w:sz w:val="28"/>
          <w:szCs w:val="28"/>
          <w:lang w:eastAsia="ru-RU"/>
        </w:rPr>
      </w:pPr>
    </w:p>
    <w:p w:rsidR="00030013" w:rsidRPr="00F71B34" w:rsidRDefault="00030013" w:rsidP="00F71B34">
      <w:pPr>
        <w:pStyle w:val="ad"/>
        <w:numPr>
          <w:ilvl w:val="1"/>
          <w:numId w:val="6"/>
        </w:numPr>
        <w:spacing w:after="0" w:line="36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 xml:space="preserve">Клиническая эффективность проводимой терапии  у больных </w:t>
      </w:r>
      <w:r w:rsidR="007274CD">
        <w:rPr>
          <w:rFonts w:ascii="Times New Roman" w:eastAsia="Times New Roman" w:hAnsi="Times New Roman"/>
          <w:b/>
          <w:sz w:val="28"/>
          <w:szCs w:val="28"/>
          <w:lang w:eastAsia="ru-RU"/>
        </w:rPr>
        <w:t>ревматоидным артритом</w:t>
      </w:r>
    </w:p>
    <w:p w:rsidR="007274CD"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Для оценки динамики клинико-лабораторной эффективности проводимой терапии все больные РА были обследованы в различные периоды наблюдения: исходно, на первом году – через 16, 24 недели терапии, что совпадало с графиком наблюдения после инфузии РТМ, затем каждые</w:t>
      </w:r>
      <w:r w:rsidR="007274CD">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12 месяцев. Максимальная д</w:t>
      </w:r>
      <w:r w:rsidR="00556A74">
        <w:rPr>
          <w:rFonts w:ascii="Times New Roman" w:eastAsia="Times New Roman" w:hAnsi="Times New Roman"/>
          <w:sz w:val="28"/>
          <w:szCs w:val="28"/>
          <w:lang w:eastAsia="ru-RU"/>
        </w:rPr>
        <w:t>лительность наблюдения составила 48 месяцев</w:t>
      </w:r>
      <w:r w:rsidRPr="00F71B34">
        <w:rPr>
          <w:rFonts w:ascii="Times New Roman" w:eastAsia="Times New Roman" w:hAnsi="Times New Roman"/>
          <w:sz w:val="28"/>
          <w:szCs w:val="28"/>
          <w:lang w:eastAsia="ru-RU"/>
        </w:rPr>
        <w:t xml:space="preserve">. Пациентам проводился подсчет количества болезненных и припухших суставов, определение СОЭ и оценка активности заболевания пациентом </w:t>
      </w:r>
      <w:proofErr w:type="gramStart"/>
      <w:r w:rsidRPr="00F71B34">
        <w:rPr>
          <w:rFonts w:ascii="Times New Roman" w:eastAsia="Times New Roman" w:hAnsi="Times New Roman"/>
          <w:sz w:val="28"/>
          <w:szCs w:val="28"/>
          <w:lang w:eastAsia="ru-RU"/>
        </w:rPr>
        <w:t>по</w:t>
      </w:r>
      <w:proofErr w:type="gramEnd"/>
      <w:r w:rsidRPr="00F71B34">
        <w:rPr>
          <w:rFonts w:ascii="Times New Roman" w:eastAsia="Times New Roman" w:hAnsi="Times New Roman"/>
          <w:sz w:val="28"/>
          <w:szCs w:val="28"/>
          <w:lang w:eastAsia="ru-RU"/>
        </w:rPr>
        <w:t xml:space="preserve"> ВАШ. По данным четырем параметрам проводился расчет индекса активности DAS28</w:t>
      </w:r>
      <w:r w:rsidR="007274CD">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 согласно  формуле</w:t>
      </w:r>
      <w:r w:rsidR="007274CD">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 с помощь онлайн</w:t>
      </w:r>
      <w:r w:rsidR="007274CD">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калькулятора:</w:t>
      </w:r>
    </w:p>
    <w:p w:rsidR="00030013" w:rsidRPr="00F71B34" w:rsidRDefault="00030013" w:rsidP="007274CD">
      <w:pPr>
        <w:spacing w:after="0" w:line="360" w:lineRule="auto"/>
        <w:jc w:val="center"/>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DAS28 = 0,56</w:t>
      </w:r>
      <w:r w:rsidR="007274CD">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√(ЧБС28) + 0,28</w:t>
      </w:r>
      <w:r w:rsidR="007274CD">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(ЧПС28) + 0,70</w:t>
      </w:r>
      <w:r w:rsidR="007274CD">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Ln(СОЭ) +</w:t>
      </w:r>
      <w:r w:rsidR="007274CD">
        <w:rPr>
          <w:rFonts w:ascii="Times New Roman" w:eastAsia="Times New Roman" w:hAnsi="Times New Roman"/>
          <w:sz w:val="28"/>
          <w:szCs w:val="28"/>
          <w:lang w:eastAsia="ru-RU"/>
        </w:rPr>
        <w:br/>
        <w:t xml:space="preserve">+ </w:t>
      </w:r>
      <w:r w:rsidRPr="00F71B34">
        <w:rPr>
          <w:rFonts w:ascii="Times New Roman" w:eastAsia="Times New Roman" w:hAnsi="Times New Roman"/>
          <w:sz w:val="28"/>
          <w:szCs w:val="28"/>
          <w:lang w:eastAsia="ru-RU"/>
        </w:rPr>
        <w:t>0,014</w:t>
      </w:r>
      <w:r w:rsidR="007274CD">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ВАШ.</w:t>
      </w:r>
    </w:p>
    <w:p w:rsidR="00030013" w:rsidRDefault="00030013" w:rsidP="00F71B34">
      <w:pPr>
        <w:spacing w:after="0" w:line="360" w:lineRule="auto"/>
        <w:ind w:firstLine="708"/>
        <w:jc w:val="both"/>
        <w:rPr>
          <w:rFonts w:ascii="Times New Roman" w:eastAsia="Times New Roman" w:hAnsi="Times New Roman"/>
          <w:color w:val="FF0000"/>
          <w:sz w:val="28"/>
          <w:szCs w:val="28"/>
          <w:lang w:eastAsia="ru-RU"/>
        </w:rPr>
      </w:pPr>
    </w:p>
    <w:p w:rsidR="00B14E16" w:rsidRPr="00F71B34" w:rsidRDefault="00B14E16" w:rsidP="00F71B34">
      <w:pPr>
        <w:spacing w:after="0" w:line="360" w:lineRule="auto"/>
        <w:ind w:firstLine="708"/>
        <w:jc w:val="both"/>
        <w:rPr>
          <w:rFonts w:ascii="Times New Roman" w:eastAsia="Times New Roman" w:hAnsi="Times New Roman"/>
          <w:color w:val="FF0000"/>
          <w:sz w:val="28"/>
          <w:szCs w:val="28"/>
          <w:lang w:eastAsia="ru-RU"/>
        </w:rPr>
      </w:pPr>
    </w:p>
    <w:p w:rsidR="00030013" w:rsidRPr="00F71B34" w:rsidRDefault="00030013" w:rsidP="00F71B34">
      <w:pPr>
        <w:pStyle w:val="ad"/>
        <w:numPr>
          <w:ilvl w:val="2"/>
          <w:numId w:val="6"/>
        </w:numPr>
        <w:spacing w:after="0" w:line="36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lastRenderedPageBreak/>
        <w:t xml:space="preserve">Динамика показателей клинической эффективности монотерапии </w:t>
      </w:r>
      <w:r w:rsidR="007274CD">
        <w:rPr>
          <w:rFonts w:ascii="Times New Roman" w:eastAsia="Times New Roman" w:hAnsi="Times New Roman"/>
          <w:b/>
          <w:sz w:val="28"/>
          <w:szCs w:val="28"/>
          <w:lang w:eastAsia="ru-RU"/>
        </w:rPr>
        <w:t>метотрексат</w:t>
      </w:r>
      <w:r w:rsidR="00404230">
        <w:rPr>
          <w:rFonts w:ascii="Times New Roman" w:eastAsia="Times New Roman" w:hAnsi="Times New Roman"/>
          <w:b/>
          <w:sz w:val="28"/>
          <w:szCs w:val="28"/>
          <w:lang w:eastAsia="ru-RU"/>
        </w:rPr>
        <w:t>ом</w:t>
      </w: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Установлено, что у пациентов с монотерапией МТХ число болезненных суставов исходно составило 12,6±1,9, через 24 недели терапии количество болезненных суставов достоверно</w:t>
      </w:r>
      <w:r w:rsidR="00556A74">
        <w:rPr>
          <w:rFonts w:ascii="Times New Roman" w:eastAsia="Times New Roman" w:hAnsi="Times New Roman"/>
          <w:sz w:val="28"/>
          <w:szCs w:val="28"/>
          <w:lang w:eastAsia="ru-RU"/>
        </w:rPr>
        <w:t xml:space="preserve"> уменьшилось (6,8±1,6, </w:t>
      </w:r>
      <w:proofErr w:type="gramStart"/>
      <w:r w:rsidR="00556A74">
        <w:rPr>
          <w:rFonts w:ascii="Times New Roman" w:eastAsia="Times New Roman" w:hAnsi="Times New Roman"/>
          <w:sz w:val="28"/>
          <w:szCs w:val="28"/>
          <w:lang w:eastAsia="ru-RU"/>
        </w:rPr>
        <w:t>р</w:t>
      </w:r>
      <w:proofErr w:type="gramEnd"/>
      <w:r w:rsidR="00556A74">
        <w:rPr>
          <w:rFonts w:ascii="Times New Roman" w:eastAsia="Times New Roman" w:hAnsi="Times New Roman"/>
          <w:sz w:val="28"/>
          <w:szCs w:val="28"/>
          <w:lang w:eastAsia="ru-RU"/>
        </w:rPr>
        <w:t>=0,032) и сохранялось</w:t>
      </w:r>
      <w:r w:rsidRPr="00F71B34">
        <w:rPr>
          <w:rFonts w:ascii="Times New Roman" w:eastAsia="Times New Roman" w:hAnsi="Times New Roman"/>
          <w:sz w:val="28"/>
          <w:szCs w:val="28"/>
          <w:lang w:eastAsia="ru-RU"/>
        </w:rPr>
        <w:t xml:space="preserve"> </w:t>
      </w:r>
      <w:r w:rsidR="00672085">
        <w:rPr>
          <w:rFonts w:ascii="Times New Roman" w:eastAsia="Times New Roman" w:hAnsi="Times New Roman"/>
          <w:sz w:val="28"/>
          <w:szCs w:val="28"/>
          <w:lang w:eastAsia="ru-RU"/>
        </w:rPr>
        <w:t xml:space="preserve">на данном уровне </w:t>
      </w:r>
      <w:r w:rsidRPr="00F71B34">
        <w:rPr>
          <w:rFonts w:ascii="Times New Roman" w:eastAsia="Times New Roman" w:hAnsi="Times New Roman"/>
          <w:sz w:val="28"/>
          <w:szCs w:val="28"/>
          <w:lang w:eastAsia="ru-RU"/>
        </w:rPr>
        <w:t>через 12 месяцев терапии (6,3±2,1, р=0,025). Через 24 месяца лечения количество болезненных суставов увеличилось</w:t>
      </w:r>
      <w:r w:rsidR="00556A74">
        <w:rPr>
          <w:rFonts w:ascii="Times New Roman" w:eastAsia="Times New Roman" w:hAnsi="Times New Roman"/>
          <w:sz w:val="28"/>
          <w:szCs w:val="28"/>
          <w:lang w:eastAsia="ru-RU"/>
        </w:rPr>
        <w:t>, но не достиг</w:t>
      </w:r>
      <w:r w:rsidR="00A24FA8">
        <w:rPr>
          <w:rFonts w:ascii="Times New Roman" w:eastAsia="Times New Roman" w:hAnsi="Times New Roman"/>
          <w:sz w:val="28"/>
          <w:szCs w:val="28"/>
          <w:lang w:eastAsia="ru-RU"/>
        </w:rPr>
        <w:t>а</w:t>
      </w:r>
      <w:r w:rsidRPr="00F71B34">
        <w:rPr>
          <w:rFonts w:ascii="Times New Roman" w:eastAsia="Times New Roman" w:hAnsi="Times New Roman"/>
          <w:sz w:val="28"/>
          <w:szCs w:val="28"/>
          <w:lang w:eastAsia="ru-RU"/>
        </w:rPr>
        <w:t>ло уровня статистической значимости относительно исходных показател</w:t>
      </w:r>
      <w:r w:rsidR="005B5F87" w:rsidRPr="00F71B34">
        <w:rPr>
          <w:rFonts w:ascii="Times New Roman" w:eastAsia="Times New Roman" w:hAnsi="Times New Roman"/>
          <w:sz w:val="28"/>
          <w:szCs w:val="28"/>
          <w:lang w:eastAsia="ru-RU"/>
        </w:rPr>
        <w:t xml:space="preserve">ей (7,9±2,3, </w:t>
      </w:r>
      <w:proofErr w:type="gramStart"/>
      <w:r w:rsidR="005B5F87" w:rsidRPr="00F71B34">
        <w:rPr>
          <w:rFonts w:ascii="Times New Roman" w:eastAsia="Times New Roman" w:hAnsi="Times New Roman"/>
          <w:sz w:val="28"/>
          <w:szCs w:val="28"/>
          <w:lang w:eastAsia="ru-RU"/>
        </w:rPr>
        <w:t>р</w:t>
      </w:r>
      <w:proofErr w:type="gramEnd"/>
      <w:r w:rsidR="005B5F87" w:rsidRPr="00F71B34">
        <w:rPr>
          <w:rFonts w:ascii="Times New Roman" w:eastAsia="Times New Roman" w:hAnsi="Times New Roman"/>
          <w:sz w:val="28"/>
          <w:szCs w:val="28"/>
          <w:lang w:eastAsia="ru-RU"/>
        </w:rPr>
        <w:t>=0,065). В течение</w:t>
      </w:r>
      <w:r w:rsidRPr="00F71B34">
        <w:rPr>
          <w:rFonts w:ascii="Times New Roman" w:eastAsia="Times New Roman" w:hAnsi="Times New Roman"/>
          <w:sz w:val="28"/>
          <w:szCs w:val="28"/>
          <w:lang w:eastAsia="ru-RU"/>
        </w:rPr>
        <w:t xml:space="preserve"> последующих месяцев наблюдения данный показатель </w:t>
      </w:r>
      <w:r w:rsidR="0026202A">
        <w:rPr>
          <w:rFonts w:ascii="Times New Roman" w:eastAsia="Times New Roman" w:hAnsi="Times New Roman"/>
          <w:sz w:val="28"/>
          <w:szCs w:val="28"/>
          <w:lang w:eastAsia="ru-RU"/>
        </w:rPr>
        <w:t>оставался стабильным (табл. 23</w:t>
      </w:r>
      <w:r w:rsidRPr="00F71B34">
        <w:rPr>
          <w:rFonts w:ascii="Times New Roman" w:eastAsia="Times New Roman" w:hAnsi="Times New Roman"/>
          <w:sz w:val="28"/>
          <w:szCs w:val="28"/>
          <w:lang w:eastAsia="ru-RU"/>
        </w:rPr>
        <w:t>)</w:t>
      </w:r>
      <w:r w:rsidR="00556A74">
        <w:rPr>
          <w:rFonts w:ascii="Times New Roman" w:eastAsia="Times New Roman" w:hAnsi="Times New Roman"/>
          <w:sz w:val="28"/>
          <w:szCs w:val="28"/>
          <w:lang w:eastAsia="ru-RU"/>
        </w:rPr>
        <w:t>.</w:t>
      </w:r>
    </w:p>
    <w:p w:rsidR="009A3840" w:rsidRPr="002518A4" w:rsidRDefault="009A3840" w:rsidP="009A3840">
      <w:pPr>
        <w:spacing w:after="0" w:line="360" w:lineRule="auto"/>
        <w:jc w:val="both"/>
        <w:rPr>
          <w:rFonts w:ascii="Times New Roman" w:eastAsia="Times New Roman" w:hAnsi="Times New Roman"/>
          <w:b/>
          <w:sz w:val="28"/>
          <w:szCs w:val="28"/>
          <w:lang w:eastAsia="ru-RU"/>
        </w:rPr>
      </w:pP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7274CD">
        <w:rPr>
          <w:rFonts w:ascii="Times New Roman" w:eastAsia="Times New Roman" w:hAnsi="Times New Roman"/>
          <w:spacing w:val="40"/>
          <w:sz w:val="28"/>
          <w:szCs w:val="28"/>
          <w:lang w:eastAsia="ru-RU"/>
        </w:rPr>
        <w:t>Таблица</w:t>
      </w:r>
      <w:r w:rsidRPr="00F71B34">
        <w:rPr>
          <w:rFonts w:ascii="Times New Roman" w:eastAsia="Times New Roman" w:hAnsi="Times New Roman"/>
          <w:sz w:val="28"/>
          <w:szCs w:val="28"/>
          <w:lang w:eastAsia="ru-RU"/>
        </w:rPr>
        <w:t xml:space="preserve"> 23</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Динамика показателей клинико-лабораторной активности на фоне монотерапии МТХ у больных 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863"/>
        <w:gridCol w:w="1166"/>
        <w:gridCol w:w="1166"/>
        <w:gridCol w:w="1168"/>
        <w:gridCol w:w="1166"/>
        <w:gridCol w:w="1168"/>
        <w:gridCol w:w="1166"/>
        <w:gridCol w:w="1172"/>
      </w:tblGrid>
      <w:tr w:rsidR="00030013" w:rsidRPr="008D6B36" w:rsidTr="00B14E16">
        <w:trPr>
          <w:trHeight w:val="225"/>
          <w:jc w:val="center"/>
        </w:trPr>
        <w:tc>
          <w:tcPr>
            <w:tcW w:w="928" w:type="pct"/>
            <w:vMerge w:val="restar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Показатель</w:t>
            </w:r>
          </w:p>
        </w:tc>
        <w:tc>
          <w:tcPr>
            <w:tcW w:w="4072" w:type="pct"/>
            <w:gridSpan w:val="7"/>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Период</w:t>
            </w:r>
          </w:p>
        </w:tc>
      </w:tr>
      <w:tr w:rsidR="00030013" w:rsidRPr="008D6B36" w:rsidTr="00B14E16">
        <w:trPr>
          <w:trHeight w:val="255"/>
          <w:jc w:val="center"/>
        </w:trPr>
        <w:tc>
          <w:tcPr>
            <w:tcW w:w="928" w:type="pct"/>
            <w:vMerge/>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Исходно</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16</w:t>
            </w:r>
          </w:p>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недель</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24</w:t>
            </w:r>
          </w:p>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недели</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12 месяцев</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 xml:space="preserve">24 </w:t>
            </w:r>
          </w:p>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месяца</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36 месяцев</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48 месяцев</w:t>
            </w:r>
          </w:p>
        </w:tc>
      </w:tr>
      <w:tr w:rsidR="00030013" w:rsidRPr="008D6B36" w:rsidTr="00B14E16">
        <w:trPr>
          <w:trHeight w:val="552"/>
          <w:jc w:val="center"/>
        </w:trPr>
        <w:tc>
          <w:tcPr>
            <w:tcW w:w="928"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Число болезненных суставов</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12,6±1,9</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7,6±1,3</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6,8±1,6*</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6,3±2,1*</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7,9±2,3</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8,6±1,7</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7,4±2,2</w:t>
            </w:r>
          </w:p>
        </w:tc>
      </w:tr>
      <w:tr w:rsidR="00030013" w:rsidRPr="008D6B36" w:rsidTr="00B14E16">
        <w:trPr>
          <w:trHeight w:val="552"/>
          <w:jc w:val="center"/>
        </w:trPr>
        <w:tc>
          <w:tcPr>
            <w:tcW w:w="928"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Число припухших суставов</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6,8±2,2</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3,3±1,2</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2,4±1,1*</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2,3±1,7*</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2,6±2,1*</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4,5±1,9</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6,2±1,9</w:t>
            </w:r>
          </w:p>
        </w:tc>
      </w:tr>
      <w:tr w:rsidR="00030013" w:rsidRPr="008D6B36" w:rsidTr="00B14E16">
        <w:trPr>
          <w:trHeight w:val="552"/>
          <w:jc w:val="center"/>
        </w:trPr>
        <w:tc>
          <w:tcPr>
            <w:tcW w:w="928"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СОЭ, мм/час</w:t>
            </w:r>
          </w:p>
        </w:tc>
        <w:tc>
          <w:tcPr>
            <w:tcW w:w="581" w:type="pct"/>
            <w:shd w:val="clear" w:color="auto" w:fill="auto"/>
            <w:tcMar>
              <w:left w:w="57" w:type="dxa"/>
              <w:right w:w="57" w:type="dxa"/>
            </w:tcMar>
            <w:vAlign w:val="center"/>
          </w:tcPr>
          <w:p w:rsidR="00030013" w:rsidRPr="00654A6C" w:rsidRDefault="002A6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w:t>
            </w:r>
            <w:r w:rsidR="00030013" w:rsidRPr="00654A6C">
              <w:rPr>
                <w:rFonts w:ascii="Times New Roman" w:eastAsia="Times New Roman" w:hAnsi="Times New Roman"/>
                <w:sz w:val="24"/>
                <w:szCs w:val="24"/>
                <w:lang w:eastAsia="ru-RU"/>
              </w:rPr>
              <w:t>2,4±4,7</w:t>
            </w:r>
          </w:p>
        </w:tc>
        <w:tc>
          <w:tcPr>
            <w:tcW w:w="581" w:type="pct"/>
            <w:shd w:val="clear" w:color="auto" w:fill="auto"/>
            <w:tcMar>
              <w:left w:w="57" w:type="dxa"/>
              <w:right w:w="57" w:type="dxa"/>
            </w:tcMar>
            <w:vAlign w:val="center"/>
          </w:tcPr>
          <w:p w:rsidR="00030013" w:rsidRPr="00654A6C" w:rsidRDefault="002A6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w:t>
            </w:r>
            <w:r w:rsidR="00030013" w:rsidRPr="00654A6C">
              <w:rPr>
                <w:rFonts w:ascii="Times New Roman" w:eastAsia="Times New Roman" w:hAnsi="Times New Roman"/>
                <w:sz w:val="24"/>
                <w:szCs w:val="24"/>
                <w:lang w:eastAsia="ru-RU"/>
              </w:rPr>
              <w:t>4,2±2,6</w:t>
            </w:r>
          </w:p>
        </w:tc>
        <w:tc>
          <w:tcPr>
            <w:tcW w:w="582" w:type="pct"/>
            <w:shd w:val="clear" w:color="auto" w:fill="auto"/>
            <w:tcMar>
              <w:left w:w="57" w:type="dxa"/>
              <w:right w:w="57" w:type="dxa"/>
            </w:tcMar>
            <w:vAlign w:val="center"/>
          </w:tcPr>
          <w:p w:rsidR="00030013" w:rsidRPr="00654A6C" w:rsidRDefault="002A6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w:t>
            </w:r>
            <w:r w:rsidR="00030013" w:rsidRPr="00654A6C">
              <w:rPr>
                <w:rFonts w:ascii="Times New Roman" w:eastAsia="Times New Roman" w:hAnsi="Times New Roman"/>
                <w:sz w:val="24"/>
                <w:szCs w:val="24"/>
                <w:lang w:eastAsia="ru-RU"/>
              </w:rPr>
              <w:t>6,7±5,2</w:t>
            </w:r>
          </w:p>
        </w:tc>
        <w:tc>
          <w:tcPr>
            <w:tcW w:w="581" w:type="pct"/>
            <w:shd w:val="clear" w:color="auto" w:fill="auto"/>
            <w:tcMar>
              <w:left w:w="57" w:type="dxa"/>
              <w:right w:w="57" w:type="dxa"/>
            </w:tcMar>
            <w:vAlign w:val="center"/>
          </w:tcPr>
          <w:p w:rsidR="00030013" w:rsidRPr="00654A6C" w:rsidRDefault="002A6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w:t>
            </w:r>
            <w:r w:rsidR="00030013" w:rsidRPr="00654A6C">
              <w:rPr>
                <w:rFonts w:ascii="Times New Roman" w:eastAsia="Times New Roman" w:hAnsi="Times New Roman"/>
                <w:sz w:val="24"/>
                <w:szCs w:val="24"/>
                <w:lang w:eastAsia="ru-RU"/>
              </w:rPr>
              <w:t>8,6±3,4</w:t>
            </w:r>
          </w:p>
        </w:tc>
        <w:tc>
          <w:tcPr>
            <w:tcW w:w="582" w:type="pct"/>
            <w:shd w:val="clear" w:color="auto" w:fill="auto"/>
            <w:tcMar>
              <w:left w:w="57" w:type="dxa"/>
              <w:right w:w="57" w:type="dxa"/>
            </w:tcMar>
            <w:vAlign w:val="center"/>
          </w:tcPr>
          <w:p w:rsidR="00030013" w:rsidRPr="00654A6C" w:rsidRDefault="00363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w:t>
            </w:r>
            <w:r w:rsidR="00030013" w:rsidRPr="00654A6C">
              <w:rPr>
                <w:rFonts w:ascii="Times New Roman" w:eastAsia="Times New Roman" w:hAnsi="Times New Roman"/>
                <w:sz w:val="24"/>
                <w:szCs w:val="24"/>
                <w:lang w:eastAsia="ru-RU"/>
              </w:rPr>
              <w:t>4,8±4,7</w:t>
            </w:r>
          </w:p>
        </w:tc>
        <w:tc>
          <w:tcPr>
            <w:tcW w:w="581" w:type="pct"/>
            <w:shd w:val="clear" w:color="auto" w:fill="auto"/>
            <w:tcMar>
              <w:left w:w="57" w:type="dxa"/>
              <w:right w:w="57" w:type="dxa"/>
            </w:tcMar>
            <w:vAlign w:val="center"/>
          </w:tcPr>
          <w:p w:rsidR="00030013" w:rsidRPr="00654A6C" w:rsidRDefault="00363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w:t>
            </w:r>
            <w:r w:rsidR="00030013" w:rsidRPr="00654A6C">
              <w:rPr>
                <w:rFonts w:ascii="Times New Roman" w:eastAsia="Times New Roman" w:hAnsi="Times New Roman"/>
                <w:sz w:val="24"/>
                <w:szCs w:val="24"/>
                <w:lang w:eastAsia="ru-RU"/>
              </w:rPr>
              <w:t>5,8±3,7</w:t>
            </w:r>
          </w:p>
        </w:tc>
        <w:tc>
          <w:tcPr>
            <w:tcW w:w="582" w:type="pct"/>
            <w:shd w:val="clear" w:color="auto" w:fill="auto"/>
            <w:tcMar>
              <w:left w:w="57" w:type="dxa"/>
              <w:right w:w="57" w:type="dxa"/>
            </w:tcMar>
            <w:vAlign w:val="center"/>
          </w:tcPr>
          <w:p w:rsidR="00030013" w:rsidRPr="00654A6C" w:rsidRDefault="00363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w:t>
            </w:r>
            <w:r w:rsidR="00030013" w:rsidRPr="00654A6C">
              <w:rPr>
                <w:rFonts w:ascii="Times New Roman" w:eastAsia="Times New Roman" w:hAnsi="Times New Roman"/>
                <w:sz w:val="24"/>
                <w:szCs w:val="24"/>
                <w:lang w:eastAsia="ru-RU"/>
              </w:rPr>
              <w:t>4,4±4,7</w:t>
            </w:r>
          </w:p>
        </w:tc>
      </w:tr>
      <w:tr w:rsidR="00030013" w:rsidRPr="008D6B36" w:rsidTr="00B14E16">
        <w:trPr>
          <w:trHeight w:val="552"/>
          <w:jc w:val="center"/>
        </w:trPr>
        <w:tc>
          <w:tcPr>
            <w:tcW w:w="928"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 xml:space="preserve">ВАШ, </w:t>
            </w:r>
            <w:proofErr w:type="gramStart"/>
            <w:r w:rsidRPr="00654A6C">
              <w:rPr>
                <w:rFonts w:ascii="Times New Roman" w:eastAsia="Times New Roman" w:hAnsi="Times New Roman"/>
                <w:sz w:val="24"/>
                <w:szCs w:val="24"/>
                <w:lang w:eastAsia="ru-RU"/>
              </w:rPr>
              <w:t>мм</w:t>
            </w:r>
            <w:proofErr w:type="gramEnd"/>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32,5±7,8</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26,5±9,7</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34,6±8,7</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32,4±7,7</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40,6±8,5</w:t>
            </w:r>
          </w:p>
        </w:tc>
        <w:tc>
          <w:tcPr>
            <w:tcW w:w="581"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38,5±5,4</w:t>
            </w:r>
          </w:p>
        </w:tc>
        <w:tc>
          <w:tcPr>
            <w:tcW w:w="582" w:type="pct"/>
            <w:shd w:val="clear" w:color="auto" w:fill="auto"/>
            <w:tcMar>
              <w:left w:w="57" w:type="dxa"/>
              <w:right w:w="57" w:type="dxa"/>
            </w:tcMar>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48,3±12,7</w:t>
            </w:r>
          </w:p>
        </w:tc>
      </w:tr>
      <w:tr w:rsidR="00030013" w:rsidRPr="008D6B36" w:rsidTr="00B14E16">
        <w:trPr>
          <w:trHeight w:val="552"/>
          <w:jc w:val="center"/>
        </w:trPr>
        <w:tc>
          <w:tcPr>
            <w:tcW w:w="928" w:type="pct"/>
            <w:shd w:val="clear" w:color="auto" w:fill="auto"/>
            <w:tcMar>
              <w:left w:w="57" w:type="dxa"/>
              <w:right w:w="57" w:type="dxa"/>
            </w:tcMar>
            <w:vAlign w:val="center"/>
          </w:tcPr>
          <w:p w:rsidR="00030013" w:rsidRPr="00654A6C" w:rsidRDefault="00030013" w:rsidP="007274CD">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DAS28</w:t>
            </w:r>
          </w:p>
        </w:tc>
        <w:tc>
          <w:tcPr>
            <w:tcW w:w="581" w:type="pct"/>
            <w:shd w:val="clear" w:color="auto" w:fill="auto"/>
            <w:tcMar>
              <w:left w:w="57" w:type="dxa"/>
              <w:right w:w="57" w:type="dxa"/>
            </w:tcMar>
            <w:vAlign w:val="center"/>
          </w:tcPr>
          <w:p w:rsidR="00030013" w:rsidRPr="00654A6C" w:rsidRDefault="002A6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5</w:t>
            </w:r>
            <w:r w:rsidR="00030013" w:rsidRPr="00654A6C">
              <w:rPr>
                <w:rFonts w:ascii="Times New Roman" w:eastAsia="Times New Roman" w:hAnsi="Times New Roman"/>
                <w:sz w:val="24"/>
                <w:szCs w:val="24"/>
                <w:lang w:eastAsia="ru-RU"/>
              </w:rPr>
              <w:t>,65±1,3</w:t>
            </w:r>
          </w:p>
        </w:tc>
        <w:tc>
          <w:tcPr>
            <w:tcW w:w="581" w:type="pct"/>
            <w:shd w:val="clear" w:color="auto" w:fill="auto"/>
            <w:tcMar>
              <w:left w:w="57" w:type="dxa"/>
              <w:right w:w="57" w:type="dxa"/>
            </w:tcMar>
            <w:vAlign w:val="center"/>
          </w:tcPr>
          <w:p w:rsidR="00030013" w:rsidRPr="00654A6C" w:rsidRDefault="002A6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w:t>
            </w:r>
            <w:r w:rsidR="00030013" w:rsidRPr="00654A6C">
              <w:rPr>
                <w:rFonts w:ascii="Times New Roman" w:eastAsia="Times New Roman" w:hAnsi="Times New Roman"/>
                <w:sz w:val="24"/>
                <w:szCs w:val="24"/>
                <w:lang w:eastAsia="ru-RU"/>
              </w:rPr>
              <w:t>,87±1,2</w:t>
            </w:r>
          </w:p>
        </w:tc>
        <w:tc>
          <w:tcPr>
            <w:tcW w:w="582" w:type="pct"/>
            <w:shd w:val="clear" w:color="auto" w:fill="auto"/>
            <w:tcMar>
              <w:left w:w="57" w:type="dxa"/>
              <w:right w:w="57" w:type="dxa"/>
            </w:tcMar>
            <w:vAlign w:val="center"/>
          </w:tcPr>
          <w:p w:rsidR="00030013" w:rsidRPr="00654A6C" w:rsidRDefault="002A6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w:t>
            </w:r>
            <w:r w:rsidR="00030013" w:rsidRPr="00654A6C">
              <w:rPr>
                <w:rFonts w:ascii="Times New Roman" w:eastAsia="Times New Roman" w:hAnsi="Times New Roman"/>
                <w:sz w:val="24"/>
                <w:szCs w:val="24"/>
                <w:lang w:eastAsia="ru-RU"/>
              </w:rPr>
              <w:t>,8</w:t>
            </w:r>
            <w:r w:rsidRPr="00654A6C">
              <w:rPr>
                <w:rFonts w:ascii="Times New Roman" w:eastAsia="Times New Roman" w:hAnsi="Times New Roman"/>
                <w:sz w:val="24"/>
                <w:szCs w:val="24"/>
                <w:lang w:eastAsia="ru-RU"/>
              </w:rPr>
              <w:t>1</w:t>
            </w:r>
            <w:r w:rsidR="00030013" w:rsidRPr="00654A6C">
              <w:rPr>
                <w:rFonts w:ascii="Times New Roman" w:eastAsia="Times New Roman" w:hAnsi="Times New Roman"/>
                <w:sz w:val="24"/>
                <w:szCs w:val="24"/>
                <w:lang w:eastAsia="ru-RU"/>
              </w:rPr>
              <w:t>±1,2</w:t>
            </w:r>
          </w:p>
        </w:tc>
        <w:tc>
          <w:tcPr>
            <w:tcW w:w="581" w:type="pct"/>
            <w:shd w:val="clear" w:color="auto" w:fill="auto"/>
            <w:tcMar>
              <w:left w:w="57" w:type="dxa"/>
              <w:right w:w="57" w:type="dxa"/>
            </w:tcMar>
            <w:vAlign w:val="center"/>
          </w:tcPr>
          <w:p w:rsidR="00030013" w:rsidRPr="00654A6C" w:rsidRDefault="002A6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w:t>
            </w:r>
            <w:r w:rsidR="00030013" w:rsidRPr="00654A6C">
              <w:rPr>
                <w:rFonts w:ascii="Times New Roman" w:eastAsia="Times New Roman" w:hAnsi="Times New Roman"/>
                <w:sz w:val="24"/>
                <w:szCs w:val="24"/>
                <w:lang w:eastAsia="ru-RU"/>
              </w:rPr>
              <w:t>,42±1,4</w:t>
            </w:r>
          </w:p>
        </w:tc>
        <w:tc>
          <w:tcPr>
            <w:tcW w:w="582" w:type="pct"/>
            <w:shd w:val="clear" w:color="auto" w:fill="auto"/>
            <w:tcMar>
              <w:left w:w="57" w:type="dxa"/>
              <w:right w:w="57" w:type="dxa"/>
            </w:tcMar>
            <w:vAlign w:val="center"/>
          </w:tcPr>
          <w:p w:rsidR="00030013" w:rsidRPr="00654A6C" w:rsidRDefault="00363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4,6</w:t>
            </w:r>
            <w:r w:rsidR="00030013" w:rsidRPr="00654A6C">
              <w:rPr>
                <w:rFonts w:ascii="Times New Roman" w:eastAsia="Times New Roman" w:hAnsi="Times New Roman"/>
                <w:sz w:val="24"/>
                <w:szCs w:val="24"/>
                <w:lang w:eastAsia="ru-RU"/>
              </w:rPr>
              <w:t>1±1,6</w:t>
            </w:r>
          </w:p>
        </w:tc>
        <w:tc>
          <w:tcPr>
            <w:tcW w:w="581" w:type="pct"/>
            <w:shd w:val="clear" w:color="auto" w:fill="auto"/>
            <w:tcMar>
              <w:left w:w="57" w:type="dxa"/>
              <w:right w:w="57" w:type="dxa"/>
            </w:tcMar>
            <w:vAlign w:val="center"/>
          </w:tcPr>
          <w:p w:rsidR="00030013" w:rsidRPr="00654A6C" w:rsidRDefault="00363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4,9</w:t>
            </w:r>
            <w:r w:rsidR="00030013" w:rsidRPr="00654A6C">
              <w:rPr>
                <w:rFonts w:ascii="Times New Roman" w:eastAsia="Times New Roman" w:hAnsi="Times New Roman"/>
                <w:sz w:val="24"/>
                <w:szCs w:val="24"/>
                <w:lang w:eastAsia="ru-RU"/>
              </w:rPr>
              <w:t>3±1,4</w:t>
            </w:r>
          </w:p>
        </w:tc>
        <w:tc>
          <w:tcPr>
            <w:tcW w:w="582" w:type="pct"/>
            <w:shd w:val="clear" w:color="auto" w:fill="auto"/>
            <w:tcMar>
              <w:left w:w="57" w:type="dxa"/>
              <w:right w:w="57" w:type="dxa"/>
            </w:tcMar>
            <w:vAlign w:val="center"/>
          </w:tcPr>
          <w:p w:rsidR="00030013" w:rsidRPr="00654A6C" w:rsidRDefault="00363EF8"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5</w:t>
            </w:r>
            <w:r w:rsidR="00030013" w:rsidRPr="00654A6C">
              <w:rPr>
                <w:rFonts w:ascii="Times New Roman" w:eastAsia="Times New Roman" w:hAnsi="Times New Roman"/>
                <w:sz w:val="24"/>
                <w:szCs w:val="24"/>
                <w:lang w:eastAsia="ru-RU"/>
              </w:rPr>
              <w:t>,12±1,3</w:t>
            </w:r>
          </w:p>
        </w:tc>
      </w:tr>
    </w:tbl>
    <w:p w:rsidR="00030013" w:rsidRPr="00F71B34" w:rsidRDefault="00030013" w:rsidP="00F71B34">
      <w:pPr>
        <w:spacing w:after="0" w:line="360" w:lineRule="auto"/>
        <w:jc w:val="both"/>
        <w:rPr>
          <w:rFonts w:ascii="Times New Roman" w:eastAsia="Times New Roman" w:hAnsi="Times New Roman"/>
          <w:i/>
          <w:sz w:val="28"/>
          <w:szCs w:val="28"/>
          <w:lang w:eastAsia="ru-RU"/>
        </w:rPr>
      </w:pPr>
      <w:r w:rsidRPr="00F71B34">
        <w:rPr>
          <w:rFonts w:ascii="Times New Roman" w:eastAsia="Times New Roman" w:hAnsi="Times New Roman"/>
          <w:i/>
          <w:sz w:val="28"/>
          <w:szCs w:val="28"/>
          <w:lang w:eastAsia="ru-RU"/>
        </w:rPr>
        <w:t>* p&lt;0,05 по сравнению с исходными показателями.</w:t>
      </w:r>
    </w:p>
    <w:p w:rsidR="00B14E16" w:rsidRDefault="00B14E16" w:rsidP="00B14E16">
      <w:pPr>
        <w:spacing w:after="0" w:line="360" w:lineRule="auto"/>
        <w:ind w:firstLine="708"/>
        <w:jc w:val="both"/>
        <w:rPr>
          <w:rFonts w:ascii="Times New Roman" w:eastAsia="Times New Roman" w:hAnsi="Times New Roman"/>
          <w:sz w:val="28"/>
          <w:szCs w:val="28"/>
          <w:lang w:eastAsia="ru-RU"/>
        </w:rPr>
      </w:pPr>
    </w:p>
    <w:p w:rsidR="00B14E16" w:rsidRPr="00F71B34" w:rsidRDefault="00B14E16" w:rsidP="00B14E16">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lastRenderedPageBreak/>
        <w:t>Число припухших суставов статистически значимо уменьшилось через 24 недели терапии относительно исходных данных (исходно</w:t>
      </w:r>
      <w:r>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6,8±2,2, через 24 недели</w:t>
      </w:r>
      <w:r>
        <w:rPr>
          <w:rFonts w:ascii="Times New Roman" w:eastAsia="Times New Roman" w:hAnsi="Times New Roman"/>
          <w:sz w:val="28"/>
          <w:szCs w:val="28"/>
          <w:lang w:eastAsia="ru-RU"/>
        </w:rPr>
        <w:t xml:space="preserve"> </w:t>
      </w:r>
      <w:r w:rsidRPr="00994002">
        <w:rPr>
          <w:rFonts w:ascii="Times New Roman" w:eastAsia="Times New Roman" w:hAnsi="Times New Roman"/>
          <w:spacing w:val="-4"/>
          <w:sz w:val="28"/>
          <w:szCs w:val="28"/>
          <w:lang w:eastAsia="ru-RU"/>
        </w:rPr>
        <w:t xml:space="preserve">– 2,4±1,1, </w:t>
      </w:r>
      <w:proofErr w:type="gramStart"/>
      <w:r w:rsidRPr="00994002">
        <w:rPr>
          <w:rFonts w:ascii="Times New Roman" w:eastAsia="Times New Roman" w:hAnsi="Times New Roman"/>
          <w:spacing w:val="-4"/>
          <w:sz w:val="28"/>
          <w:szCs w:val="28"/>
          <w:lang w:eastAsia="ru-RU"/>
        </w:rPr>
        <w:t>р</w:t>
      </w:r>
      <w:proofErr w:type="gramEnd"/>
      <w:r w:rsidRPr="00994002">
        <w:rPr>
          <w:rFonts w:ascii="Times New Roman" w:eastAsia="Times New Roman" w:hAnsi="Times New Roman"/>
          <w:spacing w:val="-4"/>
          <w:sz w:val="28"/>
          <w:szCs w:val="28"/>
          <w:lang w:eastAsia="ru-RU"/>
        </w:rPr>
        <w:t>=0,024), оставалось стабильным в интервале 24 недели –</w:t>
      </w:r>
      <w:r w:rsidRPr="00F71B34">
        <w:rPr>
          <w:rFonts w:ascii="Times New Roman" w:eastAsia="Times New Roman" w:hAnsi="Times New Roman"/>
          <w:sz w:val="28"/>
          <w:szCs w:val="28"/>
          <w:lang w:eastAsia="ru-RU"/>
        </w:rPr>
        <w:t xml:space="preserve"> 24 месяца, а затем вновь увеличилось к 36</w:t>
      </w:r>
      <w:r>
        <w:rPr>
          <w:rFonts w:ascii="Times New Roman" w:eastAsia="Times New Roman" w:hAnsi="Times New Roman"/>
          <w:sz w:val="28"/>
          <w:szCs w:val="28"/>
          <w:lang w:eastAsia="ru-RU"/>
        </w:rPr>
        <w:t>-му</w:t>
      </w:r>
      <w:r w:rsidRPr="00F71B34">
        <w:rPr>
          <w:rFonts w:ascii="Times New Roman" w:eastAsia="Times New Roman" w:hAnsi="Times New Roman"/>
          <w:sz w:val="28"/>
          <w:szCs w:val="28"/>
          <w:lang w:eastAsia="ru-RU"/>
        </w:rPr>
        <w:t xml:space="preserve"> месяцу терапии.</w:t>
      </w:r>
    </w:p>
    <w:p w:rsidR="00B14E16" w:rsidRPr="00F71B34" w:rsidRDefault="00B14E16" w:rsidP="00B14E16">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На протяжении 48 месяцев терапии достоверная динамика показателя СОЭ отсутствовала, однако абсолютные значения данного показателя уменьшились к 16</w:t>
      </w:r>
      <w:r>
        <w:rPr>
          <w:rFonts w:ascii="Times New Roman" w:eastAsia="Times New Roman" w:hAnsi="Times New Roman"/>
          <w:sz w:val="28"/>
          <w:szCs w:val="28"/>
          <w:lang w:eastAsia="ru-RU"/>
        </w:rPr>
        <w:t>-й</w:t>
      </w:r>
      <w:r w:rsidRPr="00F71B34">
        <w:rPr>
          <w:rFonts w:ascii="Times New Roman" w:eastAsia="Times New Roman" w:hAnsi="Times New Roman"/>
          <w:sz w:val="28"/>
          <w:szCs w:val="28"/>
          <w:lang w:eastAsia="ru-RU"/>
        </w:rPr>
        <w:t xml:space="preserve"> неделе лечения, хотя и не достигли уровня статистической значимости. </w:t>
      </w:r>
    </w:p>
    <w:p w:rsidR="00030013" w:rsidRPr="00B14E16" w:rsidRDefault="00B14E16" w:rsidP="00B14E16">
      <w:pPr>
        <w:spacing w:after="0" w:line="360" w:lineRule="auto"/>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ab/>
        <w:t>Общая оценка активности заболев</w:t>
      </w:r>
      <w:r>
        <w:rPr>
          <w:rFonts w:ascii="Times New Roman" w:eastAsia="Times New Roman" w:hAnsi="Times New Roman"/>
          <w:sz w:val="28"/>
          <w:szCs w:val="28"/>
          <w:lang w:eastAsia="ru-RU"/>
        </w:rPr>
        <w:t xml:space="preserve">ания пациентом по ВАШ не </w:t>
      </w:r>
      <w:r w:rsidRPr="00F71B34">
        <w:rPr>
          <w:rFonts w:ascii="Times New Roman" w:eastAsia="Times New Roman" w:hAnsi="Times New Roman"/>
          <w:sz w:val="28"/>
          <w:szCs w:val="28"/>
          <w:lang w:eastAsia="ru-RU"/>
        </w:rPr>
        <w:t>меня</w:t>
      </w:r>
      <w:r>
        <w:rPr>
          <w:rFonts w:ascii="Times New Roman" w:eastAsia="Times New Roman" w:hAnsi="Times New Roman"/>
          <w:sz w:val="28"/>
          <w:szCs w:val="28"/>
          <w:lang w:eastAsia="ru-RU"/>
        </w:rPr>
        <w:t>лась за весь период наблюдения.</w:t>
      </w: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proofErr w:type="gramStart"/>
      <w:r w:rsidRPr="00F71B34">
        <w:rPr>
          <w:rFonts w:ascii="Times New Roman" w:eastAsia="Times New Roman" w:hAnsi="Times New Roman"/>
          <w:sz w:val="28"/>
          <w:szCs w:val="28"/>
          <w:lang w:eastAsia="ru-RU"/>
        </w:rPr>
        <w:t xml:space="preserve">Согласно критериям </w:t>
      </w:r>
      <w:r w:rsidR="00363EF8">
        <w:rPr>
          <w:rFonts w:ascii="Times New Roman" w:eastAsia="Times New Roman" w:hAnsi="Times New Roman"/>
          <w:sz w:val="28"/>
          <w:szCs w:val="28"/>
          <w:lang w:val="en-US" w:eastAsia="ru-RU"/>
        </w:rPr>
        <w:t>EULAR</w:t>
      </w:r>
      <w:r w:rsidRPr="00F71B34">
        <w:rPr>
          <w:rFonts w:ascii="Times New Roman" w:eastAsia="Times New Roman" w:hAnsi="Times New Roman"/>
          <w:sz w:val="28"/>
          <w:szCs w:val="28"/>
          <w:lang w:eastAsia="ru-RU"/>
        </w:rPr>
        <w:t xml:space="preserve">, </w:t>
      </w:r>
      <w:r w:rsidRPr="00F71B34">
        <w:rPr>
          <w:rFonts w:ascii="Times New Roman" w:hAnsi="Times New Roman"/>
          <w:kern w:val="2"/>
          <w:sz w:val="28"/>
          <w:szCs w:val="28"/>
          <w:lang w:eastAsia="ko-KR"/>
        </w:rPr>
        <w:t>соотношение удельного в</w:t>
      </w:r>
      <w:r w:rsidR="00363EF8">
        <w:rPr>
          <w:rFonts w:ascii="Times New Roman" w:hAnsi="Times New Roman"/>
          <w:kern w:val="2"/>
          <w:sz w:val="28"/>
          <w:szCs w:val="28"/>
          <w:lang w:eastAsia="ko-KR"/>
        </w:rPr>
        <w:t xml:space="preserve">еса больных с монотерапией МТХ, </w:t>
      </w:r>
      <w:r w:rsidRPr="00F71B34">
        <w:rPr>
          <w:rFonts w:ascii="Times New Roman" w:eastAsia="Times New Roman" w:hAnsi="Times New Roman"/>
          <w:sz w:val="28"/>
          <w:szCs w:val="28"/>
          <w:lang w:eastAsia="ru-RU"/>
        </w:rPr>
        <w:t>дост</w:t>
      </w:r>
      <w:r w:rsidR="00363EF8">
        <w:rPr>
          <w:rFonts w:ascii="Times New Roman" w:eastAsia="Times New Roman" w:hAnsi="Times New Roman"/>
          <w:sz w:val="28"/>
          <w:szCs w:val="28"/>
          <w:lang w:eastAsia="ru-RU"/>
        </w:rPr>
        <w:t xml:space="preserve">игших </w:t>
      </w:r>
      <w:r w:rsidRPr="00F71B34">
        <w:rPr>
          <w:rFonts w:ascii="Times New Roman" w:eastAsia="Times New Roman" w:hAnsi="Times New Roman"/>
          <w:sz w:val="28"/>
          <w:szCs w:val="28"/>
          <w:lang w:eastAsia="ru-RU"/>
        </w:rPr>
        <w:t>хорошего</w:t>
      </w:r>
      <w:r w:rsidR="00732A54">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 </w:t>
      </w:r>
      <w:r w:rsidR="00732A54">
        <w:rPr>
          <w:rFonts w:ascii="Times New Roman" w:eastAsia="Times New Roman" w:hAnsi="Times New Roman"/>
          <w:sz w:val="28"/>
          <w:szCs w:val="28"/>
          <w:lang w:eastAsia="ru-RU"/>
        </w:rPr>
        <w:t xml:space="preserve">удовлетворительного </w:t>
      </w:r>
      <w:r w:rsidR="00732A54" w:rsidRPr="00F71B34">
        <w:rPr>
          <w:rFonts w:ascii="Times New Roman" w:eastAsia="Times New Roman" w:hAnsi="Times New Roman"/>
          <w:sz w:val="28"/>
          <w:szCs w:val="28"/>
          <w:lang w:eastAsia="ru-RU"/>
        </w:rPr>
        <w:t>эффекта</w:t>
      </w:r>
      <w:r w:rsidR="00732A54">
        <w:rPr>
          <w:rFonts w:ascii="Times New Roman" w:eastAsia="Times New Roman" w:hAnsi="Times New Roman"/>
          <w:sz w:val="28"/>
          <w:szCs w:val="28"/>
          <w:lang w:eastAsia="ru-RU"/>
        </w:rPr>
        <w:t xml:space="preserve"> </w:t>
      </w:r>
      <w:r w:rsidR="00094105">
        <w:rPr>
          <w:rFonts w:ascii="Times New Roman" w:eastAsia="Times New Roman" w:hAnsi="Times New Roman"/>
          <w:sz w:val="28"/>
          <w:szCs w:val="28"/>
          <w:lang w:eastAsia="ru-RU"/>
        </w:rPr>
        <w:t>и</w:t>
      </w:r>
      <w:r w:rsidRPr="00F71B34">
        <w:rPr>
          <w:rFonts w:ascii="Times New Roman" w:eastAsia="Times New Roman" w:hAnsi="Times New Roman"/>
          <w:sz w:val="28"/>
          <w:szCs w:val="28"/>
          <w:lang w:eastAsia="ru-RU"/>
        </w:rPr>
        <w:t xml:space="preserve"> </w:t>
      </w:r>
      <w:r w:rsidR="00094105">
        <w:rPr>
          <w:rFonts w:ascii="Times New Roman" w:hAnsi="Times New Roman"/>
          <w:kern w:val="2"/>
          <w:sz w:val="28"/>
          <w:szCs w:val="28"/>
          <w:lang w:eastAsia="ko-KR"/>
        </w:rPr>
        <w:t>не ответивших на терапию</w:t>
      </w:r>
      <w:r w:rsidR="00094105" w:rsidRPr="00F71B34">
        <w:rPr>
          <w:rFonts w:ascii="Times New Roman" w:hAnsi="Times New Roman"/>
          <w:kern w:val="2"/>
          <w:sz w:val="28"/>
          <w:szCs w:val="28"/>
          <w:lang w:eastAsia="ko-KR"/>
        </w:rPr>
        <w:t xml:space="preserve"> </w:t>
      </w:r>
      <w:r w:rsidRPr="00F71B34">
        <w:rPr>
          <w:rFonts w:ascii="Times New Roman" w:hAnsi="Times New Roman"/>
          <w:kern w:val="2"/>
          <w:sz w:val="28"/>
          <w:szCs w:val="28"/>
          <w:lang w:eastAsia="ko-KR"/>
        </w:rPr>
        <w:t>в различные периоды наблюдения, составило соответственно: через 12 месяцев –</w:t>
      </w:r>
      <w:r w:rsidR="00732A54">
        <w:rPr>
          <w:rFonts w:ascii="Times New Roman" w:eastAsia="Times New Roman" w:hAnsi="Times New Roman"/>
          <w:sz w:val="28"/>
          <w:szCs w:val="28"/>
          <w:lang w:eastAsia="ru-RU"/>
        </w:rPr>
        <w:t>12</w:t>
      </w:r>
      <w:r w:rsidRPr="00F71B34">
        <w:rPr>
          <w:rFonts w:ascii="Times New Roman" w:eastAsia="Times New Roman" w:hAnsi="Times New Roman"/>
          <w:sz w:val="28"/>
          <w:szCs w:val="28"/>
          <w:lang w:eastAsia="ru-RU"/>
        </w:rPr>
        <w:t xml:space="preserve"> (</w:t>
      </w:r>
      <w:r w:rsidR="00303EC6">
        <w:rPr>
          <w:rFonts w:ascii="Times New Roman" w:eastAsia="Times New Roman" w:hAnsi="Times New Roman"/>
          <w:sz w:val="28"/>
          <w:szCs w:val="28"/>
          <w:lang w:eastAsia="ru-RU"/>
        </w:rPr>
        <w:t>3</w:t>
      </w:r>
      <w:r w:rsidR="00732A54">
        <w:rPr>
          <w:rFonts w:ascii="Times New Roman" w:eastAsia="Times New Roman" w:hAnsi="Times New Roman"/>
          <w:sz w:val="28"/>
          <w:szCs w:val="28"/>
          <w:lang w:eastAsia="ru-RU"/>
        </w:rPr>
        <w:t>4,3</w:t>
      </w:r>
      <w:r w:rsidRPr="00F71B34">
        <w:rPr>
          <w:rFonts w:ascii="Times New Roman" w:eastAsia="Times New Roman" w:hAnsi="Times New Roman"/>
          <w:sz w:val="28"/>
          <w:szCs w:val="28"/>
          <w:lang w:eastAsia="ru-RU"/>
        </w:rPr>
        <w:t>%)</w:t>
      </w:r>
      <w:r w:rsidR="00732A54">
        <w:rPr>
          <w:rFonts w:ascii="Times New Roman" w:eastAsia="Times New Roman" w:hAnsi="Times New Roman"/>
          <w:sz w:val="28"/>
          <w:szCs w:val="28"/>
          <w:lang w:eastAsia="ru-RU"/>
        </w:rPr>
        <w:t>,</w:t>
      </w:r>
      <w:r w:rsidRPr="00F71B34">
        <w:rPr>
          <w:rFonts w:ascii="Times New Roman" w:eastAsia="Times New Roman" w:hAnsi="Times New Roman"/>
          <w:sz w:val="28"/>
          <w:szCs w:val="28"/>
          <w:lang w:eastAsia="ru-RU"/>
        </w:rPr>
        <w:t xml:space="preserve"> </w:t>
      </w:r>
      <w:r w:rsidR="00732A54">
        <w:rPr>
          <w:rFonts w:ascii="Times New Roman" w:eastAsia="Times New Roman" w:hAnsi="Times New Roman"/>
          <w:sz w:val="28"/>
          <w:szCs w:val="28"/>
          <w:lang w:eastAsia="ru-RU"/>
        </w:rPr>
        <w:t xml:space="preserve">15 (42,9%) </w:t>
      </w:r>
      <w:r w:rsidRPr="00F71B34">
        <w:rPr>
          <w:rFonts w:ascii="Times New Roman" w:eastAsia="Times New Roman" w:hAnsi="Times New Roman"/>
          <w:sz w:val="28"/>
          <w:szCs w:val="28"/>
          <w:lang w:eastAsia="ru-RU"/>
        </w:rPr>
        <w:t xml:space="preserve">и </w:t>
      </w:r>
      <w:r w:rsidR="00303EC6">
        <w:rPr>
          <w:rFonts w:ascii="Times New Roman" w:eastAsia="Times New Roman" w:hAnsi="Times New Roman"/>
          <w:sz w:val="28"/>
          <w:szCs w:val="28"/>
          <w:lang w:eastAsia="ru-RU"/>
        </w:rPr>
        <w:t>8</w:t>
      </w:r>
      <w:r w:rsidRPr="00F71B34">
        <w:rPr>
          <w:rFonts w:ascii="Times New Roman" w:eastAsia="Times New Roman" w:hAnsi="Times New Roman"/>
          <w:sz w:val="28"/>
          <w:szCs w:val="28"/>
          <w:lang w:eastAsia="ru-RU"/>
        </w:rPr>
        <w:t xml:space="preserve"> (</w:t>
      </w:r>
      <w:r w:rsidR="00303EC6">
        <w:rPr>
          <w:rFonts w:ascii="Times New Roman" w:eastAsia="Times New Roman" w:hAnsi="Times New Roman"/>
          <w:sz w:val="28"/>
          <w:szCs w:val="28"/>
          <w:lang w:eastAsia="ru-RU"/>
        </w:rPr>
        <w:t>22,8</w:t>
      </w:r>
      <w:r w:rsidRPr="00F71B34">
        <w:rPr>
          <w:rFonts w:ascii="Times New Roman" w:eastAsia="Times New Roman" w:hAnsi="Times New Roman"/>
          <w:sz w:val="28"/>
          <w:szCs w:val="28"/>
          <w:lang w:eastAsia="ru-RU"/>
        </w:rPr>
        <w:t>%)</w:t>
      </w:r>
      <w:r w:rsidRPr="00F71B34">
        <w:rPr>
          <w:rFonts w:ascii="Times New Roman" w:hAnsi="Times New Roman"/>
          <w:kern w:val="2"/>
          <w:sz w:val="28"/>
          <w:szCs w:val="28"/>
          <w:lang w:eastAsia="ko-KR"/>
        </w:rPr>
        <w:t xml:space="preserve">, через 24 месяца – </w:t>
      </w:r>
      <w:r w:rsidR="00303EC6">
        <w:rPr>
          <w:rFonts w:ascii="Times New Roman" w:eastAsia="Times New Roman" w:hAnsi="Times New Roman"/>
          <w:sz w:val="28"/>
          <w:szCs w:val="28"/>
          <w:lang w:eastAsia="ru-RU"/>
        </w:rPr>
        <w:t>13</w:t>
      </w:r>
      <w:r w:rsidR="0067340D">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(3</w:t>
      </w:r>
      <w:r w:rsidR="005453E9">
        <w:rPr>
          <w:rFonts w:ascii="Times New Roman" w:eastAsia="Times New Roman" w:hAnsi="Times New Roman"/>
          <w:sz w:val="28"/>
          <w:szCs w:val="28"/>
          <w:lang w:eastAsia="ru-RU"/>
        </w:rPr>
        <w:t>7,2</w:t>
      </w:r>
      <w:r w:rsidRPr="00F71B34">
        <w:rPr>
          <w:rFonts w:ascii="Times New Roman" w:eastAsia="Times New Roman" w:hAnsi="Times New Roman"/>
          <w:sz w:val="28"/>
          <w:szCs w:val="28"/>
          <w:lang w:eastAsia="ru-RU"/>
        </w:rPr>
        <w:t xml:space="preserve">%),  </w:t>
      </w:r>
      <w:r w:rsidR="00303EC6">
        <w:rPr>
          <w:rFonts w:ascii="Times New Roman" w:eastAsia="Times New Roman" w:hAnsi="Times New Roman"/>
          <w:sz w:val="28"/>
          <w:szCs w:val="28"/>
          <w:lang w:eastAsia="ru-RU"/>
        </w:rPr>
        <w:t>14</w:t>
      </w:r>
      <w:r w:rsidRPr="00F71B34">
        <w:rPr>
          <w:rFonts w:ascii="Times New Roman" w:eastAsia="Times New Roman" w:hAnsi="Times New Roman"/>
          <w:sz w:val="28"/>
          <w:szCs w:val="28"/>
          <w:lang w:eastAsia="ru-RU"/>
        </w:rPr>
        <w:t xml:space="preserve"> (</w:t>
      </w:r>
      <w:r w:rsidR="00303EC6">
        <w:rPr>
          <w:rFonts w:ascii="Times New Roman" w:eastAsia="Times New Roman" w:hAnsi="Times New Roman"/>
          <w:sz w:val="28"/>
          <w:szCs w:val="28"/>
          <w:lang w:eastAsia="ru-RU"/>
        </w:rPr>
        <w:t>40,0</w:t>
      </w:r>
      <w:r w:rsidRPr="00F71B34">
        <w:rPr>
          <w:rFonts w:ascii="Times New Roman" w:eastAsia="Times New Roman" w:hAnsi="Times New Roman"/>
          <w:sz w:val="28"/>
          <w:szCs w:val="28"/>
          <w:lang w:eastAsia="ru-RU"/>
        </w:rPr>
        <w:t xml:space="preserve">%) и </w:t>
      </w:r>
      <w:r w:rsidR="00303EC6">
        <w:rPr>
          <w:rFonts w:ascii="Times New Roman" w:eastAsia="Times New Roman" w:hAnsi="Times New Roman"/>
          <w:sz w:val="28"/>
          <w:szCs w:val="28"/>
          <w:lang w:eastAsia="ru-RU"/>
        </w:rPr>
        <w:t>8</w:t>
      </w:r>
      <w:r w:rsidRPr="00F71B34">
        <w:rPr>
          <w:rFonts w:ascii="Times New Roman" w:eastAsia="Times New Roman" w:hAnsi="Times New Roman"/>
          <w:sz w:val="28"/>
          <w:szCs w:val="28"/>
          <w:lang w:eastAsia="ru-RU"/>
        </w:rPr>
        <w:t xml:space="preserve"> (</w:t>
      </w:r>
      <w:r w:rsidR="00303EC6">
        <w:rPr>
          <w:rFonts w:ascii="Times New Roman" w:eastAsia="Times New Roman" w:hAnsi="Times New Roman"/>
          <w:sz w:val="28"/>
          <w:szCs w:val="28"/>
          <w:lang w:eastAsia="ru-RU"/>
        </w:rPr>
        <w:t>22,8</w:t>
      </w:r>
      <w:r w:rsidRPr="00F71B34">
        <w:rPr>
          <w:rFonts w:ascii="Times New Roman" w:eastAsia="Times New Roman" w:hAnsi="Times New Roman"/>
          <w:sz w:val="28"/>
          <w:szCs w:val="28"/>
          <w:lang w:eastAsia="ru-RU"/>
        </w:rPr>
        <w:t>%)</w:t>
      </w:r>
      <w:r w:rsidRPr="00F71B34">
        <w:rPr>
          <w:rFonts w:ascii="Times New Roman" w:hAnsi="Times New Roman"/>
          <w:kern w:val="2"/>
          <w:sz w:val="28"/>
          <w:szCs w:val="28"/>
          <w:lang w:eastAsia="ko-KR"/>
        </w:rPr>
        <w:t>, через 36 месяцев –</w:t>
      </w:r>
      <w:r w:rsidR="007274CD">
        <w:rPr>
          <w:rFonts w:ascii="Times New Roman" w:hAnsi="Times New Roman"/>
          <w:kern w:val="2"/>
          <w:sz w:val="28"/>
          <w:szCs w:val="28"/>
          <w:lang w:eastAsia="ko-KR"/>
        </w:rPr>
        <w:br/>
      </w:r>
      <w:r w:rsidR="00732A54">
        <w:rPr>
          <w:rFonts w:ascii="Times New Roman" w:eastAsia="Times New Roman" w:hAnsi="Times New Roman"/>
          <w:sz w:val="28"/>
          <w:szCs w:val="28"/>
          <w:lang w:eastAsia="ru-RU"/>
        </w:rPr>
        <w:t>10</w:t>
      </w:r>
      <w:r w:rsidRPr="00F71B34">
        <w:rPr>
          <w:rFonts w:ascii="Times New Roman" w:eastAsia="Times New Roman" w:hAnsi="Times New Roman"/>
          <w:sz w:val="28"/>
          <w:szCs w:val="28"/>
          <w:lang w:eastAsia="ru-RU"/>
        </w:rPr>
        <w:t xml:space="preserve"> (</w:t>
      </w:r>
      <w:r w:rsidR="00732A54">
        <w:rPr>
          <w:rFonts w:ascii="Times New Roman" w:eastAsia="Times New Roman" w:hAnsi="Times New Roman"/>
          <w:sz w:val="28"/>
          <w:szCs w:val="28"/>
          <w:lang w:eastAsia="ru-RU"/>
        </w:rPr>
        <w:t>28,6</w:t>
      </w:r>
      <w:r w:rsidRPr="00F71B34">
        <w:rPr>
          <w:rFonts w:ascii="Times New Roman" w:eastAsia="Times New Roman" w:hAnsi="Times New Roman"/>
          <w:sz w:val="28"/>
          <w:szCs w:val="28"/>
          <w:lang w:eastAsia="ru-RU"/>
        </w:rPr>
        <w:t xml:space="preserve">%), </w:t>
      </w:r>
      <w:r w:rsidR="00303EC6">
        <w:rPr>
          <w:rFonts w:ascii="Times New Roman" w:eastAsia="Times New Roman" w:hAnsi="Times New Roman"/>
          <w:sz w:val="28"/>
          <w:szCs w:val="28"/>
          <w:lang w:eastAsia="ru-RU"/>
        </w:rPr>
        <w:t>1</w:t>
      </w:r>
      <w:r w:rsidR="00732A54">
        <w:rPr>
          <w:rFonts w:ascii="Times New Roman" w:eastAsia="Times New Roman" w:hAnsi="Times New Roman"/>
          <w:sz w:val="28"/>
          <w:szCs w:val="28"/>
          <w:lang w:eastAsia="ru-RU"/>
        </w:rPr>
        <w:t>8</w:t>
      </w:r>
      <w:r w:rsidRPr="00F71B34">
        <w:rPr>
          <w:rFonts w:ascii="Times New Roman" w:eastAsia="Times New Roman" w:hAnsi="Times New Roman"/>
          <w:sz w:val="28"/>
          <w:szCs w:val="28"/>
          <w:lang w:eastAsia="ru-RU"/>
        </w:rPr>
        <w:t xml:space="preserve"> (</w:t>
      </w:r>
      <w:r w:rsidR="00732A54">
        <w:rPr>
          <w:rFonts w:ascii="Times New Roman" w:eastAsia="Times New Roman" w:hAnsi="Times New Roman"/>
          <w:sz w:val="28"/>
          <w:szCs w:val="28"/>
          <w:lang w:eastAsia="ru-RU"/>
        </w:rPr>
        <w:t>51,4</w:t>
      </w:r>
      <w:r w:rsidRPr="00F71B34">
        <w:rPr>
          <w:rFonts w:ascii="Times New Roman" w:eastAsia="Times New Roman" w:hAnsi="Times New Roman"/>
          <w:sz w:val="28"/>
          <w:szCs w:val="28"/>
          <w:lang w:eastAsia="ru-RU"/>
        </w:rPr>
        <w:t xml:space="preserve">%) и </w:t>
      </w:r>
      <w:r w:rsidR="00303EC6">
        <w:rPr>
          <w:rFonts w:ascii="Times New Roman" w:eastAsia="Times New Roman" w:hAnsi="Times New Roman"/>
          <w:sz w:val="28"/>
          <w:szCs w:val="28"/>
          <w:lang w:eastAsia="ru-RU"/>
        </w:rPr>
        <w:t>7</w:t>
      </w:r>
      <w:r w:rsidRPr="00F71B34">
        <w:rPr>
          <w:rFonts w:ascii="Times New Roman" w:eastAsia="Times New Roman" w:hAnsi="Times New Roman"/>
          <w:sz w:val="28"/>
          <w:szCs w:val="28"/>
          <w:lang w:eastAsia="ru-RU"/>
        </w:rPr>
        <w:t xml:space="preserve"> (</w:t>
      </w:r>
      <w:r w:rsidR="00303EC6">
        <w:rPr>
          <w:rFonts w:ascii="Times New Roman" w:eastAsia="Times New Roman" w:hAnsi="Times New Roman"/>
          <w:sz w:val="28"/>
          <w:szCs w:val="28"/>
          <w:lang w:eastAsia="ru-RU"/>
        </w:rPr>
        <w:t>20,0</w:t>
      </w:r>
      <w:r w:rsidRPr="00F71B34">
        <w:rPr>
          <w:rFonts w:ascii="Times New Roman" w:eastAsia="Times New Roman" w:hAnsi="Times New Roman"/>
          <w:sz w:val="28"/>
          <w:szCs w:val="28"/>
          <w:lang w:eastAsia="ru-RU"/>
        </w:rPr>
        <w:t>%)</w:t>
      </w:r>
      <w:r w:rsidRPr="00F71B34">
        <w:rPr>
          <w:rFonts w:ascii="Times New Roman" w:hAnsi="Times New Roman"/>
          <w:kern w:val="2"/>
          <w:sz w:val="28"/>
          <w:szCs w:val="28"/>
          <w:lang w:eastAsia="ko-KR"/>
        </w:rPr>
        <w:t>, через 48 месяцев</w:t>
      </w:r>
      <w:r w:rsidR="00CD2EDC">
        <w:rPr>
          <w:rFonts w:ascii="Times New Roman" w:hAnsi="Times New Roman"/>
          <w:kern w:val="2"/>
          <w:sz w:val="28"/>
          <w:szCs w:val="28"/>
          <w:lang w:eastAsia="ko-KR"/>
        </w:rPr>
        <w:t xml:space="preserve"> – </w:t>
      </w:r>
      <w:r w:rsidRPr="00F71B34">
        <w:rPr>
          <w:rFonts w:ascii="Times New Roman" w:eastAsia="Times New Roman" w:hAnsi="Times New Roman"/>
          <w:sz w:val="28"/>
          <w:szCs w:val="28"/>
          <w:lang w:eastAsia="ru-RU"/>
        </w:rPr>
        <w:t>1</w:t>
      </w:r>
      <w:r w:rsidR="00732A54">
        <w:rPr>
          <w:rFonts w:ascii="Times New Roman" w:eastAsia="Times New Roman" w:hAnsi="Times New Roman"/>
          <w:sz w:val="28"/>
          <w:szCs w:val="28"/>
          <w:lang w:eastAsia="ru-RU"/>
        </w:rPr>
        <w:t>0</w:t>
      </w:r>
      <w:r w:rsidRPr="00F71B34">
        <w:rPr>
          <w:rFonts w:ascii="Times New Roman" w:eastAsia="Times New Roman" w:hAnsi="Times New Roman"/>
          <w:sz w:val="28"/>
          <w:szCs w:val="28"/>
          <w:lang w:eastAsia="ru-RU"/>
        </w:rPr>
        <w:t xml:space="preserve"> (</w:t>
      </w:r>
      <w:r w:rsidR="00732A54">
        <w:rPr>
          <w:rFonts w:ascii="Times New Roman" w:eastAsia="Times New Roman" w:hAnsi="Times New Roman"/>
          <w:sz w:val="28"/>
          <w:szCs w:val="28"/>
          <w:lang w:eastAsia="ru-RU"/>
        </w:rPr>
        <w:t>28,6</w:t>
      </w:r>
      <w:proofErr w:type="gramEnd"/>
      <w:r w:rsidRPr="00F71B34">
        <w:rPr>
          <w:rFonts w:ascii="Times New Roman" w:eastAsia="Times New Roman" w:hAnsi="Times New Roman"/>
          <w:sz w:val="28"/>
          <w:szCs w:val="28"/>
          <w:lang w:eastAsia="ru-RU"/>
        </w:rPr>
        <w:t xml:space="preserve">%), </w:t>
      </w:r>
      <w:r w:rsidR="00303EC6">
        <w:rPr>
          <w:rFonts w:ascii="Times New Roman" w:eastAsia="Times New Roman" w:hAnsi="Times New Roman"/>
          <w:sz w:val="28"/>
          <w:szCs w:val="28"/>
          <w:lang w:eastAsia="ru-RU"/>
        </w:rPr>
        <w:t>1</w:t>
      </w:r>
      <w:r w:rsidRPr="00F71B34">
        <w:rPr>
          <w:rFonts w:ascii="Times New Roman" w:eastAsia="Times New Roman" w:hAnsi="Times New Roman"/>
          <w:sz w:val="28"/>
          <w:szCs w:val="28"/>
          <w:lang w:eastAsia="ru-RU"/>
        </w:rPr>
        <w:t>5 (</w:t>
      </w:r>
      <w:r w:rsidR="00303EC6">
        <w:rPr>
          <w:rFonts w:ascii="Times New Roman" w:eastAsia="Times New Roman" w:hAnsi="Times New Roman"/>
          <w:sz w:val="28"/>
          <w:szCs w:val="28"/>
          <w:lang w:eastAsia="ru-RU"/>
        </w:rPr>
        <w:t>42,8</w:t>
      </w:r>
      <w:r w:rsidRPr="00F71B34">
        <w:rPr>
          <w:rFonts w:ascii="Times New Roman" w:eastAsia="Times New Roman" w:hAnsi="Times New Roman"/>
          <w:sz w:val="28"/>
          <w:szCs w:val="28"/>
          <w:lang w:eastAsia="ru-RU"/>
        </w:rPr>
        <w:t xml:space="preserve">%) и  </w:t>
      </w:r>
      <w:r w:rsidR="00732A54">
        <w:rPr>
          <w:rFonts w:ascii="Times New Roman" w:eastAsia="Times New Roman" w:hAnsi="Times New Roman"/>
          <w:sz w:val="28"/>
          <w:szCs w:val="28"/>
          <w:lang w:eastAsia="ru-RU"/>
        </w:rPr>
        <w:t>10</w:t>
      </w:r>
      <w:r w:rsidRPr="00F71B34">
        <w:rPr>
          <w:rFonts w:ascii="Times New Roman" w:eastAsia="Times New Roman" w:hAnsi="Times New Roman"/>
          <w:sz w:val="28"/>
          <w:szCs w:val="28"/>
          <w:lang w:eastAsia="ru-RU"/>
        </w:rPr>
        <w:t xml:space="preserve"> (</w:t>
      </w:r>
      <w:r w:rsidR="00971374">
        <w:rPr>
          <w:rFonts w:ascii="Times New Roman" w:eastAsia="Times New Roman" w:hAnsi="Times New Roman"/>
          <w:sz w:val="28"/>
          <w:szCs w:val="28"/>
          <w:lang w:eastAsia="ru-RU"/>
        </w:rPr>
        <w:t>2</w:t>
      </w:r>
      <w:r w:rsidR="00732A54">
        <w:rPr>
          <w:rFonts w:ascii="Times New Roman" w:eastAsia="Times New Roman" w:hAnsi="Times New Roman"/>
          <w:sz w:val="28"/>
          <w:szCs w:val="28"/>
          <w:lang w:eastAsia="ru-RU"/>
        </w:rPr>
        <w:t>8,6</w:t>
      </w:r>
      <w:r w:rsidRPr="00F71B34">
        <w:rPr>
          <w:rFonts w:ascii="Times New Roman" w:eastAsia="Times New Roman" w:hAnsi="Times New Roman"/>
          <w:sz w:val="28"/>
          <w:szCs w:val="28"/>
          <w:lang w:eastAsia="ru-RU"/>
        </w:rPr>
        <w:t>%) человек (рис.</w:t>
      </w:r>
      <w:r w:rsidR="007274CD">
        <w:rPr>
          <w:rFonts w:ascii="Times New Roman" w:eastAsia="Times New Roman" w:hAnsi="Times New Roman"/>
          <w:sz w:val="28"/>
          <w:szCs w:val="28"/>
          <w:lang w:eastAsia="ru-RU"/>
        </w:rPr>
        <w:t xml:space="preserve"> 9</w:t>
      </w:r>
      <w:r w:rsidRPr="00F71B34">
        <w:rPr>
          <w:rFonts w:ascii="Times New Roman" w:eastAsia="Times New Roman" w:hAnsi="Times New Roman"/>
          <w:sz w:val="28"/>
          <w:szCs w:val="28"/>
          <w:lang w:eastAsia="ru-RU"/>
        </w:rPr>
        <w:t>).</w:t>
      </w:r>
    </w:p>
    <w:p w:rsidR="00030013" w:rsidRPr="00F71B34" w:rsidRDefault="001A28E5" w:rsidP="00F71B34">
      <w:pPr>
        <w:spacing w:after="0" w:line="360" w:lineRule="auto"/>
        <w:jc w:val="both"/>
        <w:rPr>
          <w:rFonts w:ascii="Times New Roman" w:eastAsia="Times New Roman" w:hAnsi="Times New Roman"/>
          <w:b/>
          <w:color w:val="FF0000"/>
          <w:sz w:val="28"/>
          <w:szCs w:val="28"/>
          <w:lang w:eastAsia="ru-RU"/>
        </w:rPr>
      </w:pPr>
      <w:r>
        <w:rPr>
          <w:rFonts w:ascii="Times New Roman" w:eastAsia="Times New Roman" w:hAnsi="Times New Roman"/>
          <w:b/>
          <w:noProof/>
          <w:color w:val="FF0000"/>
          <w:sz w:val="28"/>
          <w:szCs w:val="28"/>
          <w:lang w:eastAsia="ru-RU"/>
        </w:rPr>
        <w:drawing>
          <wp:inline distT="0" distB="0" distL="0" distR="0">
            <wp:extent cx="6248400" cy="3211286"/>
            <wp:effectExtent l="0" t="0" r="0" b="8255"/>
            <wp:docPr id="6"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0013" w:rsidRPr="00F71B34" w:rsidRDefault="00030013" w:rsidP="00F71B34">
      <w:pPr>
        <w:spacing w:after="0" w:line="360" w:lineRule="auto"/>
        <w:jc w:val="both"/>
        <w:rPr>
          <w:rFonts w:ascii="Times New Roman" w:eastAsia="Times New Roman" w:hAnsi="Times New Roman"/>
          <w:sz w:val="28"/>
          <w:szCs w:val="28"/>
          <w:lang w:eastAsia="ru-RU"/>
        </w:rPr>
      </w:pPr>
      <w:r w:rsidRPr="007274CD">
        <w:rPr>
          <w:rFonts w:ascii="Times New Roman" w:eastAsia="Times New Roman" w:hAnsi="Times New Roman"/>
          <w:spacing w:val="40"/>
          <w:sz w:val="28"/>
          <w:szCs w:val="28"/>
          <w:lang w:eastAsia="ru-RU"/>
        </w:rPr>
        <w:t>Рисунок</w:t>
      </w:r>
      <w:r w:rsidRPr="00F71B34">
        <w:rPr>
          <w:rFonts w:ascii="Times New Roman" w:eastAsia="Times New Roman" w:hAnsi="Times New Roman"/>
          <w:sz w:val="28"/>
          <w:szCs w:val="28"/>
          <w:lang w:eastAsia="ru-RU"/>
        </w:rPr>
        <w:t xml:space="preserve"> </w:t>
      </w:r>
      <w:r w:rsidR="007274CD">
        <w:rPr>
          <w:rFonts w:ascii="Times New Roman" w:eastAsia="Times New Roman" w:hAnsi="Times New Roman"/>
          <w:sz w:val="28"/>
          <w:szCs w:val="28"/>
          <w:lang w:eastAsia="ru-RU"/>
        </w:rPr>
        <w:t>9</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Эффективность лечения по критериям </w:t>
      </w:r>
      <w:r w:rsidR="00094105">
        <w:rPr>
          <w:rFonts w:ascii="Times New Roman" w:eastAsia="Times New Roman" w:hAnsi="Times New Roman"/>
          <w:sz w:val="28"/>
          <w:szCs w:val="28"/>
          <w:lang w:val="en-US" w:eastAsia="ru-RU"/>
        </w:rPr>
        <w:t>EULAR</w:t>
      </w:r>
      <w:r w:rsidRPr="00F71B34">
        <w:rPr>
          <w:rFonts w:ascii="Times New Roman" w:eastAsia="Times New Roman" w:hAnsi="Times New Roman"/>
          <w:sz w:val="28"/>
          <w:szCs w:val="28"/>
          <w:lang w:eastAsia="ru-RU"/>
        </w:rPr>
        <w:t xml:space="preserve"> через 12, 24,</w:t>
      </w:r>
      <w:r w:rsidR="005B5F87" w:rsidRPr="00F71B34">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 xml:space="preserve">36 и 48 месяцев монотерапии МТХ у больных РА </w:t>
      </w:r>
    </w:p>
    <w:p w:rsidR="00030013" w:rsidRPr="001C7C52" w:rsidRDefault="00030013" w:rsidP="00F71B34">
      <w:pPr>
        <w:spacing w:after="0" w:line="360" w:lineRule="auto"/>
        <w:jc w:val="both"/>
        <w:rPr>
          <w:rFonts w:ascii="Times New Roman" w:eastAsia="Times New Roman" w:hAnsi="Times New Roman"/>
          <w:b/>
          <w:sz w:val="20"/>
          <w:szCs w:val="28"/>
          <w:lang w:eastAsia="ru-RU"/>
        </w:rPr>
      </w:pP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lastRenderedPageBreak/>
        <w:t xml:space="preserve">Таким образом, показатели эффективности лечения по критериям </w:t>
      </w:r>
      <w:r w:rsidR="00094105">
        <w:rPr>
          <w:rFonts w:ascii="Times New Roman" w:eastAsia="Times New Roman" w:hAnsi="Times New Roman"/>
          <w:sz w:val="28"/>
          <w:szCs w:val="28"/>
          <w:lang w:val="en-US" w:eastAsia="ru-RU"/>
        </w:rPr>
        <w:t>EULAR</w:t>
      </w:r>
      <w:r w:rsidR="00094105" w:rsidRPr="00F71B34">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у пациентов с монотерапией МТХ оставались относительно стабильными на протяжении 48 месяцев наблюдения.</w:t>
      </w:r>
    </w:p>
    <w:p w:rsidR="00030013" w:rsidRPr="001C7C52" w:rsidRDefault="00030013" w:rsidP="00F71B34">
      <w:pPr>
        <w:spacing w:after="0" w:line="360" w:lineRule="auto"/>
        <w:jc w:val="both"/>
        <w:rPr>
          <w:rFonts w:ascii="Times New Roman" w:eastAsia="Times New Roman" w:hAnsi="Times New Roman"/>
          <w:b/>
          <w:color w:val="FF0000"/>
          <w:szCs w:val="28"/>
          <w:lang w:eastAsia="ru-RU"/>
        </w:rPr>
      </w:pPr>
    </w:p>
    <w:p w:rsidR="00030013" w:rsidRPr="00F71B34" w:rsidRDefault="00030013" w:rsidP="00F71B34">
      <w:pPr>
        <w:numPr>
          <w:ilvl w:val="2"/>
          <w:numId w:val="6"/>
        </w:numPr>
        <w:spacing w:after="0" w:line="36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 xml:space="preserve">Клиническая эффективность комбинированной терапии </w:t>
      </w:r>
      <w:r w:rsidR="00DD207C">
        <w:rPr>
          <w:rFonts w:ascii="Times New Roman" w:eastAsia="Times New Roman" w:hAnsi="Times New Roman"/>
          <w:b/>
          <w:sz w:val="28"/>
          <w:szCs w:val="28"/>
          <w:lang w:eastAsia="ru-RU"/>
        </w:rPr>
        <w:t>ритуксимабом</w:t>
      </w:r>
      <w:r w:rsidRPr="00F71B34">
        <w:rPr>
          <w:rFonts w:ascii="Times New Roman" w:eastAsia="Times New Roman" w:hAnsi="Times New Roman"/>
          <w:b/>
          <w:sz w:val="28"/>
          <w:szCs w:val="28"/>
          <w:lang w:eastAsia="ru-RU"/>
        </w:rPr>
        <w:t xml:space="preserve"> и </w:t>
      </w:r>
      <w:r w:rsidR="00DD207C">
        <w:rPr>
          <w:rFonts w:ascii="Times New Roman" w:eastAsia="Times New Roman" w:hAnsi="Times New Roman"/>
          <w:b/>
          <w:sz w:val="28"/>
          <w:szCs w:val="28"/>
          <w:lang w:eastAsia="ru-RU"/>
        </w:rPr>
        <w:t>метотрексатом</w:t>
      </w:r>
      <w:r w:rsidRPr="00F71B34">
        <w:rPr>
          <w:rFonts w:ascii="Times New Roman" w:eastAsia="Times New Roman" w:hAnsi="Times New Roman"/>
          <w:b/>
          <w:sz w:val="28"/>
          <w:szCs w:val="28"/>
          <w:lang w:eastAsia="ru-RU"/>
        </w:rPr>
        <w:t xml:space="preserve"> у больных </w:t>
      </w:r>
      <w:r w:rsidR="00DD207C">
        <w:rPr>
          <w:rFonts w:ascii="Times New Roman" w:eastAsia="Times New Roman" w:hAnsi="Times New Roman"/>
          <w:b/>
          <w:sz w:val="28"/>
          <w:szCs w:val="28"/>
          <w:lang w:eastAsia="ru-RU"/>
        </w:rPr>
        <w:t>ревматоидным артритом</w:t>
      </w: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У пациентов, получавших комбинированную терапию РТМ и МТХ, число болезненных суставов исходно составило 17,6±4,6, через 12 месяцев наблюдения количество болезненных суставов достоверно уменьшилось (</w:t>
      </w:r>
      <w:r w:rsidR="00772DC4">
        <w:rPr>
          <w:rFonts w:ascii="Times New Roman" w:hAnsi="Times New Roman"/>
          <w:sz w:val="28"/>
          <w:szCs w:val="28"/>
          <w:lang w:eastAsia="ru-RU"/>
        </w:rPr>
        <w:t>5</w:t>
      </w:r>
      <w:r w:rsidRPr="00F71B34">
        <w:rPr>
          <w:rFonts w:ascii="Times New Roman" w:hAnsi="Times New Roman"/>
          <w:sz w:val="28"/>
          <w:szCs w:val="28"/>
          <w:lang w:eastAsia="ru-RU"/>
        </w:rPr>
        <w:t>,3±2,4</w:t>
      </w:r>
      <w:r w:rsidRPr="00F71B34">
        <w:rPr>
          <w:rFonts w:ascii="Times New Roman" w:eastAsia="Times New Roman" w:hAnsi="Times New Roman"/>
          <w:sz w:val="28"/>
          <w:szCs w:val="28"/>
          <w:lang w:eastAsia="ru-RU"/>
        </w:rPr>
        <w:t xml:space="preserve">,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=0,024) и оставалось стабильным в ин</w:t>
      </w:r>
      <w:r w:rsidR="00772DC4">
        <w:rPr>
          <w:rFonts w:ascii="Times New Roman" w:eastAsia="Times New Roman" w:hAnsi="Times New Roman"/>
          <w:sz w:val="28"/>
          <w:szCs w:val="28"/>
          <w:lang w:eastAsia="ru-RU"/>
        </w:rPr>
        <w:t>тервале 12</w:t>
      </w:r>
      <w:r w:rsidR="00DD207C">
        <w:rPr>
          <w:rFonts w:ascii="Times New Roman" w:eastAsia="Times New Roman" w:hAnsi="Times New Roman"/>
          <w:sz w:val="28"/>
          <w:szCs w:val="28"/>
          <w:lang w:eastAsia="ru-RU"/>
        </w:rPr>
        <w:t>–</w:t>
      </w:r>
      <w:r w:rsidR="00772DC4">
        <w:rPr>
          <w:rFonts w:ascii="Times New Roman" w:eastAsia="Times New Roman" w:hAnsi="Times New Roman"/>
          <w:sz w:val="28"/>
          <w:szCs w:val="28"/>
          <w:lang w:eastAsia="ru-RU"/>
        </w:rPr>
        <w:t>24 месяца терапии (4</w:t>
      </w:r>
      <w:r w:rsidRPr="00F71B34">
        <w:rPr>
          <w:rFonts w:ascii="Times New Roman" w:eastAsia="Times New Roman" w:hAnsi="Times New Roman"/>
          <w:sz w:val="28"/>
          <w:szCs w:val="28"/>
          <w:lang w:eastAsia="ru-RU"/>
        </w:rPr>
        <w:t>,6±3,2, р=0,035). Через 36 месяцев терапии количество болезненных суставов увеличилось</w:t>
      </w:r>
      <w:r w:rsidR="00672085">
        <w:rPr>
          <w:rFonts w:ascii="Times New Roman" w:eastAsia="Times New Roman" w:hAnsi="Times New Roman"/>
          <w:sz w:val="28"/>
          <w:szCs w:val="28"/>
          <w:lang w:eastAsia="ru-RU"/>
        </w:rPr>
        <w:t>, но не достиг</w:t>
      </w:r>
      <w:r w:rsidRPr="00F71B34">
        <w:rPr>
          <w:rFonts w:ascii="Times New Roman" w:eastAsia="Times New Roman" w:hAnsi="Times New Roman"/>
          <w:sz w:val="28"/>
          <w:szCs w:val="28"/>
          <w:lang w:eastAsia="ru-RU"/>
        </w:rPr>
        <w:t>ло уровня статистической значимости относительно исходных показателе</w:t>
      </w:r>
      <w:r w:rsidR="00BD6E96">
        <w:rPr>
          <w:rFonts w:ascii="Times New Roman" w:eastAsia="Times New Roman" w:hAnsi="Times New Roman"/>
          <w:sz w:val="28"/>
          <w:szCs w:val="28"/>
          <w:lang w:eastAsia="ru-RU"/>
        </w:rPr>
        <w:t>й (</w:t>
      </w:r>
      <w:r w:rsidR="00772DC4">
        <w:rPr>
          <w:rFonts w:ascii="Times New Roman" w:eastAsia="Times New Roman" w:hAnsi="Times New Roman"/>
          <w:sz w:val="28"/>
          <w:szCs w:val="28"/>
          <w:lang w:eastAsia="ru-RU"/>
        </w:rPr>
        <w:t>8</w:t>
      </w:r>
      <w:r w:rsidR="00BD6E96">
        <w:rPr>
          <w:rFonts w:ascii="Times New Roman" w:eastAsia="Times New Roman" w:hAnsi="Times New Roman"/>
          <w:sz w:val="28"/>
          <w:szCs w:val="28"/>
          <w:lang w:eastAsia="ru-RU"/>
        </w:rPr>
        <w:t xml:space="preserve">,4±3,1, </w:t>
      </w:r>
      <w:proofErr w:type="gramStart"/>
      <w:r w:rsidR="00BD6E96">
        <w:rPr>
          <w:rFonts w:ascii="Times New Roman" w:eastAsia="Times New Roman" w:hAnsi="Times New Roman"/>
          <w:sz w:val="28"/>
          <w:szCs w:val="28"/>
          <w:lang w:eastAsia="ru-RU"/>
        </w:rPr>
        <w:t>р</w:t>
      </w:r>
      <w:proofErr w:type="gramEnd"/>
      <w:r w:rsidR="00BD6E96">
        <w:rPr>
          <w:rFonts w:ascii="Times New Roman" w:eastAsia="Times New Roman" w:hAnsi="Times New Roman"/>
          <w:sz w:val="28"/>
          <w:szCs w:val="28"/>
          <w:lang w:eastAsia="ru-RU"/>
        </w:rPr>
        <w:t>=0,065). В течение</w:t>
      </w:r>
      <w:r w:rsidRPr="00F71B34">
        <w:rPr>
          <w:rFonts w:ascii="Times New Roman" w:eastAsia="Times New Roman" w:hAnsi="Times New Roman"/>
          <w:sz w:val="28"/>
          <w:szCs w:val="28"/>
          <w:lang w:eastAsia="ru-RU"/>
        </w:rPr>
        <w:t xml:space="preserve"> последующих месяцев наблюдения данный показатель дос</w:t>
      </w:r>
      <w:r w:rsidR="00672085">
        <w:rPr>
          <w:rFonts w:ascii="Times New Roman" w:eastAsia="Times New Roman" w:hAnsi="Times New Roman"/>
          <w:sz w:val="28"/>
          <w:szCs w:val="28"/>
          <w:lang w:eastAsia="ru-RU"/>
        </w:rPr>
        <w:t>товерно не изменя</w:t>
      </w:r>
      <w:r w:rsidR="00BD6E96">
        <w:rPr>
          <w:rFonts w:ascii="Times New Roman" w:eastAsia="Times New Roman" w:hAnsi="Times New Roman"/>
          <w:sz w:val="28"/>
          <w:szCs w:val="28"/>
          <w:lang w:eastAsia="ru-RU"/>
        </w:rPr>
        <w:t>лся (табл. 24</w:t>
      </w:r>
      <w:r w:rsidRPr="00F71B34">
        <w:rPr>
          <w:rFonts w:ascii="Times New Roman" w:eastAsia="Times New Roman" w:hAnsi="Times New Roman"/>
          <w:sz w:val="28"/>
          <w:szCs w:val="28"/>
          <w:lang w:eastAsia="ru-RU"/>
        </w:rPr>
        <w:t>).</w:t>
      </w:r>
    </w:p>
    <w:p w:rsidR="00BD6E96" w:rsidRPr="001C7C52" w:rsidRDefault="00BD6E96" w:rsidP="00F71B34">
      <w:pPr>
        <w:spacing w:after="0" w:line="360" w:lineRule="auto"/>
        <w:jc w:val="both"/>
        <w:rPr>
          <w:rFonts w:ascii="Times New Roman" w:eastAsia="Times New Roman" w:hAnsi="Times New Roman"/>
          <w:sz w:val="20"/>
          <w:szCs w:val="28"/>
          <w:lang w:eastAsia="ru-RU"/>
        </w:rPr>
      </w:pPr>
    </w:p>
    <w:p w:rsidR="00030013" w:rsidRPr="00F71B34" w:rsidRDefault="00030013" w:rsidP="00F71B34">
      <w:pPr>
        <w:spacing w:after="0" w:line="360" w:lineRule="auto"/>
        <w:ind w:firstLine="708"/>
        <w:contextualSpacing/>
        <w:jc w:val="both"/>
        <w:rPr>
          <w:rFonts w:ascii="Times New Roman" w:eastAsia="Times New Roman" w:hAnsi="Times New Roman"/>
          <w:sz w:val="28"/>
          <w:szCs w:val="28"/>
          <w:lang w:eastAsia="ru-RU"/>
        </w:rPr>
      </w:pPr>
      <w:r w:rsidRPr="00DD207C">
        <w:rPr>
          <w:rFonts w:ascii="Times New Roman" w:eastAsia="Times New Roman" w:hAnsi="Times New Roman"/>
          <w:spacing w:val="40"/>
          <w:sz w:val="28"/>
          <w:szCs w:val="28"/>
          <w:lang w:eastAsia="ru-RU"/>
        </w:rPr>
        <w:t>Таблица</w:t>
      </w:r>
      <w:r w:rsidRPr="00F71B34">
        <w:rPr>
          <w:rFonts w:ascii="Times New Roman" w:eastAsia="Times New Roman" w:hAnsi="Times New Roman"/>
          <w:sz w:val="28"/>
          <w:szCs w:val="28"/>
          <w:lang w:eastAsia="ru-RU"/>
        </w:rPr>
        <w:t xml:space="preserve"> </w:t>
      </w:r>
      <w:r w:rsidRPr="00DD207C">
        <w:rPr>
          <w:rFonts w:ascii="Times New Roman" w:eastAsia="Times New Roman" w:hAnsi="Times New Roman"/>
          <w:spacing w:val="-4"/>
          <w:sz w:val="28"/>
          <w:szCs w:val="28"/>
          <w:lang w:eastAsia="ru-RU"/>
        </w:rPr>
        <w:t>24</w:t>
      </w:r>
      <w:r w:rsidR="00CD2EDC" w:rsidRPr="00DD207C">
        <w:rPr>
          <w:rFonts w:ascii="Times New Roman" w:eastAsia="Times New Roman" w:hAnsi="Times New Roman"/>
          <w:spacing w:val="-4"/>
          <w:sz w:val="28"/>
          <w:szCs w:val="28"/>
          <w:lang w:eastAsia="ru-RU"/>
        </w:rPr>
        <w:t xml:space="preserve"> – </w:t>
      </w:r>
      <w:r w:rsidRPr="00DD207C">
        <w:rPr>
          <w:rFonts w:ascii="Times New Roman" w:eastAsia="Times New Roman" w:hAnsi="Times New Roman"/>
          <w:spacing w:val="-4"/>
          <w:sz w:val="28"/>
          <w:szCs w:val="28"/>
          <w:lang w:eastAsia="ru-RU"/>
        </w:rPr>
        <w:t>Динамика показателей клинико-лабораторной активности</w:t>
      </w:r>
      <w:r w:rsidRPr="00F71B34">
        <w:rPr>
          <w:rFonts w:ascii="Times New Roman" w:eastAsia="Times New Roman" w:hAnsi="Times New Roman"/>
          <w:sz w:val="28"/>
          <w:szCs w:val="28"/>
          <w:lang w:eastAsia="ru-RU"/>
        </w:rPr>
        <w:t xml:space="preserve"> на фоне комбинированной терапии РТМ и МТХ у больных 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313"/>
        <w:gridCol w:w="1006"/>
        <w:gridCol w:w="1086"/>
        <w:gridCol w:w="1206"/>
        <w:gridCol w:w="1086"/>
        <w:gridCol w:w="1086"/>
        <w:gridCol w:w="1086"/>
        <w:gridCol w:w="1166"/>
      </w:tblGrid>
      <w:tr w:rsidR="00030013" w:rsidRPr="00BD6E96" w:rsidTr="00B14E16">
        <w:trPr>
          <w:trHeight w:val="225"/>
        </w:trPr>
        <w:tc>
          <w:tcPr>
            <w:tcW w:w="1153" w:type="pct"/>
            <w:vMerge w:val="restar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Показатель</w:t>
            </w:r>
          </w:p>
        </w:tc>
        <w:tc>
          <w:tcPr>
            <w:tcW w:w="3847" w:type="pct"/>
            <w:gridSpan w:val="7"/>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Период</w:t>
            </w:r>
          </w:p>
        </w:tc>
      </w:tr>
      <w:tr w:rsidR="00030013" w:rsidRPr="00BD6E96" w:rsidTr="00B14E16">
        <w:trPr>
          <w:trHeight w:val="255"/>
        </w:trPr>
        <w:tc>
          <w:tcPr>
            <w:tcW w:w="1153" w:type="pct"/>
            <w:vMerge/>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p>
        </w:tc>
        <w:tc>
          <w:tcPr>
            <w:tcW w:w="50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Исходно</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16</w:t>
            </w:r>
          </w:p>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недель</w:t>
            </w:r>
          </w:p>
        </w:tc>
        <w:tc>
          <w:tcPr>
            <w:tcW w:w="60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24</w:t>
            </w:r>
          </w:p>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недели</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12</w:t>
            </w:r>
          </w:p>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месяцев</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24</w:t>
            </w:r>
          </w:p>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месяца</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36</w:t>
            </w:r>
          </w:p>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месяцев</w:t>
            </w:r>
          </w:p>
        </w:tc>
        <w:tc>
          <w:tcPr>
            <w:tcW w:w="58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48 месяцев</w:t>
            </w:r>
          </w:p>
        </w:tc>
      </w:tr>
      <w:tr w:rsidR="00030013" w:rsidRPr="00BD6E96" w:rsidTr="00B14E16">
        <w:trPr>
          <w:trHeight w:val="552"/>
        </w:trPr>
        <w:tc>
          <w:tcPr>
            <w:tcW w:w="1153"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Число болезненных суставов</w:t>
            </w:r>
          </w:p>
        </w:tc>
        <w:tc>
          <w:tcPr>
            <w:tcW w:w="50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17,6±4,6</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16,2±2,4</w:t>
            </w:r>
          </w:p>
        </w:tc>
        <w:tc>
          <w:tcPr>
            <w:tcW w:w="60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14,5±3,8</w:t>
            </w:r>
          </w:p>
        </w:tc>
        <w:tc>
          <w:tcPr>
            <w:tcW w:w="54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5</w:t>
            </w:r>
            <w:r w:rsidR="00030013" w:rsidRPr="00654A6C">
              <w:rPr>
                <w:rFonts w:ascii="Times New Roman" w:eastAsia="Times New Roman" w:hAnsi="Times New Roman"/>
                <w:sz w:val="24"/>
                <w:szCs w:val="24"/>
                <w:lang w:eastAsia="ru-RU"/>
              </w:rPr>
              <w:t>,3±2,4*</w:t>
            </w:r>
          </w:p>
        </w:tc>
        <w:tc>
          <w:tcPr>
            <w:tcW w:w="541" w:type="pct"/>
            <w:shd w:val="clear" w:color="auto" w:fill="auto"/>
            <w:vAlign w:val="center"/>
          </w:tcPr>
          <w:p w:rsidR="00030013" w:rsidRPr="00654A6C" w:rsidRDefault="00772DC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w:t>
            </w:r>
            <w:r w:rsidR="00030013" w:rsidRPr="00654A6C">
              <w:rPr>
                <w:rFonts w:ascii="Times New Roman" w:eastAsia="Times New Roman" w:hAnsi="Times New Roman"/>
                <w:sz w:val="24"/>
                <w:szCs w:val="24"/>
                <w:lang w:eastAsia="ru-RU"/>
              </w:rPr>
              <w:t>,6±3,2*</w:t>
            </w:r>
          </w:p>
        </w:tc>
        <w:tc>
          <w:tcPr>
            <w:tcW w:w="54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8</w:t>
            </w:r>
            <w:r w:rsidR="00030013" w:rsidRPr="00654A6C">
              <w:rPr>
                <w:rFonts w:ascii="Times New Roman" w:eastAsia="Times New Roman" w:hAnsi="Times New Roman"/>
                <w:sz w:val="24"/>
                <w:szCs w:val="24"/>
                <w:lang w:eastAsia="ru-RU"/>
              </w:rPr>
              <w:t>,4±3,1</w:t>
            </w:r>
          </w:p>
        </w:tc>
        <w:tc>
          <w:tcPr>
            <w:tcW w:w="58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13,2±2,6</w:t>
            </w:r>
          </w:p>
        </w:tc>
      </w:tr>
      <w:tr w:rsidR="00030013" w:rsidRPr="00BD6E96" w:rsidTr="00B14E16">
        <w:trPr>
          <w:trHeight w:val="552"/>
        </w:trPr>
        <w:tc>
          <w:tcPr>
            <w:tcW w:w="1153"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Число припухших суставов</w:t>
            </w:r>
          </w:p>
        </w:tc>
        <w:tc>
          <w:tcPr>
            <w:tcW w:w="50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7,8±2,2</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6,4±0,8</w:t>
            </w:r>
          </w:p>
        </w:tc>
        <w:tc>
          <w:tcPr>
            <w:tcW w:w="601" w:type="pct"/>
            <w:shd w:val="clear" w:color="auto" w:fill="auto"/>
            <w:vAlign w:val="center"/>
          </w:tcPr>
          <w:p w:rsidR="00030013" w:rsidRPr="00654A6C" w:rsidRDefault="00772DC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w:t>
            </w:r>
            <w:r w:rsidR="00030013" w:rsidRPr="00654A6C">
              <w:rPr>
                <w:rFonts w:ascii="Times New Roman" w:eastAsia="Times New Roman" w:hAnsi="Times New Roman"/>
                <w:sz w:val="24"/>
                <w:szCs w:val="24"/>
                <w:lang w:eastAsia="ru-RU"/>
              </w:rPr>
              <w:t>,3±1,7*</w:t>
            </w:r>
          </w:p>
        </w:tc>
        <w:tc>
          <w:tcPr>
            <w:tcW w:w="54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w:t>
            </w:r>
            <w:r w:rsidR="00030013" w:rsidRPr="00654A6C">
              <w:rPr>
                <w:rFonts w:ascii="Times New Roman" w:eastAsia="Times New Roman" w:hAnsi="Times New Roman"/>
                <w:sz w:val="24"/>
                <w:szCs w:val="24"/>
                <w:lang w:eastAsia="ru-RU"/>
              </w:rPr>
              <w:t>,0±1,2*</w:t>
            </w:r>
          </w:p>
        </w:tc>
        <w:tc>
          <w:tcPr>
            <w:tcW w:w="541" w:type="pct"/>
            <w:shd w:val="clear" w:color="auto" w:fill="auto"/>
            <w:vAlign w:val="center"/>
          </w:tcPr>
          <w:p w:rsidR="00030013" w:rsidRPr="00654A6C" w:rsidRDefault="00772DC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3</w:t>
            </w:r>
            <w:r w:rsidR="00030013" w:rsidRPr="00654A6C">
              <w:rPr>
                <w:rFonts w:ascii="Times New Roman" w:eastAsia="Times New Roman" w:hAnsi="Times New Roman"/>
                <w:sz w:val="24"/>
                <w:szCs w:val="24"/>
                <w:lang w:eastAsia="ru-RU"/>
              </w:rPr>
              <w:t>,8±2,2*</w:t>
            </w:r>
          </w:p>
        </w:tc>
        <w:tc>
          <w:tcPr>
            <w:tcW w:w="541" w:type="pct"/>
            <w:shd w:val="clear" w:color="auto" w:fill="auto"/>
            <w:vAlign w:val="center"/>
          </w:tcPr>
          <w:p w:rsidR="00030013" w:rsidRPr="00654A6C" w:rsidRDefault="00772DC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6</w:t>
            </w:r>
            <w:r w:rsidR="00030013" w:rsidRPr="00654A6C">
              <w:rPr>
                <w:rFonts w:ascii="Times New Roman" w:eastAsia="Times New Roman" w:hAnsi="Times New Roman"/>
                <w:sz w:val="24"/>
                <w:szCs w:val="24"/>
                <w:lang w:eastAsia="ru-RU"/>
              </w:rPr>
              <w:t>,6±1,9</w:t>
            </w:r>
          </w:p>
        </w:tc>
        <w:tc>
          <w:tcPr>
            <w:tcW w:w="58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6,2±2,4</w:t>
            </w:r>
          </w:p>
        </w:tc>
      </w:tr>
      <w:tr w:rsidR="00030013" w:rsidRPr="00BD6E96" w:rsidTr="00B14E16">
        <w:trPr>
          <w:trHeight w:val="552"/>
        </w:trPr>
        <w:tc>
          <w:tcPr>
            <w:tcW w:w="1153"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СОЭ, мм/час</w:t>
            </w:r>
          </w:p>
        </w:tc>
        <w:tc>
          <w:tcPr>
            <w:tcW w:w="50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27,4±8,6</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16,6±4,8</w:t>
            </w:r>
          </w:p>
        </w:tc>
        <w:tc>
          <w:tcPr>
            <w:tcW w:w="60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14,6±5,3*</w:t>
            </w:r>
          </w:p>
        </w:tc>
        <w:tc>
          <w:tcPr>
            <w:tcW w:w="54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12</w:t>
            </w:r>
            <w:r w:rsidR="00030013" w:rsidRPr="00654A6C">
              <w:rPr>
                <w:rFonts w:ascii="Times New Roman" w:eastAsia="Times New Roman" w:hAnsi="Times New Roman"/>
                <w:sz w:val="24"/>
                <w:szCs w:val="24"/>
                <w:lang w:eastAsia="ru-RU"/>
              </w:rPr>
              <w:t>,4±5,4*</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15,6±8,1*</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17,8±6,8</w:t>
            </w:r>
          </w:p>
        </w:tc>
        <w:tc>
          <w:tcPr>
            <w:tcW w:w="58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19,9±7,6</w:t>
            </w:r>
          </w:p>
        </w:tc>
      </w:tr>
      <w:tr w:rsidR="00030013" w:rsidRPr="00BD6E96" w:rsidTr="00B14E16">
        <w:trPr>
          <w:trHeight w:val="552"/>
        </w:trPr>
        <w:tc>
          <w:tcPr>
            <w:tcW w:w="1153"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 xml:space="preserve">ВАШ, </w:t>
            </w:r>
            <w:proofErr w:type="gramStart"/>
            <w:r w:rsidRPr="00654A6C">
              <w:rPr>
                <w:rFonts w:ascii="Times New Roman" w:eastAsia="Times New Roman" w:hAnsi="Times New Roman"/>
                <w:sz w:val="24"/>
                <w:szCs w:val="24"/>
                <w:lang w:eastAsia="ru-RU"/>
              </w:rPr>
              <w:t>мм</w:t>
            </w:r>
            <w:proofErr w:type="gramEnd"/>
          </w:p>
        </w:tc>
        <w:tc>
          <w:tcPr>
            <w:tcW w:w="50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52,5±9,6</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21,7±8,7*</w:t>
            </w:r>
          </w:p>
        </w:tc>
        <w:tc>
          <w:tcPr>
            <w:tcW w:w="60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23,4±11,4*</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17,5±9,4*</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21,5±8,6*</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22,8±7,9*</w:t>
            </w:r>
          </w:p>
        </w:tc>
        <w:tc>
          <w:tcPr>
            <w:tcW w:w="58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19,9±8,7*</w:t>
            </w:r>
          </w:p>
        </w:tc>
      </w:tr>
      <w:tr w:rsidR="00030013" w:rsidRPr="00BD6E96" w:rsidTr="00B14E16">
        <w:trPr>
          <w:trHeight w:val="552"/>
        </w:trPr>
        <w:tc>
          <w:tcPr>
            <w:tcW w:w="1153" w:type="pct"/>
            <w:shd w:val="clear" w:color="auto" w:fill="auto"/>
            <w:vAlign w:val="center"/>
          </w:tcPr>
          <w:p w:rsidR="00030013" w:rsidRPr="00654A6C" w:rsidRDefault="00030013" w:rsidP="00DD207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DAS28</w:t>
            </w:r>
          </w:p>
        </w:tc>
        <w:tc>
          <w:tcPr>
            <w:tcW w:w="50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6</w:t>
            </w:r>
            <w:r w:rsidR="00030013" w:rsidRPr="00654A6C">
              <w:rPr>
                <w:rFonts w:ascii="Times New Roman" w:eastAsia="Times New Roman" w:hAnsi="Times New Roman"/>
                <w:sz w:val="24"/>
                <w:szCs w:val="24"/>
                <w:lang w:eastAsia="ru-RU"/>
              </w:rPr>
              <w:t>,1±1,7</w:t>
            </w:r>
          </w:p>
        </w:tc>
        <w:tc>
          <w:tcPr>
            <w:tcW w:w="541" w:type="pct"/>
            <w:shd w:val="clear" w:color="auto" w:fill="auto"/>
            <w:vAlign w:val="center"/>
          </w:tcPr>
          <w:p w:rsidR="00030013" w:rsidRPr="00654A6C" w:rsidRDefault="00030013"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4,91±1,6</w:t>
            </w:r>
          </w:p>
        </w:tc>
        <w:tc>
          <w:tcPr>
            <w:tcW w:w="60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w:t>
            </w:r>
            <w:r w:rsidR="00030013" w:rsidRPr="00654A6C">
              <w:rPr>
                <w:rFonts w:ascii="Times New Roman" w:eastAsia="Times New Roman" w:hAnsi="Times New Roman"/>
                <w:sz w:val="24"/>
                <w:szCs w:val="24"/>
                <w:lang w:eastAsia="ru-RU"/>
              </w:rPr>
              <w:t>,46±1,8</w:t>
            </w:r>
          </w:p>
        </w:tc>
        <w:tc>
          <w:tcPr>
            <w:tcW w:w="54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2,8</w:t>
            </w:r>
            <w:r w:rsidR="00030013" w:rsidRPr="00654A6C">
              <w:rPr>
                <w:rFonts w:ascii="Times New Roman" w:eastAsia="Times New Roman" w:hAnsi="Times New Roman"/>
                <w:sz w:val="24"/>
                <w:szCs w:val="24"/>
                <w:lang w:eastAsia="ru-RU"/>
              </w:rPr>
              <w:t>3±1,1*</w:t>
            </w:r>
          </w:p>
        </w:tc>
        <w:tc>
          <w:tcPr>
            <w:tcW w:w="54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2,9</w:t>
            </w:r>
            <w:r w:rsidR="00030013" w:rsidRPr="00654A6C">
              <w:rPr>
                <w:rFonts w:ascii="Times New Roman" w:eastAsia="Times New Roman" w:hAnsi="Times New Roman"/>
                <w:sz w:val="24"/>
                <w:szCs w:val="24"/>
                <w:lang w:eastAsia="ru-RU"/>
              </w:rPr>
              <w:t>6±1,7*</w:t>
            </w:r>
          </w:p>
        </w:tc>
        <w:tc>
          <w:tcPr>
            <w:tcW w:w="54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w:t>
            </w:r>
            <w:r w:rsidR="00030013" w:rsidRPr="00654A6C">
              <w:rPr>
                <w:rFonts w:ascii="Times New Roman" w:eastAsia="Times New Roman" w:hAnsi="Times New Roman"/>
                <w:sz w:val="24"/>
                <w:szCs w:val="24"/>
                <w:lang w:eastAsia="ru-RU"/>
              </w:rPr>
              <w:t>,1±1,2</w:t>
            </w:r>
          </w:p>
        </w:tc>
        <w:tc>
          <w:tcPr>
            <w:tcW w:w="581" w:type="pct"/>
            <w:shd w:val="clear" w:color="auto" w:fill="auto"/>
            <w:vAlign w:val="center"/>
          </w:tcPr>
          <w:p w:rsidR="00030013" w:rsidRPr="00654A6C" w:rsidRDefault="00971374" w:rsidP="00654A6C">
            <w:pPr>
              <w:spacing w:after="0" w:line="360" w:lineRule="auto"/>
              <w:jc w:val="center"/>
              <w:rPr>
                <w:rFonts w:ascii="Times New Roman" w:eastAsia="Times New Roman" w:hAnsi="Times New Roman"/>
                <w:sz w:val="24"/>
                <w:szCs w:val="24"/>
                <w:lang w:eastAsia="ru-RU"/>
              </w:rPr>
            </w:pPr>
            <w:r w:rsidRPr="00654A6C">
              <w:rPr>
                <w:rFonts w:ascii="Times New Roman" w:eastAsia="Times New Roman" w:hAnsi="Times New Roman"/>
                <w:sz w:val="24"/>
                <w:szCs w:val="24"/>
                <w:lang w:eastAsia="ru-RU"/>
              </w:rPr>
              <w:t>4,3</w:t>
            </w:r>
            <w:r w:rsidR="00030013" w:rsidRPr="00654A6C">
              <w:rPr>
                <w:rFonts w:ascii="Times New Roman" w:eastAsia="Times New Roman" w:hAnsi="Times New Roman"/>
                <w:sz w:val="24"/>
                <w:szCs w:val="24"/>
                <w:lang w:eastAsia="ru-RU"/>
              </w:rPr>
              <w:t>1±1,7</w:t>
            </w:r>
          </w:p>
        </w:tc>
      </w:tr>
    </w:tbl>
    <w:p w:rsidR="00030013" w:rsidRPr="00BD6E96" w:rsidRDefault="00030013" w:rsidP="00BD6E96">
      <w:pPr>
        <w:spacing w:after="0" w:line="360" w:lineRule="auto"/>
        <w:jc w:val="both"/>
        <w:rPr>
          <w:rFonts w:ascii="Times New Roman" w:eastAsia="Times New Roman" w:hAnsi="Times New Roman"/>
          <w:i/>
          <w:sz w:val="28"/>
          <w:szCs w:val="28"/>
          <w:lang w:eastAsia="ru-RU"/>
        </w:rPr>
      </w:pPr>
      <w:r w:rsidRPr="00F71B34">
        <w:rPr>
          <w:rFonts w:ascii="Times New Roman" w:eastAsia="Times New Roman" w:hAnsi="Times New Roman"/>
          <w:i/>
          <w:sz w:val="28"/>
          <w:szCs w:val="28"/>
          <w:lang w:eastAsia="ru-RU"/>
        </w:rPr>
        <w:t>* p&lt;0,05 по сравнению с исходными показателями.</w:t>
      </w:r>
    </w:p>
    <w:p w:rsidR="00B14E16" w:rsidRPr="00F71B34" w:rsidRDefault="00B14E16" w:rsidP="00B14E16">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lastRenderedPageBreak/>
        <w:t>Число припухших суставов статистически значимо уменьшилось через 24 недели терапии (исходн</w:t>
      </w:r>
      <w:r>
        <w:rPr>
          <w:rFonts w:ascii="Times New Roman" w:eastAsia="Times New Roman" w:hAnsi="Times New Roman"/>
          <w:sz w:val="28"/>
          <w:szCs w:val="28"/>
          <w:lang w:eastAsia="ru-RU"/>
        </w:rPr>
        <w:t>о – 7,8±2,2, через 24 недели – 3</w:t>
      </w:r>
      <w:r w:rsidRPr="00F71B34">
        <w:rPr>
          <w:rFonts w:ascii="Times New Roman" w:eastAsia="Times New Roman" w:hAnsi="Times New Roman"/>
          <w:sz w:val="28"/>
          <w:szCs w:val="28"/>
          <w:lang w:eastAsia="ru-RU"/>
        </w:rPr>
        <w:t>,3±1,7), оставалось стабильным в п</w:t>
      </w:r>
      <w:r>
        <w:rPr>
          <w:rFonts w:ascii="Times New Roman" w:eastAsia="Times New Roman" w:hAnsi="Times New Roman"/>
          <w:sz w:val="28"/>
          <w:szCs w:val="28"/>
          <w:lang w:eastAsia="ru-RU"/>
        </w:rPr>
        <w:t>ериод</w:t>
      </w:r>
      <w:r w:rsidRPr="00F71B34">
        <w:rPr>
          <w:rFonts w:ascii="Times New Roman" w:eastAsia="Times New Roman" w:hAnsi="Times New Roman"/>
          <w:sz w:val="28"/>
          <w:szCs w:val="28"/>
          <w:lang w:eastAsia="ru-RU"/>
        </w:rPr>
        <w:t>е 24 недели – 24 месяца, затем увеличилось к 36</w:t>
      </w:r>
      <w:r>
        <w:rPr>
          <w:rFonts w:ascii="Times New Roman" w:eastAsia="Times New Roman" w:hAnsi="Times New Roman"/>
          <w:sz w:val="28"/>
          <w:szCs w:val="28"/>
          <w:lang w:eastAsia="ru-RU"/>
        </w:rPr>
        <w:t>-му</w:t>
      </w:r>
      <w:r w:rsidRPr="00F71B34">
        <w:rPr>
          <w:rFonts w:ascii="Times New Roman" w:eastAsia="Times New Roman" w:hAnsi="Times New Roman"/>
          <w:sz w:val="28"/>
          <w:szCs w:val="28"/>
          <w:lang w:eastAsia="ru-RU"/>
        </w:rPr>
        <w:t xml:space="preserve"> месяцу терапии (</w:t>
      </w:r>
      <w:r>
        <w:rPr>
          <w:rFonts w:ascii="Times New Roman" w:eastAsia="Times New Roman" w:hAnsi="Times New Roman"/>
          <w:sz w:val="28"/>
          <w:szCs w:val="28"/>
          <w:lang w:eastAsia="ru-RU"/>
        </w:rPr>
        <w:t>6,6</w:t>
      </w:r>
      <w:r w:rsidRPr="00F71B34">
        <w:rPr>
          <w:rFonts w:ascii="Times New Roman" w:eastAsia="Times New Roman" w:hAnsi="Times New Roman"/>
          <w:sz w:val="28"/>
          <w:szCs w:val="28"/>
          <w:lang w:eastAsia="ru-RU"/>
        </w:rPr>
        <w:t xml:space="preserve">±3,1, </w:t>
      </w:r>
      <w:proofErr w:type="gramStart"/>
      <w:r w:rsidRPr="00F71B34">
        <w:rPr>
          <w:rFonts w:ascii="Times New Roman" w:eastAsia="Times New Roman" w:hAnsi="Times New Roman"/>
          <w:sz w:val="28"/>
          <w:szCs w:val="28"/>
          <w:lang w:eastAsia="ru-RU"/>
        </w:rPr>
        <w:t>р</w:t>
      </w:r>
      <w:proofErr w:type="gramEnd"/>
      <w:r w:rsidRPr="00F71B34">
        <w:rPr>
          <w:rFonts w:ascii="Times New Roman" w:eastAsia="Times New Roman" w:hAnsi="Times New Roman"/>
          <w:sz w:val="28"/>
          <w:szCs w:val="28"/>
          <w:lang w:eastAsia="ru-RU"/>
        </w:rPr>
        <w:t>=0,084).</w:t>
      </w:r>
    </w:p>
    <w:p w:rsidR="001C7C52" w:rsidRPr="00F71B34" w:rsidRDefault="001C7C52" w:rsidP="001C7C52">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Аналогичная динамика отмечалась и дл</w:t>
      </w:r>
      <w:r>
        <w:rPr>
          <w:rFonts w:ascii="Times New Roman" w:eastAsia="Times New Roman" w:hAnsi="Times New Roman"/>
          <w:sz w:val="28"/>
          <w:szCs w:val="28"/>
          <w:lang w:eastAsia="ru-RU"/>
        </w:rPr>
        <w:t xml:space="preserve">я показателя СОЭ: уменьшение </w:t>
      </w:r>
      <w:r w:rsidRPr="00F71B34">
        <w:rPr>
          <w:rFonts w:ascii="Times New Roman" w:eastAsia="Times New Roman" w:hAnsi="Times New Roman"/>
          <w:sz w:val="28"/>
          <w:szCs w:val="28"/>
          <w:lang w:eastAsia="ru-RU"/>
        </w:rPr>
        <w:t xml:space="preserve"> к 24</w:t>
      </w:r>
      <w:r>
        <w:rPr>
          <w:rFonts w:ascii="Times New Roman" w:eastAsia="Times New Roman" w:hAnsi="Times New Roman"/>
          <w:sz w:val="28"/>
          <w:szCs w:val="28"/>
          <w:lang w:eastAsia="ru-RU"/>
        </w:rPr>
        <w:t>-й</w:t>
      </w:r>
      <w:r w:rsidRPr="00F71B34">
        <w:rPr>
          <w:rFonts w:ascii="Times New Roman" w:eastAsia="Times New Roman" w:hAnsi="Times New Roman"/>
          <w:sz w:val="28"/>
          <w:szCs w:val="28"/>
          <w:lang w:eastAsia="ru-RU"/>
        </w:rPr>
        <w:t xml:space="preserve"> неделе лечения, стабилизация в интервале 24 недели</w:t>
      </w:r>
      <w:r>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24 месяца те</w:t>
      </w:r>
      <w:r>
        <w:rPr>
          <w:rFonts w:ascii="Times New Roman" w:eastAsia="Times New Roman" w:hAnsi="Times New Roman"/>
          <w:sz w:val="28"/>
          <w:szCs w:val="28"/>
          <w:lang w:eastAsia="ru-RU"/>
        </w:rPr>
        <w:t>рапии</w:t>
      </w:r>
      <w:r w:rsidRPr="00F71B34">
        <w:rPr>
          <w:rFonts w:ascii="Times New Roman" w:eastAsia="Times New Roman" w:hAnsi="Times New Roman"/>
          <w:sz w:val="28"/>
          <w:szCs w:val="28"/>
          <w:lang w:eastAsia="ru-RU"/>
        </w:rPr>
        <w:t xml:space="preserve"> и увеличение к 36</w:t>
      </w:r>
      <w:r>
        <w:rPr>
          <w:rFonts w:ascii="Times New Roman" w:eastAsia="Times New Roman" w:hAnsi="Times New Roman"/>
          <w:sz w:val="28"/>
          <w:szCs w:val="28"/>
          <w:lang w:eastAsia="ru-RU"/>
        </w:rPr>
        <w:t>-му</w:t>
      </w:r>
      <w:r w:rsidRPr="00F71B34">
        <w:rPr>
          <w:rFonts w:ascii="Times New Roman" w:eastAsia="Times New Roman" w:hAnsi="Times New Roman"/>
          <w:sz w:val="28"/>
          <w:szCs w:val="28"/>
          <w:lang w:eastAsia="ru-RU"/>
        </w:rPr>
        <w:t xml:space="preserve"> месяцу лечения.</w:t>
      </w:r>
    </w:p>
    <w:p w:rsidR="001C7C52" w:rsidRDefault="001C7C52" w:rsidP="001C7C52">
      <w:pPr>
        <w:spacing w:after="0" w:line="360" w:lineRule="auto"/>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ab/>
      </w:r>
      <w:proofErr w:type="gramStart"/>
      <w:r w:rsidRPr="00F71B34">
        <w:rPr>
          <w:rFonts w:ascii="Times New Roman" w:eastAsia="Times New Roman" w:hAnsi="Times New Roman"/>
          <w:sz w:val="28"/>
          <w:szCs w:val="28"/>
          <w:lang w:eastAsia="ru-RU"/>
        </w:rPr>
        <w:t>Общая оценка активности заболевания пациентом по ВАШ статистически значимо уменьшилась к 16</w:t>
      </w:r>
      <w:r>
        <w:rPr>
          <w:rFonts w:ascii="Times New Roman" w:eastAsia="Times New Roman" w:hAnsi="Times New Roman"/>
          <w:sz w:val="28"/>
          <w:szCs w:val="28"/>
          <w:lang w:eastAsia="ru-RU"/>
        </w:rPr>
        <w:t>-й</w:t>
      </w:r>
      <w:r w:rsidRPr="00F71B34">
        <w:rPr>
          <w:rFonts w:ascii="Times New Roman" w:eastAsia="Times New Roman" w:hAnsi="Times New Roman"/>
          <w:sz w:val="28"/>
          <w:szCs w:val="28"/>
          <w:lang w:eastAsia="ru-RU"/>
        </w:rPr>
        <w:t xml:space="preserve"> неделе лечения и оставалась достоверно ниже исходных данных на протяжении всего последующего периода наблюдения, несмотря на динамику объективных показателей активности РА.</w:t>
      </w:r>
      <w:proofErr w:type="gramEnd"/>
    </w:p>
    <w:p w:rsidR="00030013" w:rsidRPr="00ED5A07" w:rsidRDefault="002A3D88" w:rsidP="00ED5A0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noProof/>
          <w:color w:val="FF0000"/>
          <w:sz w:val="28"/>
          <w:szCs w:val="28"/>
          <w:lang w:eastAsia="ru-RU"/>
        </w:rPr>
        <w:drawing>
          <wp:inline distT="0" distB="0" distL="0" distR="0" wp14:anchorId="7447F28B" wp14:editId="0730C452">
            <wp:extent cx="6291943" cy="3178628"/>
            <wp:effectExtent l="0" t="0" r="0" b="3175"/>
            <wp:docPr id="19"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1E93" w:rsidRPr="00BD6E96" w:rsidRDefault="00A41E93" w:rsidP="00A41E93">
      <w:pPr>
        <w:spacing w:after="0" w:line="360" w:lineRule="auto"/>
        <w:jc w:val="both"/>
        <w:rPr>
          <w:rFonts w:ascii="Times New Roman" w:eastAsia="Times New Roman" w:hAnsi="Times New Roman"/>
          <w:i/>
          <w:sz w:val="28"/>
          <w:szCs w:val="28"/>
          <w:lang w:eastAsia="ru-RU"/>
        </w:rPr>
      </w:pPr>
      <w:r w:rsidRPr="00F71B34">
        <w:rPr>
          <w:rFonts w:ascii="Times New Roman" w:eastAsia="Times New Roman" w:hAnsi="Times New Roman"/>
          <w:i/>
          <w:sz w:val="28"/>
          <w:szCs w:val="28"/>
          <w:lang w:eastAsia="ru-RU"/>
        </w:rPr>
        <w:t>* p&lt;0,05 по сравнению с исходными показателями.</w:t>
      </w:r>
    </w:p>
    <w:p w:rsidR="00A41E93" w:rsidRPr="00ED5A07" w:rsidRDefault="00A41E93" w:rsidP="00F71B34">
      <w:pPr>
        <w:spacing w:after="0" w:line="360" w:lineRule="auto"/>
        <w:jc w:val="both"/>
        <w:rPr>
          <w:rFonts w:ascii="Times New Roman" w:eastAsia="Times New Roman" w:hAnsi="Times New Roman"/>
          <w:sz w:val="18"/>
          <w:szCs w:val="28"/>
          <w:lang w:eastAsia="ru-RU"/>
        </w:rPr>
      </w:pPr>
    </w:p>
    <w:p w:rsidR="00030013" w:rsidRDefault="00030013" w:rsidP="00F71B34">
      <w:pPr>
        <w:spacing w:after="0" w:line="360" w:lineRule="auto"/>
        <w:jc w:val="both"/>
        <w:rPr>
          <w:rFonts w:ascii="Times New Roman" w:eastAsia="Times New Roman" w:hAnsi="Times New Roman"/>
          <w:sz w:val="28"/>
          <w:szCs w:val="28"/>
          <w:lang w:eastAsia="ru-RU"/>
        </w:rPr>
      </w:pPr>
      <w:r w:rsidRPr="00DD207C">
        <w:rPr>
          <w:rFonts w:ascii="Times New Roman" w:eastAsia="Times New Roman" w:hAnsi="Times New Roman"/>
          <w:spacing w:val="40"/>
          <w:sz w:val="28"/>
          <w:szCs w:val="28"/>
          <w:lang w:eastAsia="ru-RU"/>
        </w:rPr>
        <w:t>Рисунок</w:t>
      </w:r>
      <w:r w:rsidRPr="00F71B34">
        <w:rPr>
          <w:rFonts w:ascii="Times New Roman" w:eastAsia="Times New Roman" w:hAnsi="Times New Roman"/>
          <w:sz w:val="28"/>
          <w:szCs w:val="28"/>
          <w:lang w:eastAsia="ru-RU"/>
        </w:rPr>
        <w:t xml:space="preserve"> 1</w:t>
      </w:r>
      <w:r w:rsidR="00DD207C">
        <w:rPr>
          <w:rFonts w:ascii="Times New Roman" w:eastAsia="Times New Roman" w:hAnsi="Times New Roman"/>
          <w:sz w:val="28"/>
          <w:szCs w:val="28"/>
          <w:lang w:eastAsia="ru-RU"/>
        </w:rPr>
        <w:t>0</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Эффективность лечения по критериям </w:t>
      </w:r>
      <w:r w:rsidR="00A90922">
        <w:rPr>
          <w:rFonts w:ascii="Times New Roman" w:eastAsia="Times New Roman" w:hAnsi="Times New Roman"/>
          <w:sz w:val="28"/>
          <w:szCs w:val="28"/>
          <w:lang w:val="en-US" w:eastAsia="ru-RU"/>
        </w:rPr>
        <w:t>EULAR</w:t>
      </w:r>
      <w:r w:rsidRPr="00F71B34">
        <w:rPr>
          <w:rFonts w:ascii="Times New Roman" w:eastAsia="Times New Roman" w:hAnsi="Times New Roman"/>
          <w:sz w:val="28"/>
          <w:szCs w:val="28"/>
          <w:lang w:eastAsia="ru-RU"/>
        </w:rPr>
        <w:t xml:space="preserve"> через 12, 24,</w:t>
      </w:r>
      <w:r w:rsidR="00DD207C">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 xml:space="preserve">36 и 48 месяцев у больных РА, получавших комбинированную терапию РТМ и МТХ </w:t>
      </w:r>
    </w:p>
    <w:p w:rsidR="001C7C52" w:rsidRPr="00F71B34" w:rsidRDefault="001C7C52" w:rsidP="00F71B34">
      <w:pPr>
        <w:spacing w:after="0" w:line="360" w:lineRule="auto"/>
        <w:jc w:val="both"/>
        <w:rPr>
          <w:rFonts w:ascii="Times New Roman" w:eastAsia="Times New Roman" w:hAnsi="Times New Roman"/>
          <w:sz w:val="28"/>
          <w:szCs w:val="28"/>
          <w:lang w:eastAsia="ru-RU"/>
        </w:rPr>
      </w:pPr>
    </w:p>
    <w:p w:rsidR="00030013" w:rsidRPr="00F71B34" w:rsidRDefault="001C7C52" w:rsidP="00B14E16">
      <w:pPr>
        <w:spacing w:after="0" w:line="360" w:lineRule="auto"/>
        <w:ind w:firstLine="708"/>
        <w:jc w:val="both"/>
        <w:rPr>
          <w:rFonts w:ascii="Times New Roman" w:eastAsia="Times New Roman" w:hAnsi="Times New Roman"/>
          <w:sz w:val="28"/>
          <w:szCs w:val="28"/>
          <w:lang w:eastAsia="ru-RU"/>
        </w:rPr>
      </w:pPr>
      <w:proofErr w:type="gramStart"/>
      <w:r w:rsidRPr="00F71B34">
        <w:rPr>
          <w:rFonts w:ascii="Times New Roman" w:eastAsia="Times New Roman" w:hAnsi="Times New Roman"/>
          <w:sz w:val="28"/>
          <w:szCs w:val="28"/>
          <w:lang w:eastAsia="ru-RU"/>
        </w:rPr>
        <w:t xml:space="preserve">Согласно критериям </w:t>
      </w:r>
      <w:r w:rsidRPr="00971374">
        <w:rPr>
          <w:rFonts w:ascii="Times New Roman" w:eastAsia="Times New Roman" w:hAnsi="Times New Roman"/>
          <w:sz w:val="28"/>
          <w:szCs w:val="28"/>
          <w:lang w:eastAsia="ru-RU"/>
        </w:rPr>
        <w:t>EULAR</w:t>
      </w:r>
      <w:r w:rsidRPr="00F71B34">
        <w:rPr>
          <w:rFonts w:ascii="Times New Roman" w:eastAsia="Times New Roman" w:hAnsi="Times New Roman"/>
          <w:sz w:val="28"/>
          <w:szCs w:val="28"/>
          <w:lang w:eastAsia="ru-RU"/>
        </w:rPr>
        <w:t xml:space="preserve">, </w:t>
      </w:r>
      <w:r w:rsidRPr="00F71B34">
        <w:rPr>
          <w:rFonts w:ascii="Times New Roman" w:hAnsi="Times New Roman"/>
          <w:kern w:val="2"/>
          <w:sz w:val="28"/>
          <w:szCs w:val="28"/>
          <w:lang w:eastAsia="ko-KR"/>
        </w:rPr>
        <w:t xml:space="preserve">соотношение удельного веса больных с комбинированной терапией РТМ и МТХ, </w:t>
      </w:r>
      <w:r w:rsidRPr="00490D2C">
        <w:rPr>
          <w:rFonts w:ascii="Times New Roman" w:hAnsi="Times New Roman"/>
          <w:kern w:val="2"/>
          <w:sz w:val="28"/>
          <w:szCs w:val="28"/>
          <w:lang w:eastAsia="ko-KR"/>
        </w:rPr>
        <w:t xml:space="preserve">достигших </w:t>
      </w:r>
      <w:r w:rsidR="00FB1CC5" w:rsidRPr="00490D2C">
        <w:rPr>
          <w:rFonts w:ascii="Times New Roman" w:hAnsi="Times New Roman"/>
          <w:kern w:val="2"/>
          <w:sz w:val="28"/>
          <w:szCs w:val="28"/>
          <w:lang w:eastAsia="ko-KR"/>
        </w:rPr>
        <w:t>хорошего</w:t>
      </w:r>
      <w:r w:rsidR="00FB1CC5">
        <w:rPr>
          <w:rFonts w:ascii="Times New Roman" w:hAnsi="Times New Roman"/>
          <w:kern w:val="2"/>
          <w:sz w:val="28"/>
          <w:szCs w:val="28"/>
          <w:lang w:eastAsia="ko-KR"/>
        </w:rPr>
        <w:t>,</w:t>
      </w:r>
      <w:r w:rsidR="00FB1CC5" w:rsidRPr="00490D2C">
        <w:rPr>
          <w:rFonts w:ascii="Times New Roman" w:hAnsi="Times New Roman"/>
          <w:kern w:val="2"/>
          <w:sz w:val="28"/>
          <w:szCs w:val="28"/>
          <w:lang w:eastAsia="ko-KR"/>
        </w:rPr>
        <w:t xml:space="preserve"> </w:t>
      </w:r>
      <w:r w:rsidR="00FB1CC5">
        <w:rPr>
          <w:rFonts w:ascii="Times New Roman" w:hAnsi="Times New Roman"/>
          <w:kern w:val="2"/>
          <w:sz w:val="28"/>
          <w:szCs w:val="28"/>
          <w:lang w:eastAsia="ko-KR"/>
        </w:rPr>
        <w:t>удовлетворительного</w:t>
      </w:r>
      <w:r w:rsidRPr="00490D2C">
        <w:rPr>
          <w:rFonts w:ascii="Times New Roman" w:hAnsi="Times New Roman"/>
          <w:kern w:val="2"/>
          <w:sz w:val="28"/>
          <w:szCs w:val="28"/>
          <w:lang w:eastAsia="ko-KR"/>
        </w:rPr>
        <w:t xml:space="preserve"> эффекта и не ответивших на терапию </w:t>
      </w:r>
      <w:r w:rsidRPr="00F71B34">
        <w:rPr>
          <w:rFonts w:ascii="Times New Roman" w:hAnsi="Times New Roman"/>
          <w:kern w:val="2"/>
          <w:sz w:val="28"/>
          <w:szCs w:val="28"/>
          <w:lang w:eastAsia="ko-KR"/>
        </w:rPr>
        <w:t xml:space="preserve">в различные периоды </w:t>
      </w:r>
      <w:r w:rsidRPr="00F71B34">
        <w:rPr>
          <w:rFonts w:ascii="Times New Roman" w:hAnsi="Times New Roman"/>
          <w:kern w:val="2"/>
          <w:sz w:val="28"/>
          <w:szCs w:val="28"/>
          <w:lang w:eastAsia="ko-KR"/>
        </w:rPr>
        <w:lastRenderedPageBreak/>
        <w:t xml:space="preserve">наблюдения, составило соответственно: через 12 месяцев – </w:t>
      </w:r>
      <w:r w:rsidR="00FB1CC5">
        <w:rPr>
          <w:rFonts w:ascii="Times New Roman" w:eastAsia="Times New Roman" w:hAnsi="Times New Roman"/>
          <w:sz w:val="28"/>
          <w:szCs w:val="28"/>
          <w:lang w:eastAsia="ru-RU"/>
        </w:rPr>
        <w:t>17</w:t>
      </w:r>
      <w:r w:rsidR="00FB1CC5" w:rsidRPr="00F71B34">
        <w:rPr>
          <w:rFonts w:ascii="Times New Roman" w:eastAsia="Times New Roman" w:hAnsi="Times New Roman"/>
          <w:sz w:val="28"/>
          <w:szCs w:val="28"/>
          <w:lang w:eastAsia="ru-RU"/>
        </w:rPr>
        <w:t xml:space="preserve"> (</w:t>
      </w:r>
      <w:r w:rsidR="00FB1CC5">
        <w:rPr>
          <w:rFonts w:ascii="Times New Roman" w:eastAsia="Times New Roman" w:hAnsi="Times New Roman"/>
          <w:sz w:val="28"/>
          <w:szCs w:val="28"/>
          <w:lang w:eastAsia="ru-RU"/>
        </w:rPr>
        <w:t xml:space="preserve">38,6%), </w:t>
      </w:r>
      <w:r w:rsidRPr="00A90922">
        <w:rPr>
          <w:rFonts w:ascii="Times New Roman" w:hAnsi="Times New Roman"/>
          <w:kern w:val="2"/>
          <w:sz w:val="28"/>
          <w:szCs w:val="28"/>
          <w:lang w:eastAsia="ko-KR"/>
        </w:rPr>
        <w:t>22</w:t>
      </w:r>
      <w:r w:rsidRPr="00F71B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50,</w:t>
      </w:r>
      <w:r w:rsidRPr="00A90922">
        <w:rPr>
          <w:rFonts w:ascii="Times New Roman" w:eastAsia="Times New Roman" w:hAnsi="Times New Roman"/>
          <w:sz w:val="28"/>
          <w:szCs w:val="28"/>
          <w:lang w:eastAsia="ru-RU"/>
        </w:rPr>
        <w:t>0</w:t>
      </w:r>
      <w:r w:rsidR="00FB1CC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5</w:t>
      </w:r>
      <w:r w:rsidRPr="00F71B34">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1,4</w:t>
      </w:r>
      <w:r w:rsidRPr="00F71B34">
        <w:rPr>
          <w:rFonts w:ascii="Times New Roman" w:eastAsia="Times New Roman" w:hAnsi="Times New Roman"/>
          <w:sz w:val="28"/>
          <w:szCs w:val="28"/>
          <w:lang w:eastAsia="ru-RU"/>
        </w:rPr>
        <w:t>%) пациентов</w:t>
      </w:r>
      <w:r w:rsidRPr="00F71B34">
        <w:rPr>
          <w:rFonts w:ascii="Times New Roman" w:hAnsi="Times New Roman"/>
          <w:kern w:val="2"/>
          <w:sz w:val="28"/>
          <w:szCs w:val="28"/>
          <w:lang w:eastAsia="ko-KR"/>
        </w:rPr>
        <w:t xml:space="preserve">, через 24 месяца – </w:t>
      </w:r>
      <w:r w:rsidR="00CF7FAB">
        <w:rPr>
          <w:rFonts w:ascii="Times New Roman" w:eastAsia="Times New Roman" w:hAnsi="Times New Roman"/>
          <w:sz w:val="28"/>
          <w:szCs w:val="28"/>
          <w:lang w:eastAsia="ru-RU"/>
        </w:rPr>
        <w:t>18</w:t>
      </w:r>
      <w:r w:rsidRPr="00F71B34">
        <w:rPr>
          <w:rFonts w:ascii="Times New Roman" w:eastAsia="Times New Roman" w:hAnsi="Times New Roman"/>
          <w:sz w:val="28"/>
          <w:szCs w:val="28"/>
          <w:lang w:eastAsia="ru-RU"/>
        </w:rPr>
        <w:t xml:space="preserve"> (</w:t>
      </w:r>
      <w:r w:rsidR="00337B4E">
        <w:rPr>
          <w:rFonts w:ascii="Times New Roman" w:eastAsia="Times New Roman" w:hAnsi="Times New Roman"/>
          <w:sz w:val="28"/>
          <w:szCs w:val="28"/>
          <w:lang w:eastAsia="ru-RU"/>
        </w:rPr>
        <w:t>4</w:t>
      </w:r>
      <w:r w:rsidR="00CF7FAB">
        <w:rPr>
          <w:rFonts w:ascii="Times New Roman" w:eastAsia="Times New Roman" w:hAnsi="Times New Roman"/>
          <w:sz w:val="28"/>
          <w:szCs w:val="28"/>
          <w:lang w:eastAsia="ru-RU"/>
        </w:rPr>
        <w:t>0,9</w:t>
      </w:r>
      <w:r w:rsidRPr="00F71B34">
        <w:rPr>
          <w:rFonts w:ascii="Times New Roman" w:eastAsia="Times New Roman" w:hAnsi="Times New Roman"/>
          <w:sz w:val="28"/>
          <w:szCs w:val="28"/>
          <w:lang w:eastAsia="ru-RU"/>
        </w:rPr>
        <w:t>%),</w:t>
      </w:r>
      <w:r w:rsidRPr="00F71B34">
        <w:rPr>
          <w:rFonts w:ascii="Times New Roman" w:hAnsi="Times New Roman"/>
          <w:kern w:val="2"/>
          <w:sz w:val="28"/>
          <w:szCs w:val="28"/>
          <w:lang w:eastAsia="ko-KR"/>
        </w:rPr>
        <w:t xml:space="preserve"> </w:t>
      </w:r>
      <w:r w:rsidR="00CF7FAB">
        <w:rPr>
          <w:rFonts w:ascii="Times New Roman" w:hAnsi="Times New Roman"/>
          <w:kern w:val="2"/>
          <w:sz w:val="28"/>
          <w:szCs w:val="28"/>
          <w:lang w:eastAsia="ko-KR"/>
        </w:rPr>
        <w:t>2</w:t>
      </w:r>
      <w:r w:rsidRPr="00F71B34">
        <w:rPr>
          <w:rFonts w:ascii="Times New Roman" w:eastAsia="Times New Roman" w:hAnsi="Times New Roman"/>
          <w:sz w:val="28"/>
          <w:szCs w:val="28"/>
          <w:lang w:eastAsia="ru-RU"/>
        </w:rPr>
        <w:t>1 (</w:t>
      </w:r>
      <w:r w:rsidR="00337B4E">
        <w:rPr>
          <w:rFonts w:ascii="Times New Roman" w:eastAsia="Times New Roman" w:hAnsi="Times New Roman"/>
          <w:sz w:val="28"/>
          <w:szCs w:val="28"/>
          <w:lang w:eastAsia="ru-RU"/>
        </w:rPr>
        <w:t>4</w:t>
      </w:r>
      <w:r w:rsidR="00CF7FAB">
        <w:rPr>
          <w:rFonts w:ascii="Times New Roman" w:eastAsia="Times New Roman" w:hAnsi="Times New Roman"/>
          <w:sz w:val="28"/>
          <w:szCs w:val="28"/>
          <w:lang w:eastAsia="ru-RU"/>
        </w:rPr>
        <w:t>7,7</w:t>
      </w:r>
      <w:r w:rsidR="00337B4E">
        <w:rPr>
          <w:rFonts w:ascii="Times New Roman" w:eastAsia="Times New Roman" w:hAnsi="Times New Roman"/>
          <w:sz w:val="28"/>
          <w:szCs w:val="28"/>
          <w:lang w:eastAsia="ru-RU"/>
        </w:rPr>
        <w:t>%) и 5</w:t>
      </w:r>
      <w:r>
        <w:rPr>
          <w:rFonts w:ascii="Times New Roman" w:eastAsia="Times New Roman" w:hAnsi="Times New Roman"/>
          <w:sz w:val="28"/>
          <w:szCs w:val="28"/>
          <w:lang w:eastAsia="ru-RU"/>
        </w:rPr>
        <w:t xml:space="preserve"> (</w:t>
      </w:r>
      <w:r w:rsidR="00337B4E">
        <w:rPr>
          <w:rFonts w:ascii="Times New Roman" w:eastAsia="Times New Roman" w:hAnsi="Times New Roman"/>
          <w:sz w:val="28"/>
          <w:szCs w:val="28"/>
          <w:lang w:eastAsia="ru-RU"/>
        </w:rPr>
        <w:t>11,4</w:t>
      </w:r>
      <w:r w:rsidRPr="00F71B34">
        <w:rPr>
          <w:rFonts w:ascii="Times New Roman" w:eastAsia="Times New Roman" w:hAnsi="Times New Roman"/>
          <w:sz w:val="28"/>
          <w:szCs w:val="28"/>
          <w:lang w:eastAsia="ru-RU"/>
        </w:rPr>
        <w:t>%)</w:t>
      </w:r>
      <w:r w:rsidRPr="00F71B34">
        <w:rPr>
          <w:rFonts w:ascii="Times New Roman" w:hAnsi="Times New Roman"/>
          <w:kern w:val="2"/>
          <w:sz w:val="28"/>
          <w:szCs w:val="28"/>
          <w:lang w:eastAsia="ko-KR"/>
        </w:rPr>
        <w:t xml:space="preserve">, через 36 месяцев – </w:t>
      </w:r>
      <w:r w:rsidR="00CF7FAB">
        <w:rPr>
          <w:rFonts w:ascii="Times New Roman" w:hAnsi="Times New Roman"/>
          <w:kern w:val="2"/>
          <w:sz w:val="28"/>
          <w:szCs w:val="28"/>
          <w:lang w:eastAsia="ko-KR"/>
        </w:rPr>
        <w:t>15</w:t>
      </w:r>
      <w:r w:rsidRPr="00F71B34">
        <w:rPr>
          <w:rFonts w:ascii="Times New Roman" w:eastAsia="Times New Roman" w:hAnsi="Times New Roman"/>
          <w:sz w:val="28"/>
          <w:szCs w:val="28"/>
          <w:lang w:eastAsia="ru-RU"/>
        </w:rPr>
        <w:t xml:space="preserve"> (</w:t>
      </w:r>
      <w:r w:rsidR="00CF7FAB">
        <w:rPr>
          <w:rFonts w:ascii="Times New Roman" w:eastAsia="Times New Roman" w:hAnsi="Times New Roman"/>
          <w:sz w:val="28"/>
          <w:szCs w:val="28"/>
          <w:lang w:eastAsia="ru-RU"/>
        </w:rPr>
        <w:t>34,1</w:t>
      </w:r>
      <w:r w:rsidRPr="00F71B34">
        <w:rPr>
          <w:rFonts w:ascii="Times New Roman" w:eastAsia="Times New Roman" w:hAnsi="Times New Roman"/>
          <w:sz w:val="28"/>
          <w:szCs w:val="28"/>
          <w:lang w:eastAsia="ru-RU"/>
        </w:rPr>
        <w:t xml:space="preserve">%), </w:t>
      </w:r>
      <w:r w:rsidR="00CF7FAB">
        <w:rPr>
          <w:rFonts w:ascii="Times New Roman" w:eastAsia="Times New Roman" w:hAnsi="Times New Roman"/>
          <w:sz w:val="28"/>
          <w:szCs w:val="28"/>
          <w:lang w:eastAsia="ru-RU"/>
        </w:rPr>
        <w:t>20</w:t>
      </w:r>
      <w:r w:rsidRPr="00F71B34">
        <w:rPr>
          <w:rFonts w:ascii="Times New Roman" w:eastAsia="Times New Roman" w:hAnsi="Times New Roman"/>
          <w:sz w:val="28"/>
          <w:szCs w:val="28"/>
          <w:lang w:eastAsia="ru-RU"/>
        </w:rPr>
        <w:t xml:space="preserve"> (</w:t>
      </w:r>
      <w:r w:rsidR="00CF7FAB">
        <w:rPr>
          <w:rFonts w:ascii="Times New Roman" w:eastAsia="Times New Roman" w:hAnsi="Times New Roman"/>
          <w:sz w:val="28"/>
          <w:szCs w:val="28"/>
          <w:lang w:eastAsia="ru-RU"/>
        </w:rPr>
        <w:t>45</w:t>
      </w:r>
      <w:r w:rsidR="00337B4E">
        <w:rPr>
          <w:rFonts w:ascii="Times New Roman" w:eastAsia="Times New Roman" w:hAnsi="Times New Roman"/>
          <w:sz w:val="28"/>
          <w:szCs w:val="28"/>
          <w:lang w:eastAsia="ru-RU"/>
        </w:rPr>
        <w:t>,4</w:t>
      </w:r>
      <w:r w:rsidRPr="00F71B34">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 xml:space="preserve">9 </w:t>
      </w:r>
      <w:r w:rsidRPr="00F71B34">
        <w:rPr>
          <w:rFonts w:ascii="Times New Roman" w:eastAsia="Times New Roman" w:hAnsi="Times New Roman"/>
          <w:sz w:val="28"/>
          <w:szCs w:val="28"/>
          <w:lang w:eastAsia="ru-RU"/>
        </w:rPr>
        <w:t>(</w:t>
      </w:r>
      <w:r>
        <w:rPr>
          <w:rFonts w:ascii="Times New Roman" w:eastAsia="Times New Roman" w:hAnsi="Times New Roman"/>
          <w:sz w:val="28"/>
          <w:szCs w:val="28"/>
          <w:lang w:eastAsia="ru-RU"/>
        </w:rPr>
        <w:t>20,5</w:t>
      </w:r>
      <w:r w:rsidRPr="00F71B34">
        <w:rPr>
          <w:rFonts w:ascii="Times New Roman" w:eastAsia="Times New Roman" w:hAnsi="Times New Roman"/>
          <w:sz w:val="28"/>
          <w:szCs w:val="28"/>
          <w:lang w:eastAsia="ru-RU"/>
        </w:rPr>
        <w:t>%)</w:t>
      </w:r>
      <w:r w:rsidRPr="00F71B34">
        <w:rPr>
          <w:rFonts w:ascii="Times New Roman" w:hAnsi="Times New Roman"/>
          <w:kern w:val="2"/>
          <w:sz w:val="28"/>
          <w:szCs w:val="28"/>
          <w:lang w:eastAsia="ko-KR"/>
        </w:rPr>
        <w:t>, через</w:t>
      </w:r>
      <w:proofErr w:type="gramEnd"/>
      <w:r w:rsidR="00CF7FAB">
        <w:rPr>
          <w:rFonts w:ascii="Times New Roman" w:hAnsi="Times New Roman"/>
          <w:kern w:val="2"/>
          <w:sz w:val="28"/>
          <w:szCs w:val="28"/>
          <w:lang w:eastAsia="ko-KR"/>
        </w:rPr>
        <w:t xml:space="preserve"> </w:t>
      </w:r>
      <w:r w:rsidRPr="00F71B34">
        <w:rPr>
          <w:rFonts w:ascii="Times New Roman" w:hAnsi="Times New Roman"/>
          <w:kern w:val="2"/>
          <w:sz w:val="28"/>
          <w:szCs w:val="28"/>
          <w:lang w:eastAsia="ko-KR"/>
        </w:rPr>
        <w:t>48 месяцев</w:t>
      </w:r>
      <w:r>
        <w:rPr>
          <w:rFonts w:ascii="Times New Roman" w:hAnsi="Times New Roman"/>
          <w:kern w:val="2"/>
          <w:sz w:val="28"/>
          <w:szCs w:val="28"/>
          <w:lang w:eastAsia="ko-KR"/>
        </w:rPr>
        <w:t xml:space="preserve"> – </w:t>
      </w:r>
      <w:r w:rsidR="00CF7FAB">
        <w:rPr>
          <w:rFonts w:ascii="Times New Roman" w:eastAsia="Times New Roman" w:hAnsi="Times New Roman"/>
          <w:sz w:val="28"/>
          <w:szCs w:val="28"/>
          <w:lang w:eastAsia="ru-RU"/>
        </w:rPr>
        <w:t>11</w:t>
      </w:r>
      <w:r w:rsidRPr="00F71B34">
        <w:rPr>
          <w:rFonts w:ascii="Times New Roman" w:eastAsia="Times New Roman" w:hAnsi="Times New Roman"/>
          <w:sz w:val="28"/>
          <w:szCs w:val="28"/>
          <w:lang w:eastAsia="ru-RU"/>
        </w:rPr>
        <w:t xml:space="preserve"> (</w:t>
      </w:r>
      <w:r w:rsidR="00CF7FAB">
        <w:rPr>
          <w:rFonts w:ascii="Times New Roman" w:eastAsia="Times New Roman" w:hAnsi="Times New Roman"/>
          <w:sz w:val="28"/>
          <w:szCs w:val="28"/>
          <w:lang w:eastAsia="ru-RU"/>
        </w:rPr>
        <w:t>25,0</w:t>
      </w:r>
      <w:r w:rsidRPr="00F71B34">
        <w:rPr>
          <w:rFonts w:ascii="Times New Roman" w:eastAsia="Times New Roman" w:hAnsi="Times New Roman"/>
          <w:sz w:val="28"/>
          <w:szCs w:val="28"/>
          <w:lang w:eastAsia="ru-RU"/>
        </w:rPr>
        <w:t xml:space="preserve">%), </w:t>
      </w:r>
      <w:r w:rsidR="00CF7FAB">
        <w:rPr>
          <w:rFonts w:ascii="Times New Roman" w:eastAsia="Times New Roman" w:hAnsi="Times New Roman"/>
          <w:sz w:val="28"/>
          <w:szCs w:val="28"/>
          <w:lang w:eastAsia="ru-RU"/>
        </w:rPr>
        <w:t>23</w:t>
      </w:r>
      <w:r w:rsidRPr="00F71B34">
        <w:rPr>
          <w:rFonts w:ascii="Times New Roman" w:eastAsia="Times New Roman" w:hAnsi="Times New Roman"/>
          <w:sz w:val="28"/>
          <w:szCs w:val="28"/>
          <w:lang w:eastAsia="ru-RU"/>
        </w:rPr>
        <w:t xml:space="preserve"> (</w:t>
      </w:r>
      <w:r w:rsidR="00CF7FAB">
        <w:rPr>
          <w:rFonts w:ascii="Times New Roman" w:eastAsia="Times New Roman" w:hAnsi="Times New Roman"/>
          <w:sz w:val="28"/>
          <w:szCs w:val="28"/>
          <w:lang w:eastAsia="ru-RU"/>
        </w:rPr>
        <w:t>52,3</w:t>
      </w:r>
      <w:r w:rsidRPr="00F71B34">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10</w:t>
      </w:r>
      <w:r w:rsidRPr="00F71B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22,7</w:t>
      </w:r>
      <w:r w:rsidRPr="00F71B34">
        <w:rPr>
          <w:rFonts w:ascii="Times New Roman" w:eastAsia="Times New Roman" w:hAnsi="Times New Roman"/>
          <w:sz w:val="28"/>
          <w:szCs w:val="28"/>
          <w:lang w:eastAsia="ru-RU"/>
        </w:rPr>
        <w:t>%) (рис.</w:t>
      </w:r>
      <w:r>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00B14E16">
        <w:rPr>
          <w:rFonts w:ascii="Times New Roman" w:eastAsia="Times New Roman" w:hAnsi="Times New Roman"/>
          <w:sz w:val="28"/>
          <w:szCs w:val="28"/>
          <w:lang w:eastAsia="ru-RU"/>
        </w:rPr>
        <w:t>).</w:t>
      </w:r>
    </w:p>
    <w:p w:rsidR="00030013" w:rsidRPr="00F71B34" w:rsidRDefault="00030013" w:rsidP="00F71B34">
      <w:pPr>
        <w:spacing w:after="0" w:line="360" w:lineRule="auto"/>
        <w:jc w:val="both"/>
        <w:rPr>
          <w:rFonts w:ascii="Times New Roman" w:eastAsia="Times New Roman" w:hAnsi="Times New Roman"/>
          <w:color w:val="FF0000"/>
          <w:sz w:val="28"/>
          <w:szCs w:val="28"/>
          <w:lang w:eastAsia="ru-RU"/>
        </w:rPr>
      </w:pPr>
      <w:r w:rsidRPr="00F71B34">
        <w:rPr>
          <w:rFonts w:ascii="Times New Roman" w:eastAsia="Times New Roman" w:hAnsi="Times New Roman"/>
          <w:color w:val="FF0000"/>
          <w:sz w:val="28"/>
          <w:szCs w:val="28"/>
          <w:lang w:eastAsia="ru-RU"/>
        </w:rPr>
        <w:tab/>
      </w:r>
      <w:r w:rsidRPr="00F71B34">
        <w:rPr>
          <w:rFonts w:ascii="Times New Roman" w:eastAsia="Times New Roman" w:hAnsi="Times New Roman"/>
          <w:sz w:val="28"/>
          <w:szCs w:val="28"/>
          <w:lang w:eastAsia="ru-RU"/>
        </w:rPr>
        <w:t>Таким образом, можно предполагать, что, несмотря на значительную клинико-лабораторную эффективность комбинированной терапии РТМ и МТХ в течение 24 месяцев наблюдения, с 36 месяца терапии отмечается некоторое противоречие между объективными данными обследования и субъективной оценкой проводимого лечения</w:t>
      </w:r>
      <w:r w:rsidR="00A41E93" w:rsidRPr="00A41E93">
        <w:rPr>
          <w:rFonts w:ascii="Times New Roman" w:eastAsia="Times New Roman" w:hAnsi="Times New Roman"/>
          <w:sz w:val="28"/>
          <w:szCs w:val="28"/>
          <w:lang w:eastAsia="ru-RU"/>
        </w:rPr>
        <w:t xml:space="preserve"> </w:t>
      </w:r>
      <w:r w:rsidR="00A41E93">
        <w:rPr>
          <w:rFonts w:ascii="Times New Roman" w:eastAsia="Times New Roman" w:hAnsi="Times New Roman"/>
          <w:sz w:val="28"/>
          <w:szCs w:val="28"/>
          <w:lang w:eastAsia="ru-RU"/>
        </w:rPr>
        <w:t>пациентами</w:t>
      </w:r>
      <w:r w:rsidRPr="00F71B34">
        <w:rPr>
          <w:rFonts w:ascii="Times New Roman" w:eastAsia="Times New Roman" w:hAnsi="Times New Roman"/>
          <w:sz w:val="28"/>
          <w:szCs w:val="28"/>
          <w:lang w:eastAsia="ru-RU"/>
        </w:rPr>
        <w:t>. Так, через 36 и</w:t>
      </w:r>
      <w:r w:rsidR="00DD207C">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 xml:space="preserve">48 месяцев от начала лечения зарегистрировано увеличение количества болезненных и припухших суставов, а также показателя СОЭ, в то время как большинство пациентов при оценке активности заболевания по </w:t>
      </w:r>
      <w:proofErr w:type="gramStart"/>
      <w:r w:rsidRPr="00F71B34">
        <w:rPr>
          <w:rFonts w:ascii="Times New Roman" w:eastAsia="Times New Roman" w:hAnsi="Times New Roman"/>
          <w:sz w:val="28"/>
          <w:szCs w:val="28"/>
          <w:lang w:eastAsia="ru-RU"/>
        </w:rPr>
        <w:t>ВАШ</w:t>
      </w:r>
      <w:proofErr w:type="gramEnd"/>
      <w:r w:rsidR="00A41E93">
        <w:rPr>
          <w:rFonts w:ascii="Times New Roman" w:eastAsia="Times New Roman" w:hAnsi="Times New Roman"/>
          <w:sz w:val="28"/>
          <w:szCs w:val="28"/>
          <w:lang w:eastAsia="ru-RU"/>
        </w:rPr>
        <w:t xml:space="preserve"> не отметили ухудшения самочувствия</w:t>
      </w:r>
      <w:r w:rsidRPr="00F71B34">
        <w:rPr>
          <w:rFonts w:ascii="Times New Roman" w:eastAsia="Times New Roman" w:hAnsi="Times New Roman"/>
          <w:sz w:val="28"/>
          <w:szCs w:val="28"/>
          <w:lang w:eastAsia="ru-RU"/>
        </w:rPr>
        <w:t xml:space="preserve">. </w:t>
      </w:r>
    </w:p>
    <w:p w:rsidR="00030013" w:rsidRPr="00F71B34" w:rsidRDefault="00030013" w:rsidP="00F71B34">
      <w:pPr>
        <w:spacing w:after="0" w:line="360" w:lineRule="auto"/>
        <w:ind w:left="708"/>
        <w:jc w:val="both"/>
        <w:rPr>
          <w:rFonts w:ascii="Times New Roman" w:eastAsia="Times New Roman" w:hAnsi="Times New Roman"/>
          <w:b/>
          <w:color w:val="FF0000"/>
          <w:sz w:val="28"/>
          <w:szCs w:val="28"/>
          <w:lang w:eastAsia="ru-RU"/>
        </w:rPr>
      </w:pPr>
    </w:p>
    <w:p w:rsidR="00030013" w:rsidRDefault="00030013" w:rsidP="00F71B34">
      <w:pPr>
        <w:numPr>
          <w:ilvl w:val="1"/>
          <w:numId w:val="6"/>
        </w:numPr>
        <w:spacing w:after="0" w:line="36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Динамика денситометрических показателей в зависимости от эффективности проводимой терапии</w:t>
      </w:r>
    </w:p>
    <w:p w:rsidR="00112E18" w:rsidRPr="00F71B34" w:rsidRDefault="00112E18" w:rsidP="00112E18">
      <w:pPr>
        <w:spacing w:after="0" w:line="360" w:lineRule="auto"/>
        <w:contextualSpacing/>
        <w:jc w:val="both"/>
        <w:rPr>
          <w:rFonts w:ascii="Times New Roman" w:eastAsia="Times New Roman" w:hAnsi="Times New Roman"/>
          <w:b/>
          <w:sz w:val="28"/>
          <w:szCs w:val="28"/>
          <w:lang w:eastAsia="ru-RU"/>
        </w:rPr>
      </w:pP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Для оценки динамики МПК и Т-критерия в зависимости от эффективности проводимой терапии пациенты в каждой из групп были распределены </w:t>
      </w:r>
      <w:r w:rsidRPr="00DD207C">
        <w:rPr>
          <w:rFonts w:ascii="Times New Roman" w:eastAsia="Times New Roman" w:hAnsi="Times New Roman"/>
          <w:spacing w:val="-4"/>
          <w:sz w:val="28"/>
          <w:szCs w:val="28"/>
          <w:lang w:eastAsia="ru-RU"/>
        </w:rPr>
        <w:t>в две подгруппы согласно показателю Δ</w:t>
      </w:r>
      <w:r w:rsidR="00DD207C" w:rsidRPr="00DD207C">
        <w:rPr>
          <w:rFonts w:ascii="Times New Roman" w:eastAsia="Times New Roman" w:hAnsi="Times New Roman"/>
          <w:spacing w:val="-4"/>
          <w:sz w:val="28"/>
          <w:szCs w:val="28"/>
          <w:lang w:eastAsia="ru-RU"/>
        </w:rPr>
        <w:t xml:space="preserve"> </w:t>
      </w:r>
      <w:r w:rsidRPr="00DD207C">
        <w:rPr>
          <w:rFonts w:ascii="Times New Roman" w:eastAsia="Times New Roman" w:hAnsi="Times New Roman"/>
          <w:spacing w:val="-4"/>
          <w:sz w:val="28"/>
          <w:szCs w:val="28"/>
          <w:lang w:eastAsia="ru-RU"/>
        </w:rPr>
        <w:t>DA</w:t>
      </w:r>
      <w:r w:rsidR="00A41E93" w:rsidRPr="00DD207C">
        <w:rPr>
          <w:rFonts w:ascii="Times New Roman" w:eastAsia="Times New Roman" w:hAnsi="Times New Roman"/>
          <w:spacing w:val="-4"/>
          <w:sz w:val="28"/>
          <w:szCs w:val="28"/>
          <w:lang w:eastAsia="ru-RU"/>
        </w:rPr>
        <w:t>S28:   «ответчики»</w:t>
      </w:r>
      <w:r w:rsidR="00CD2EDC" w:rsidRPr="00DD207C">
        <w:rPr>
          <w:rFonts w:ascii="Times New Roman" w:eastAsia="Times New Roman" w:hAnsi="Times New Roman"/>
          <w:spacing w:val="-4"/>
          <w:sz w:val="28"/>
          <w:szCs w:val="28"/>
          <w:lang w:eastAsia="ru-RU"/>
        </w:rPr>
        <w:t xml:space="preserve"> –</w:t>
      </w:r>
      <w:r w:rsidR="00CD2EDC">
        <w:rPr>
          <w:rFonts w:ascii="Times New Roman" w:eastAsia="Times New Roman" w:hAnsi="Times New Roman"/>
          <w:sz w:val="28"/>
          <w:szCs w:val="28"/>
          <w:lang w:eastAsia="ru-RU"/>
        </w:rPr>
        <w:t xml:space="preserve"> </w:t>
      </w:r>
      <w:r w:rsidR="00A41E93">
        <w:rPr>
          <w:rFonts w:ascii="Times New Roman" w:eastAsia="Times New Roman" w:hAnsi="Times New Roman"/>
          <w:sz w:val="28"/>
          <w:szCs w:val="28"/>
          <w:lang w:eastAsia="ru-RU"/>
        </w:rPr>
        <w:t>Δ</w:t>
      </w:r>
      <w:r w:rsidR="00DD207C">
        <w:rPr>
          <w:rFonts w:ascii="Times New Roman" w:eastAsia="Times New Roman" w:hAnsi="Times New Roman"/>
          <w:sz w:val="28"/>
          <w:szCs w:val="28"/>
          <w:lang w:eastAsia="ru-RU"/>
        </w:rPr>
        <w:t xml:space="preserve"> </w:t>
      </w:r>
      <w:r w:rsidR="00A41E93">
        <w:rPr>
          <w:rFonts w:ascii="Times New Roman" w:eastAsia="Times New Roman" w:hAnsi="Times New Roman"/>
          <w:sz w:val="28"/>
          <w:szCs w:val="28"/>
          <w:lang w:eastAsia="ru-RU"/>
        </w:rPr>
        <w:t>DAS28</w:t>
      </w:r>
      <w:r w:rsidR="00DD207C">
        <w:rPr>
          <w:rFonts w:ascii="Times New Roman" w:eastAsia="Times New Roman" w:hAnsi="Times New Roman"/>
          <w:sz w:val="28"/>
          <w:szCs w:val="28"/>
          <w:lang w:eastAsia="ru-RU"/>
        </w:rPr>
        <w:t xml:space="preserve"> </w:t>
      </w:r>
      <w:r w:rsidR="00A41E93">
        <w:rPr>
          <w:rFonts w:ascii="Times New Roman" w:eastAsia="Times New Roman" w:hAnsi="Times New Roman"/>
          <w:sz w:val="28"/>
          <w:szCs w:val="28"/>
          <w:lang w:eastAsia="ru-RU"/>
        </w:rPr>
        <w:t>≥1,2  и</w:t>
      </w:r>
      <w:r w:rsidRPr="00F71B34">
        <w:rPr>
          <w:rFonts w:ascii="Times New Roman" w:eastAsia="Times New Roman" w:hAnsi="Times New Roman"/>
          <w:sz w:val="28"/>
          <w:szCs w:val="28"/>
          <w:lang w:eastAsia="ru-RU"/>
        </w:rPr>
        <w:t xml:space="preserve"> «неответчики»</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Δ</w:t>
      </w:r>
      <w:r w:rsidR="00DD207C">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DAS28</w:t>
      </w:r>
      <w:r w:rsidR="00DD207C">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&lt;1,2. По критериям  EULAR</w:t>
      </w:r>
      <w:r w:rsidR="00DD207C">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Δ</w:t>
      </w:r>
      <w:r w:rsidR="00DD207C">
        <w:rPr>
          <w:rFonts w:ascii="Times New Roman" w:eastAsia="Times New Roman" w:hAnsi="Times New Roman"/>
          <w:sz w:val="28"/>
          <w:szCs w:val="28"/>
          <w:lang w:eastAsia="ru-RU"/>
        </w:rPr>
        <w:t xml:space="preserve"> </w:t>
      </w:r>
      <w:r w:rsidRPr="00F71B34">
        <w:rPr>
          <w:rFonts w:ascii="Times New Roman" w:eastAsia="Times New Roman" w:hAnsi="Times New Roman"/>
          <w:sz w:val="28"/>
          <w:szCs w:val="28"/>
          <w:lang w:eastAsia="ru-RU"/>
        </w:rPr>
        <w:t>DAS28 = DAS28 через 16 недель терапии – DAS28 исходно. В групп</w:t>
      </w:r>
      <w:r w:rsidR="00DD207C">
        <w:rPr>
          <w:rFonts w:ascii="Times New Roman" w:eastAsia="Times New Roman" w:hAnsi="Times New Roman"/>
          <w:sz w:val="28"/>
          <w:szCs w:val="28"/>
          <w:lang w:eastAsia="ru-RU"/>
        </w:rPr>
        <w:t>у</w:t>
      </w:r>
      <w:r w:rsidRPr="00F71B34">
        <w:rPr>
          <w:rFonts w:ascii="Times New Roman" w:eastAsia="Times New Roman" w:hAnsi="Times New Roman"/>
          <w:sz w:val="28"/>
          <w:szCs w:val="28"/>
          <w:lang w:eastAsia="ru-RU"/>
        </w:rPr>
        <w:t xml:space="preserve"> 1  </w:t>
      </w:r>
      <w:r w:rsidR="00DD207C">
        <w:rPr>
          <w:rFonts w:ascii="Times New Roman" w:eastAsia="Times New Roman" w:hAnsi="Times New Roman"/>
          <w:sz w:val="28"/>
          <w:szCs w:val="28"/>
          <w:lang w:eastAsia="ru-RU"/>
        </w:rPr>
        <w:t xml:space="preserve">вошли 22 </w:t>
      </w:r>
      <w:r w:rsidRPr="00F71B34">
        <w:rPr>
          <w:rFonts w:ascii="Times New Roman" w:eastAsia="Times New Roman" w:hAnsi="Times New Roman"/>
          <w:sz w:val="28"/>
          <w:szCs w:val="28"/>
          <w:lang w:eastAsia="ru-RU"/>
        </w:rPr>
        <w:t>«ответчик</w:t>
      </w:r>
      <w:r w:rsidR="00DD207C">
        <w:rPr>
          <w:rFonts w:ascii="Times New Roman" w:eastAsia="Times New Roman" w:hAnsi="Times New Roman"/>
          <w:sz w:val="28"/>
          <w:szCs w:val="28"/>
          <w:lang w:eastAsia="ru-RU"/>
        </w:rPr>
        <w:t>а</w:t>
      </w:r>
      <w:r w:rsidRPr="00F71B34">
        <w:rPr>
          <w:rFonts w:ascii="Times New Roman" w:eastAsia="Times New Roman" w:hAnsi="Times New Roman"/>
          <w:sz w:val="28"/>
          <w:szCs w:val="28"/>
          <w:lang w:eastAsia="ru-RU"/>
        </w:rPr>
        <w:t xml:space="preserve">» </w:t>
      </w:r>
      <w:r w:rsidR="00DD207C">
        <w:rPr>
          <w:rFonts w:ascii="Times New Roman" w:eastAsia="Times New Roman" w:hAnsi="Times New Roman"/>
          <w:sz w:val="28"/>
          <w:szCs w:val="28"/>
          <w:lang w:eastAsia="ru-RU"/>
        </w:rPr>
        <w:t>и</w:t>
      </w:r>
      <w:r w:rsidRPr="00F71B34">
        <w:rPr>
          <w:rFonts w:ascii="Times New Roman" w:eastAsia="Times New Roman" w:hAnsi="Times New Roman"/>
          <w:sz w:val="28"/>
          <w:szCs w:val="28"/>
          <w:lang w:eastAsia="ru-RU"/>
        </w:rPr>
        <w:t xml:space="preserve">  22 «неответчик</w:t>
      </w:r>
      <w:r w:rsidR="00DD207C">
        <w:rPr>
          <w:rFonts w:ascii="Times New Roman" w:eastAsia="Times New Roman" w:hAnsi="Times New Roman"/>
          <w:sz w:val="28"/>
          <w:szCs w:val="28"/>
          <w:lang w:eastAsia="ru-RU"/>
        </w:rPr>
        <w:t>а</w:t>
      </w:r>
      <w:r w:rsidRPr="00F71B34">
        <w:rPr>
          <w:rFonts w:ascii="Times New Roman" w:eastAsia="Times New Roman" w:hAnsi="Times New Roman"/>
          <w:sz w:val="28"/>
          <w:szCs w:val="28"/>
          <w:lang w:eastAsia="ru-RU"/>
        </w:rPr>
        <w:t>», в групп</w:t>
      </w:r>
      <w:r w:rsidR="00DD207C">
        <w:rPr>
          <w:rFonts w:ascii="Times New Roman" w:eastAsia="Times New Roman" w:hAnsi="Times New Roman"/>
          <w:sz w:val="28"/>
          <w:szCs w:val="28"/>
          <w:lang w:eastAsia="ru-RU"/>
        </w:rPr>
        <w:t>у</w:t>
      </w:r>
      <w:r w:rsidRPr="00F71B34">
        <w:rPr>
          <w:rFonts w:ascii="Times New Roman" w:eastAsia="Times New Roman" w:hAnsi="Times New Roman"/>
          <w:sz w:val="28"/>
          <w:szCs w:val="28"/>
          <w:lang w:eastAsia="ru-RU"/>
        </w:rPr>
        <w:t xml:space="preserve"> 2 – 15 и 20 </w:t>
      </w:r>
      <w:r w:rsidR="00DD207C">
        <w:rPr>
          <w:rFonts w:ascii="Times New Roman" w:eastAsia="Times New Roman" w:hAnsi="Times New Roman"/>
          <w:sz w:val="28"/>
          <w:szCs w:val="28"/>
          <w:lang w:eastAsia="ru-RU"/>
        </w:rPr>
        <w:t>человек</w:t>
      </w:r>
      <w:r w:rsidRPr="00F71B34">
        <w:rPr>
          <w:rFonts w:ascii="Times New Roman" w:eastAsia="Times New Roman" w:hAnsi="Times New Roman"/>
          <w:sz w:val="28"/>
          <w:szCs w:val="28"/>
          <w:lang w:eastAsia="ru-RU"/>
        </w:rPr>
        <w:t xml:space="preserve"> соответственно.</w:t>
      </w: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Клиническая характеристика больных РА в зависимости от эффективности терапии через 16 недель представлена в таблицах 25 и 26.</w:t>
      </w:r>
    </w:p>
    <w:p w:rsidR="00030013" w:rsidRDefault="00030013" w:rsidP="00F71B34">
      <w:pPr>
        <w:spacing w:after="0" w:line="360" w:lineRule="auto"/>
        <w:ind w:firstLine="708"/>
        <w:jc w:val="both"/>
        <w:rPr>
          <w:rFonts w:ascii="Times New Roman" w:eastAsia="Times New Roman" w:hAnsi="Times New Roman"/>
          <w:sz w:val="28"/>
          <w:szCs w:val="28"/>
          <w:lang w:eastAsia="ru-RU"/>
        </w:rPr>
      </w:pPr>
    </w:p>
    <w:p w:rsidR="00A41E93" w:rsidRDefault="00A41E93" w:rsidP="00F71B34">
      <w:pPr>
        <w:spacing w:after="0" w:line="360" w:lineRule="auto"/>
        <w:ind w:firstLine="708"/>
        <w:jc w:val="both"/>
        <w:rPr>
          <w:rFonts w:ascii="Times New Roman" w:eastAsia="Times New Roman" w:hAnsi="Times New Roman"/>
          <w:sz w:val="28"/>
          <w:szCs w:val="28"/>
          <w:lang w:eastAsia="ru-RU"/>
        </w:rPr>
      </w:pPr>
    </w:p>
    <w:p w:rsidR="00A41E93" w:rsidRPr="00F71B34" w:rsidRDefault="00A41E93" w:rsidP="00F71B34">
      <w:pPr>
        <w:spacing w:after="0" w:line="360" w:lineRule="auto"/>
        <w:ind w:firstLine="708"/>
        <w:jc w:val="both"/>
        <w:rPr>
          <w:rFonts w:ascii="Times New Roman" w:eastAsia="Times New Roman" w:hAnsi="Times New Roman"/>
          <w:sz w:val="28"/>
          <w:szCs w:val="28"/>
          <w:lang w:eastAsia="ru-RU"/>
        </w:rPr>
      </w:pP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DD207C">
        <w:rPr>
          <w:rFonts w:ascii="Times New Roman" w:eastAsia="Times New Roman" w:hAnsi="Times New Roman"/>
          <w:spacing w:val="40"/>
          <w:sz w:val="28"/>
          <w:szCs w:val="28"/>
          <w:lang w:eastAsia="ru-RU"/>
        </w:rPr>
        <w:lastRenderedPageBreak/>
        <w:t>Таблица</w:t>
      </w:r>
      <w:r w:rsidRPr="00F71B34">
        <w:rPr>
          <w:rFonts w:ascii="Times New Roman" w:eastAsia="Times New Roman" w:hAnsi="Times New Roman"/>
          <w:sz w:val="28"/>
          <w:szCs w:val="28"/>
          <w:lang w:eastAsia="ru-RU"/>
        </w:rPr>
        <w:t xml:space="preserve"> 25</w:t>
      </w:r>
      <w:r w:rsidR="00CD2EDC">
        <w:rPr>
          <w:rFonts w:ascii="Times New Roman" w:eastAsia="Times New Roman" w:hAnsi="Times New Roman"/>
          <w:sz w:val="28"/>
          <w:szCs w:val="28"/>
          <w:lang w:eastAsia="ru-RU"/>
        </w:rPr>
        <w:t xml:space="preserve"> – </w:t>
      </w:r>
      <w:r w:rsidRPr="00F71B34">
        <w:rPr>
          <w:rFonts w:ascii="Times New Roman" w:hAnsi="Times New Roman"/>
          <w:sz w:val="28"/>
          <w:szCs w:val="28"/>
          <w:lang w:eastAsia="ru-RU"/>
        </w:rPr>
        <w:t>Клиническая характеристика «ответчиков» и «неответчиков» через 16 недель терапии в группе больных РА</w:t>
      </w:r>
      <w:r w:rsidR="00DD207C">
        <w:rPr>
          <w:rFonts w:ascii="Times New Roman" w:hAnsi="Times New Roman"/>
          <w:sz w:val="28"/>
          <w:szCs w:val="28"/>
          <w:lang w:eastAsia="ru-RU"/>
        </w:rPr>
        <w:br/>
      </w:r>
      <w:r w:rsidRPr="00F71B34">
        <w:rPr>
          <w:rFonts w:ascii="Times New Roman" w:hAnsi="Times New Roman"/>
          <w:sz w:val="28"/>
          <w:szCs w:val="28"/>
          <w:lang w:eastAsia="ru-RU"/>
        </w:rPr>
        <w:t>с монотерапией МТХ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6"/>
        <w:gridCol w:w="2002"/>
        <w:gridCol w:w="992"/>
        <w:gridCol w:w="709"/>
        <w:gridCol w:w="992"/>
        <w:gridCol w:w="992"/>
        <w:gridCol w:w="1135"/>
      </w:tblGrid>
      <w:tr w:rsidR="00030013" w:rsidRPr="00BD6E96" w:rsidTr="00F702A2">
        <w:trPr>
          <w:trHeight w:val="397"/>
          <w:jc w:val="center"/>
        </w:trPr>
        <w:tc>
          <w:tcPr>
            <w:tcW w:w="4848" w:type="dxa"/>
            <w:gridSpan w:val="2"/>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Показатель</w:t>
            </w:r>
          </w:p>
        </w:tc>
        <w:tc>
          <w:tcPr>
            <w:tcW w:w="1701" w:type="dxa"/>
            <w:gridSpan w:val="2"/>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«Ответчики»</w:t>
            </w:r>
          </w:p>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(n=15)</w:t>
            </w:r>
          </w:p>
        </w:tc>
        <w:tc>
          <w:tcPr>
            <w:tcW w:w="1984" w:type="dxa"/>
            <w:gridSpan w:val="2"/>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«Неответчики»</w:t>
            </w:r>
          </w:p>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(n=20)</w:t>
            </w:r>
          </w:p>
        </w:tc>
        <w:tc>
          <w:tcPr>
            <w:tcW w:w="1135" w:type="dxa"/>
            <w:vMerge w:val="restart"/>
            <w:vAlign w:val="center"/>
          </w:tcPr>
          <w:p w:rsidR="00030013" w:rsidRPr="00BD6E96" w:rsidRDefault="00030013" w:rsidP="00F71B34">
            <w:pPr>
              <w:spacing w:after="0" w:line="360" w:lineRule="auto"/>
              <w:jc w:val="center"/>
              <w:rPr>
                <w:rFonts w:ascii="Times New Roman" w:hAnsi="Times New Roman"/>
                <w:sz w:val="24"/>
                <w:szCs w:val="24"/>
              </w:rPr>
            </w:pPr>
            <w:proofErr w:type="gramStart"/>
            <w:r w:rsidRPr="00BD6E96">
              <w:rPr>
                <w:rFonts w:ascii="Times New Roman" w:hAnsi="Times New Roman"/>
                <w:sz w:val="24"/>
                <w:szCs w:val="24"/>
              </w:rPr>
              <w:t>р</w:t>
            </w:r>
            <w:proofErr w:type="gramEnd"/>
          </w:p>
        </w:tc>
      </w:tr>
      <w:tr w:rsidR="00030013" w:rsidRPr="00BD6E96" w:rsidTr="00F702A2">
        <w:trPr>
          <w:trHeight w:val="397"/>
          <w:jc w:val="center"/>
        </w:trPr>
        <w:tc>
          <w:tcPr>
            <w:tcW w:w="4848" w:type="dxa"/>
            <w:gridSpan w:val="2"/>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992" w:type="dxa"/>
            <w:vAlign w:val="center"/>
          </w:tcPr>
          <w:p w:rsidR="00030013" w:rsidRPr="00BD6E96" w:rsidRDefault="00DD207C" w:rsidP="00F71B34">
            <w:pPr>
              <w:spacing w:after="0" w:line="360" w:lineRule="auto"/>
              <w:jc w:val="center"/>
              <w:rPr>
                <w:rFonts w:ascii="Times New Roman" w:hAnsi="Times New Roman"/>
                <w:sz w:val="24"/>
                <w:szCs w:val="24"/>
              </w:rPr>
            </w:pPr>
            <w:r>
              <w:rPr>
                <w:rFonts w:ascii="Times New Roman" w:hAnsi="Times New Roman"/>
                <w:sz w:val="24"/>
                <w:szCs w:val="24"/>
              </w:rPr>
              <w:t>а</w:t>
            </w:r>
            <w:r w:rsidR="00030013" w:rsidRPr="00BD6E96">
              <w:rPr>
                <w:rFonts w:ascii="Times New Roman" w:hAnsi="Times New Roman"/>
                <w:sz w:val="24"/>
                <w:szCs w:val="24"/>
              </w:rPr>
              <w:t>бс.</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w:t>
            </w:r>
          </w:p>
        </w:tc>
        <w:tc>
          <w:tcPr>
            <w:tcW w:w="992" w:type="dxa"/>
            <w:vAlign w:val="center"/>
          </w:tcPr>
          <w:p w:rsidR="00030013" w:rsidRPr="00BD6E96" w:rsidRDefault="00DD207C" w:rsidP="00F71B34">
            <w:pPr>
              <w:spacing w:after="0" w:line="360" w:lineRule="auto"/>
              <w:jc w:val="center"/>
              <w:rPr>
                <w:rFonts w:ascii="Times New Roman" w:hAnsi="Times New Roman"/>
                <w:sz w:val="24"/>
                <w:szCs w:val="24"/>
              </w:rPr>
            </w:pPr>
            <w:r>
              <w:rPr>
                <w:rFonts w:ascii="Times New Roman" w:hAnsi="Times New Roman"/>
                <w:sz w:val="24"/>
                <w:szCs w:val="24"/>
              </w:rPr>
              <w:t>а</w:t>
            </w:r>
            <w:r w:rsidR="00030013" w:rsidRPr="00BD6E96">
              <w:rPr>
                <w:rFonts w:ascii="Times New Roman" w:hAnsi="Times New Roman"/>
                <w:sz w:val="24"/>
                <w:szCs w:val="24"/>
              </w:rPr>
              <w:t>бс.</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w:t>
            </w:r>
          </w:p>
        </w:tc>
        <w:tc>
          <w:tcPr>
            <w:tcW w:w="1135" w:type="dxa"/>
            <w:vMerge/>
            <w:vAlign w:val="center"/>
          </w:tcPr>
          <w:p w:rsidR="00030013" w:rsidRPr="00BD6E96" w:rsidRDefault="00030013" w:rsidP="00F71B34">
            <w:pPr>
              <w:spacing w:after="0" w:line="360" w:lineRule="auto"/>
              <w:jc w:val="center"/>
              <w:rPr>
                <w:rFonts w:ascii="Times New Roman" w:hAnsi="Times New Roman"/>
                <w:sz w:val="24"/>
                <w:szCs w:val="24"/>
              </w:rPr>
            </w:pPr>
          </w:p>
        </w:tc>
      </w:tr>
      <w:tr w:rsidR="00030013" w:rsidRPr="00BD6E96" w:rsidTr="00F702A2">
        <w:trPr>
          <w:trHeight w:val="397"/>
          <w:jc w:val="center"/>
        </w:trPr>
        <w:tc>
          <w:tcPr>
            <w:tcW w:w="2846" w:type="dxa"/>
            <w:vMerge w:val="restart"/>
            <w:tcBorders>
              <w:right w:val="single" w:sz="4" w:space="0" w:color="auto"/>
            </w:tcBorders>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Давность заболевания, годы</w:t>
            </w:r>
          </w:p>
        </w:tc>
        <w:tc>
          <w:tcPr>
            <w:tcW w:w="2002" w:type="dxa"/>
            <w:tcBorders>
              <w:left w:val="single" w:sz="4" w:space="0" w:color="auto"/>
            </w:tcBorders>
            <w:vAlign w:val="center"/>
          </w:tcPr>
          <w:p w:rsidR="00030013" w:rsidRPr="00BD6E96" w:rsidRDefault="00030013" w:rsidP="00F71B34">
            <w:pPr>
              <w:spacing w:after="0" w:line="360" w:lineRule="auto"/>
              <w:ind w:firstLine="73"/>
              <w:jc w:val="center"/>
              <w:rPr>
                <w:rFonts w:ascii="Times New Roman" w:hAnsi="Times New Roman"/>
                <w:sz w:val="24"/>
                <w:szCs w:val="24"/>
              </w:rPr>
            </w:pPr>
            <w:r w:rsidRPr="00BD6E96">
              <w:rPr>
                <w:rFonts w:ascii="Times New Roman" w:hAnsi="Times New Roman"/>
                <w:sz w:val="24"/>
                <w:szCs w:val="24"/>
              </w:rPr>
              <w:t>&lt;1</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1,0</w:t>
            </w:r>
          </w:p>
        </w:tc>
      </w:tr>
      <w:tr w:rsidR="00030013" w:rsidRPr="00BD6E96" w:rsidTr="00F702A2">
        <w:trPr>
          <w:trHeight w:val="397"/>
          <w:jc w:val="center"/>
        </w:trPr>
        <w:tc>
          <w:tcPr>
            <w:tcW w:w="2846" w:type="dxa"/>
            <w:vMerge/>
            <w:tcBorders>
              <w:right w:val="single" w:sz="4" w:space="0" w:color="auto"/>
            </w:tcBorders>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tcBorders>
              <w:left w:val="single" w:sz="4" w:space="0" w:color="auto"/>
            </w:tcBorders>
            <w:vAlign w:val="center"/>
          </w:tcPr>
          <w:p w:rsidR="00030013" w:rsidRPr="00BD6E96" w:rsidRDefault="00030013" w:rsidP="00DD207C">
            <w:pPr>
              <w:spacing w:after="0" w:line="360" w:lineRule="auto"/>
              <w:ind w:firstLine="73"/>
              <w:jc w:val="center"/>
              <w:rPr>
                <w:rFonts w:ascii="Times New Roman" w:hAnsi="Times New Roman"/>
                <w:sz w:val="24"/>
                <w:szCs w:val="24"/>
              </w:rPr>
            </w:pPr>
            <w:r w:rsidRPr="00BD6E96">
              <w:rPr>
                <w:rFonts w:ascii="Times New Roman" w:hAnsi="Times New Roman"/>
                <w:sz w:val="24"/>
                <w:szCs w:val="24"/>
              </w:rPr>
              <w:t>1</w:t>
            </w:r>
            <w:r w:rsidR="00DD207C">
              <w:rPr>
                <w:rFonts w:ascii="Times New Roman" w:hAnsi="Times New Roman"/>
                <w:sz w:val="24"/>
                <w:szCs w:val="24"/>
              </w:rPr>
              <w:t>–</w:t>
            </w:r>
            <w:r w:rsidRPr="00BD6E96">
              <w:rPr>
                <w:rFonts w:ascii="Times New Roman" w:hAnsi="Times New Roman"/>
                <w:sz w:val="24"/>
                <w:szCs w:val="24"/>
              </w:rPr>
              <w:t>4</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13,3</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15,0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0,888</w:t>
            </w:r>
          </w:p>
        </w:tc>
      </w:tr>
      <w:tr w:rsidR="00030013" w:rsidRPr="00BD6E96" w:rsidTr="00F702A2">
        <w:trPr>
          <w:trHeight w:val="397"/>
          <w:jc w:val="center"/>
        </w:trPr>
        <w:tc>
          <w:tcPr>
            <w:tcW w:w="2846" w:type="dxa"/>
            <w:vMerge/>
            <w:tcBorders>
              <w:right w:val="single" w:sz="4" w:space="0" w:color="auto"/>
            </w:tcBorders>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tcBorders>
              <w:left w:val="single" w:sz="4" w:space="0" w:color="auto"/>
            </w:tcBorders>
            <w:vAlign w:val="center"/>
          </w:tcPr>
          <w:p w:rsidR="00030013" w:rsidRPr="00BD6E96" w:rsidRDefault="00030013" w:rsidP="00DD207C">
            <w:pPr>
              <w:spacing w:after="0" w:line="360" w:lineRule="auto"/>
              <w:ind w:firstLine="73"/>
              <w:jc w:val="center"/>
              <w:rPr>
                <w:rFonts w:ascii="Times New Roman" w:hAnsi="Times New Roman"/>
                <w:sz w:val="24"/>
                <w:szCs w:val="24"/>
              </w:rPr>
            </w:pPr>
            <w:r w:rsidRPr="00BD6E96">
              <w:rPr>
                <w:rFonts w:ascii="Times New Roman" w:hAnsi="Times New Roman"/>
                <w:sz w:val="24"/>
                <w:szCs w:val="24"/>
              </w:rPr>
              <w:t>5</w:t>
            </w:r>
            <w:r w:rsidR="00DD207C">
              <w:rPr>
                <w:rFonts w:ascii="Times New Roman" w:hAnsi="Times New Roman"/>
                <w:sz w:val="24"/>
                <w:szCs w:val="24"/>
              </w:rPr>
              <w:t>–</w:t>
            </w:r>
            <w:r w:rsidRPr="00BD6E96">
              <w:rPr>
                <w:rFonts w:ascii="Times New Roman" w:hAnsi="Times New Roman"/>
                <w:sz w:val="24"/>
                <w:szCs w:val="24"/>
              </w:rPr>
              <w:t>9</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33,3</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6</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30,0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0,836</w:t>
            </w:r>
          </w:p>
        </w:tc>
      </w:tr>
      <w:tr w:rsidR="00030013" w:rsidRPr="00BD6E96" w:rsidTr="00F702A2">
        <w:trPr>
          <w:trHeight w:val="397"/>
          <w:jc w:val="center"/>
        </w:trPr>
        <w:tc>
          <w:tcPr>
            <w:tcW w:w="2846" w:type="dxa"/>
            <w:vMerge/>
            <w:tcBorders>
              <w:right w:val="single" w:sz="4" w:space="0" w:color="auto"/>
            </w:tcBorders>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tcBorders>
              <w:left w:val="single" w:sz="4" w:space="0" w:color="auto"/>
            </w:tcBorders>
            <w:vAlign w:val="center"/>
          </w:tcPr>
          <w:p w:rsidR="00030013" w:rsidRPr="00BD6E96" w:rsidRDefault="00030013" w:rsidP="00F71B34">
            <w:pPr>
              <w:spacing w:after="0" w:line="360" w:lineRule="auto"/>
              <w:ind w:firstLine="73"/>
              <w:jc w:val="center"/>
              <w:rPr>
                <w:rFonts w:ascii="Times New Roman" w:hAnsi="Times New Roman"/>
                <w:sz w:val="24"/>
                <w:szCs w:val="24"/>
              </w:rPr>
            </w:pPr>
            <w:r w:rsidRPr="00BD6E96">
              <w:rPr>
                <w:rFonts w:ascii="Times New Roman" w:hAnsi="Times New Roman"/>
                <w:sz w:val="24"/>
                <w:szCs w:val="24"/>
              </w:rPr>
              <w:t>≥10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8</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53,4</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11</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55,0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0,926</w:t>
            </w:r>
          </w:p>
        </w:tc>
      </w:tr>
      <w:tr w:rsidR="00030013" w:rsidRPr="00BD6E96" w:rsidTr="00F702A2">
        <w:trPr>
          <w:trHeight w:val="397"/>
          <w:jc w:val="center"/>
        </w:trPr>
        <w:tc>
          <w:tcPr>
            <w:tcW w:w="2846" w:type="dxa"/>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Иммунологическая характеристика</w:t>
            </w:r>
          </w:p>
        </w:tc>
        <w:tc>
          <w:tcPr>
            <w:tcW w:w="2002" w:type="dxa"/>
            <w:vAlign w:val="center"/>
          </w:tcPr>
          <w:p w:rsidR="00030013" w:rsidRPr="00BD6E96" w:rsidRDefault="002A1961" w:rsidP="00F71B34">
            <w:pPr>
              <w:spacing w:after="0" w:line="360" w:lineRule="auto"/>
              <w:jc w:val="center"/>
              <w:rPr>
                <w:rFonts w:ascii="Times New Roman" w:hAnsi="Times New Roman"/>
                <w:sz w:val="24"/>
                <w:szCs w:val="24"/>
              </w:rPr>
            </w:pPr>
            <w:r>
              <w:rPr>
                <w:rFonts w:ascii="Times New Roman" w:hAnsi="Times New Roman"/>
                <w:sz w:val="24"/>
                <w:szCs w:val="24"/>
              </w:rPr>
              <w:t>с</w:t>
            </w:r>
            <w:r w:rsidR="00DD207C" w:rsidRPr="00BD6E96">
              <w:rPr>
                <w:rFonts w:ascii="Times New Roman" w:hAnsi="Times New Roman"/>
                <w:sz w:val="24"/>
                <w:szCs w:val="24"/>
              </w:rPr>
              <w:t>еропозитивные</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12</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80,0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19</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95,0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0,177</w:t>
            </w:r>
          </w:p>
        </w:tc>
      </w:tr>
      <w:tr w:rsidR="00030013" w:rsidRPr="00BD6E96" w:rsidTr="00F702A2">
        <w:trPr>
          <w:trHeight w:val="397"/>
          <w:jc w:val="center"/>
        </w:trPr>
        <w:tc>
          <w:tcPr>
            <w:tcW w:w="2846" w:type="dxa"/>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vAlign w:val="center"/>
          </w:tcPr>
          <w:p w:rsidR="00030013" w:rsidRPr="00BD6E96" w:rsidRDefault="002A1961" w:rsidP="00F71B34">
            <w:pPr>
              <w:spacing w:after="0" w:line="360" w:lineRule="auto"/>
              <w:jc w:val="center"/>
              <w:rPr>
                <w:rFonts w:ascii="Times New Roman" w:hAnsi="Times New Roman"/>
                <w:sz w:val="24"/>
                <w:szCs w:val="24"/>
              </w:rPr>
            </w:pPr>
            <w:r>
              <w:rPr>
                <w:rFonts w:ascii="Times New Roman" w:hAnsi="Times New Roman"/>
                <w:sz w:val="24"/>
                <w:szCs w:val="24"/>
              </w:rPr>
              <w:t>с</w:t>
            </w:r>
            <w:r w:rsidR="00DD207C" w:rsidRPr="00BD6E96">
              <w:rPr>
                <w:rFonts w:ascii="Times New Roman" w:hAnsi="Times New Roman"/>
                <w:sz w:val="24"/>
                <w:szCs w:val="24"/>
              </w:rPr>
              <w:t>еронегативные</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20,0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0,177</w:t>
            </w:r>
          </w:p>
        </w:tc>
      </w:tr>
      <w:tr w:rsidR="00030013" w:rsidRPr="00BD6E96" w:rsidTr="00F702A2">
        <w:trPr>
          <w:trHeight w:val="397"/>
          <w:jc w:val="center"/>
        </w:trPr>
        <w:tc>
          <w:tcPr>
            <w:tcW w:w="2846" w:type="dxa"/>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Степень активности</w:t>
            </w: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6,7</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20,0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0,274</w:t>
            </w:r>
          </w:p>
        </w:tc>
      </w:tr>
      <w:tr w:rsidR="00030013" w:rsidRPr="00BD6E96" w:rsidTr="00F702A2">
        <w:trPr>
          <w:trHeight w:val="397"/>
          <w:jc w:val="center"/>
        </w:trPr>
        <w:tc>
          <w:tcPr>
            <w:tcW w:w="2846" w:type="dxa"/>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6,7</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12</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60,0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0,003</w:t>
            </w:r>
          </w:p>
        </w:tc>
      </w:tr>
      <w:tr w:rsidR="00030013" w:rsidRPr="00BD6E96" w:rsidTr="00F702A2">
        <w:trPr>
          <w:trHeight w:val="397"/>
          <w:jc w:val="center"/>
        </w:trPr>
        <w:tc>
          <w:tcPr>
            <w:tcW w:w="2846" w:type="dxa"/>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13</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86,7</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20,0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0,0004</w:t>
            </w:r>
          </w:p>
        </w:tc>
      </w:tr>
      <w:tr w:rsidR="00030013" w:rsidRPr="00BD6E96" w:rsidTr="00F702A2">
        <w:trPr>
          <w:trHeight w:val="397"/>
          <w:jc w:val="center"/>
        </w:trPr>
        <w:tc>
          <w:tcPr>
            <w:tcW w:w="2846" w:type="dxa"/>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Рентгенологическая стадия</w:t>
            </w: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13,3</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10,0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0,763</w:t>
            </w:r>
          </w:p>
        </w:tc>
      </w:tr>
      <w:tr w:rsidR="00030013" w:rsidRPr="00BD6E96" w:rsidTr="00F702A2">
        <w:trPr>
          <w:trHeight w:val="397"/>
          <w:jc w:val="center"/>
        </w:trPr>
        <w:tc>
          <w:tcPr>
            <w:tcW w:w="2846" w:type="dxa"/>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II</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33,4</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7</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35,0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0,922</w:t>
            </w:r>
          </w:p>
        </w:tc>
      </w:tr>
      <w:tr w:rsidR="00030013" w:rsidRPr="00BD6E96" w:rsidTr="00F702A2">
        <w:trPr>
          <w:trHeight w:val="397"/>
          <w:jc w:val="center"/>
        </w:trPr>
        <w:tc>
          <w:tcPr>
            <w:tcW w:w="2846" w:type="dxa"/>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III</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6</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40,0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50,0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0,561</w:t>
            </w:r>
          </w:p>
        </w:tc>
      </w:tr>
      <w:tr w:rsidR="00030013" w:rsidRPr="00BD6E96" w:rsidTr="00F702A2">
        <w:trPr>
          <w:trHeight w:val="397"/>
          <w:jc w:val="center"/>
        </w:trPr>
        <w:tc>
          <w:tcPr>
            <w:tcW w:w="2846" w:type="dxa"/>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IV</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13,3</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0,391</w:t>
            </w:r>
          </w:p>
        </w:tc>
      </w:tr>
      <w:tr w:rsidR="00030013" w:rsidRPr="00BD6E96" w:rsidTr="00F702A2">
        <w:trPr>
          <w:trHeight w:val="397"/>
          <w:jc w:val="center"/>
        </w:trPr>
        <w:tc>
          <w:tcPr>
            <w:tcW w:w="2846" w:type="dxa"/>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Функциональный класс</w:t>
            </w: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1,0</w:t>
            </w:r>
          </w:p>
        </w:tc>
      </w:tr>
      <w:tr w:rsidR="00030013" w:rsidRPr="00BD6E96" w:rsidTr="00F702A2">
        <w:trPr>
          <w:trHeight w:val="397"/>
          <w:jc w:val="center"/>
        </w:trPr>
        <w:tc>
          <w:tcPr>
            <w:tcW w:w="2846" w:type="dxa"/>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II</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11</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73,3</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12</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60,0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0,418</w:t>
            </w:r>
          </w:p>
        </w:tc>
      </w:tr>
      <w:tr w:rsidR="00030013" w:rsidRPr="00BD6E96" w:rsidTr="00F702A2">
        <w:trPr>
          <w:trHeight w:val="397"/>
          <w:jc w:val="center"/>
        </w:trPr>
        <w:tc>
          <w:tcPr>
            <w:tcW w:w="2846" w:type="dxa"/>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III</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26,7</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7</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35,0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0,604</w:t>
            </w:r>
          </w:p>
        </w:tc>
      </w:tr>
      <w:tr w:rsidR="00030013" w:rsidRPr="00BD6E96" w:rsidTr="00F702A2">
        <w:trPr>
          <w:trHeight w:val="397"/>
          <w:jc w:val="center"/>
        </w:trPr>
        <w:tc>
          <w:tcPr>
            <w:tcW w:w="2846" w:type="dxa"/>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200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IV</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709"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992"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5,0</w:t>
            </w:r>
          </w:p>
        </w:tc>
        <w:tc>
          <w:tcPr>
            <w:tcW w:w="1135" w:type="dxa"/>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0,386</w:t>
            </w:r>
          </w:p>
        </w:tc>
      </w:tr>
    </w:tbl>
    <w:p w:rsidR="00030013" w:rsidRDefault="00030013" w:rsidP="00F71B34">
      <w:pPr>
        <w:spacing w:after="0" w:line="360" w:lineRule="auto"/>
        <w:rPr>
          <w:rFonts w:ascii="Times New Roman" w:eastAsia="Times New Roman" w:hAnsi="Times New Roman"/>
          <w:b/>
          <w:color w:val="FF0000"/>
          <w:sz w:val="28"/>
          <w:szCs w:val="28"/>
          <w:lang w:eastAsia="ru-RU"/>
        </w:rPr>
      </w:pPr>
    </w:p>
    <w:p w:rsidR="00A41E93" w:rsidRDefault="00A41E93" w:rsidP="00F71B34">
      <w:pPr>
        <w:spacing w:after="0" w:line="360" w:lineRule="auto"/>
        <w:rPr>
          <w:rFonts w:ascii="Times New Roman" w:eastAsia="Times New Roman" w:hAnsi="Times New Roman"/>
          <w:b/>
          <w:color w:val="FF0000"/>
          <w:sz w:val="28"/>
          <w:szCs w:val="28"/>
          <w:lang w:eastAsia="ru-RU"/>
        </w:rPr>
      </w:pPr>
    </w:p>
    <w:p w:rsidR="00A41E93" w:rsidRDefault="00A41E93" w:rsidP="00F71B34">
      <w:pPr>
        <w:spacing w:after="0" w:line="360" w:lineRule="auto"/>
        <w:rPr>
          <w:rFonts w:ascii="Times New Roman" w:eastAsia="Times New Roman" w:hAnsi="Times New Roman"/>
          <w:b/>
          <w:color w:val="FF0000"/>
          <w:sz w:val="28"/>
          <w:szCs w:val="28"/>
          <w:lang w:eastAsia="ru-RU"/>
        </w:rPr>
      </w:pPr>
    </w:p>
    <w:p w:rsidR="00A41E93" w:rsidRDefault="00A41E93" w:rsidP="00F71B34">
      <w:pPr>
        <w:spacing w:after="0" w:line="360" w:lineRule="auto"/>
        <w:rPr>
          <w:rFonts w:ascii="Times New Roman" w:eastAsia="Times New Roman" w:hAnsi="Times New Roman"/>
          <w:b/>
          <w:color w:val="FF0000"/>
          <w:sz w:val="28"/>
          <w:szCs w:val="28"/>
          <w:lang w:eastAsia="ru-RU"/>
        </w:rPr>
      </w:pPr>
    </w:p>
    <w:p w:rsidR="00A41E93" w:rsidRDefault="00A41E93" w:rsidP="00F71B34">
      <w:pPr>
        <w:spacing w:after="0" w:line="360" w:lineRule="auto"/>
        <w:rPr>
          <w:rFonts w:ascii="Times New Roman" w:eastAsia="Times New Roman" w:hAnsi="Times New Roman"/>
          <w:b/>
          <w:color w:val="FF0000"/>
          <w:sz w:val="28"/>
          <w:szCs w:val="28"/>
          <w:lang w:eastAsia="ru-RU"/>
        </w:rPr>
      </w:pPr>
    </w:p>
    <w:p w:rsidR="00A41E93" w:rsidRDefault="00A41E93" w:rsidP="00F71B34">
      <w:pPr>
        <w:spacing w:after="0" w:line="360" w:lineRule="auto"/>
        <w:rPr>
          <w:rFonts w:ascii="Times New Roman" w:eastAsia="Times New Roman" w:hAnsi="Times New Roman"/>
          <w:b/>
          <w:color w:val="FF0000"/>
          <w:sz w:val="28"/>
          <w:szCs w:val="28"/>
          <w:lang w:eastAsia="ru-RU"/>
        </w:rPr>
      </w:pPr>
    </w:p>
    <w:p w:rsidR="00A41E93" w:rsidRPr="00F71B34" w:rsidRDefault="00A41E93" w:rsidP="00F71B34">
      <w:pPr>
        <w:spacing w:after="0" w:line="360" w:lineRule="auto"/>
        <w:rPr>
          <w:rFonts w:ascii="Times New Roman" w:eastAsia="Times New Roman" w:hAnsi="Times New Roman"/>
          <w:b/>
          <w:color w:val="FF0000"/>
          <w:sz w:val="28"/>
          <w:szCs w:val="28"/>
          <w:lang w:eastAsia="ru-RU"/>
        </w:rPr>
      </w:pPr>
    </w:p>
    <w:p w:rsidR="00030013" w:rsidRPr="00F71B34" w:rsidRDefault="00DD207C" w:rsidP="00F71B34">
      <w:pPr>
        <w:spacing w:after="0" w:line="360" w:lineRule="auto"/>
        <w:ind w:firstLine="708"/>
        <w:jc w:val="both"/>
        <w:rPr>
          <w:rFonts w:ascii="Times New Roman" w:hAnsi="Times New Roman"/>
          <w:sz w:val="28"/>
          <w:szCs w:val="28"/>
          <w:lang w:eastAsia="ru-RU"/>
        </w:rPr>
      </w:pPr>
      <w:r w:rsidRPr="00DD207C">
        <w:rPr>
          <w:rFonts w:ascii="Times New Roman" w:eastAsia="Times New Roman" w:hAnsi="Times New Roman"/>
          <w:spacing w:val="40"/>
          <w:sz w:val="28"/>
          <w:szCs w:val="28"/>
          <w:lang w:eastAsia="ru-RU"/>
        </w:rPr>
        <w:lastRenderedPageBreak/>
        <w:t>Таблица</w:t>
      </w:r>
      <w:r w:rsidR="00030013" w:rsidRPr="00F71B34">
        <w:rPr>
          <w:rFonts w:ascii="Times New Roman" w:eastAsia="Times New Roman" w:hAnsi="Times New Roman"/>
          <w:sz w:val="28"/>
          <w:szCs w:val="28"/>
          <w:lang w:eastAsia="ru-RU"/>
        </w:rPr>
        <w:t xml:space="preserve"> 26</w:t>
      </w:r>
      <w:r w:rsidR="00CD2EDC">
        <w:rPr>
          <w:rFonts w:ascii="Times New Roman" w:eastAsia="Times New Roman" w:hAnsi="Times New Roman"/>
          <w:sz w:val="28"/>
          <w:szCs w:val="28"/>
          <w:lang w:eastAsia="ru-RU"/>
        </w:rPr>
        <w:t xml:space="preserve"> – </w:t>
      </w:r>
      <w:r w:rsidR="00030013" w:rsidRPr="00F71B34">
        <w:rPr>
          <w:rFonts w:ascii="Times New Roman" w:eastAsia="Times New Roman" w:hAnsi="Times New Roman"/>
          <w:sz w:val="28"/>
          <w:szCs w:val="28"/>
          <w:lang w:eastAsia="ru-RU"/>
        </w:rPr>
        <w:t xml:space="preserve">Клиническая характеристика </w:t>
      </w:r>
      <w:r w:rsidR="00030013" w:rsidRPr="00F71B34">
        <w:rPr>
          <w:rFonts w:ascii="Times New Roman" w:hAnsi="Times New Roman"/>
          <w:sz w:val="28"/>
          <w:szCs w:val="28"/>
          <w:lang w:eastAsia="ru-RU"/>
        </w:rPr>
        <w:t xml:space="preserve">«ответчиков» и «неответчиков» через 16 недель терапии в группе больных РА, получавших комбинированную терапию РТМ и  МТХ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52"/>
        <w:gridCol w:w="2077"/>
        <w:gridCol w:w="874"/>
        <w:gridCol w:w="806"/>
        <w:gridCol w:w="1018"/>
        <w:gridCol w:w="934"/>
        <w:gridCol w:w="716"/>
      </w:tblGrid>
      <w:tr w:rsidR="00030013" w:rsidRPr="00BD6E96" w:rsidTr="00030013">
        <w:trPr>
          <w:trHeight w:val="397"/>
          <w:jc w:val="center"/>
        </w:trPr>
        <w:tc>
          <w:tcPr>
            <w:tcW w:w="2821" w:type="pct"/>
            <w:gridSpan w:val="2"/>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Показатель</w:t>
            </w:r>
          </w:p>
        </w:tc>
        <w:tc>
          <w:tcPr>
            <w:tcW w:w="842" w:type="pct"/>
            <w:gridSpan w:val="2"/>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«Ответчики»</w:t>
            </w:r>
          </w:p>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(n=22)</w:t>
            </w:r>
          </w:p>
        </w:tc>
        <w:tc>
          <w:tcPr>
            <w:tcW w:w="978" w:type="pct"/>
            <w:gridSpan w:val="2"/>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«Неответчики»</w:t>
            </w:r>
          </w:p>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(n=22)</w:t>
            </w:r>
          </w:p>
        </w:tc>
        <w:tc>
          <w:tcPr>
            <w:tcW w:w="360" w:type="pct"/>
            <w:vMerge w:val="restart"/>
            <w:vAlign w:val="center"/>
          </w:tcPr>
          <w:p w:rsidR="00030013" w:rsidRPr="00BD6E96" w:rsidRDefault="00030013" w:rsidP="00F71B34">
            <w:pPr>
              <w:spacing w:after="0" w:line="360" w:lineRule="auto"/>
              <w:jc w:val="center"/>
              <w:rPr>
                <w:rFonts w:ascii="Times New Roman" w:hAnsi="Times New Roman"/>
                <w:sz w:val="24"/>
                <w:szCs w:val="24"/>
              </w:rPr>
            </w:pPr>
            <w:proofErr w:type="gramStart"/>
            <w:r w:rsidRPr="00BD6E96">
              <w:rPr>
                <w:rFonts w:ascii="Times New Roman" w:hAnsi="Times New Roman"/>
                <w:sz w:val="24"/>
                <w:szCs w:val="24"/>
              </w:rPr>
              <w:t>р</w:t>
            </w:r>
            <w:proofErr w:type="gramEnd"/>
          </w:p>
        </w:tc>
      </w:tr>
      <w:tr w:rsidR="00030013" w:rsidRPr="00BD6E96" w:rsidTr="00030013">
        <w:trPr>
          <w:trHeight w:val="397"/>
          <w:jc w:val="center"/>
        </w:trPr>
        <w:tc>
          <w:tcPr>
            <w:tcW w:w="2821" w:type="pct"/>
            <w:gridSpan w:val="2"/>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438" w:type="pct"/>
            <w:vAlign w:val="center"/>
          </w:tcPr>
          <w:p w:rsidR="00030013" w:rsidRPr="00BD6E96" w:rsidRDefault="00DD207C" w:rsidP="00F71B34">
            <w:pPr>
              <w:spacing w:after="0" w:line="360" w:lineRule="auto"/>
              <w:jc w:val="center"/>
              <w:rPr>
                <w:rFonts w:ascii="Times New Roman" w:hAnsi="Times New Roman"/>
                <w:sz w:val="24"/>
                <w:szCs w:val="24"/>
              </w:rPr>
            </w:pPr>
            <w:r>
              <w:rPr>
                <w:rFonts w:ascii="Times New Roman" w:hAnsi="Times New Roman"/>
                <w:sz w:val="24"/>
                <w:szCs w:val="24"/>
              </w:rPr>
              <w:t>а</w:t>
            </w:r>
            <w:r w:rsidR="00030013" w:rsidRPr="00BD6E96">
              <w:rPr>
                <w:rFonts w:ascii="Times New Roman" w:hAnsi="Times New Roman"/>
                <w:sz w:val="24"/>
                <w:szCs w:val="24"/>
              </w:rPr>
              <w:t>бс.</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w:t>
            </w:r>
          </w:p>
        </w:tc>
        <w:tc>
          <w:tcPr>
            <w:tcW w:w="510" w:type="pct"/>
            <w:vAlign w:val="center"/>
          </w:tcPr>
          <w:p w:rsidR="00030013" w:rsidRPr="00BD6E96" w:rsidRDefault="00DD207C" w:rsidP="00F71B34">
            <w:pPr>
              <w:spacing w:after="0" w:line="360" w:lineRule="auto"/>
              <w:jc w:val="center"/>
              <w:rPr>
                <w:rFonts w:ascii="Times New Roman" w:hAnsi="Times New Roman"/>
                <w:sz w:val="24"/>
                <w:szCs w:val="24"/>
              </w:rPr>
            </w:pPr>
            <w:r>
              <w:rPr>
                <w:rFonts w:ascii="Times New Roman" w:hAnsi="Times New Roman"/>
                <w:sz w:val="24"/>
                <w:szCs w:val="24"/>
              </w:rPr>
              <w:t>а</w:t>
            </w:r>
            <w:r w:rsidR="00030013" w:rsidRPr="00BD6E96">
              <w:rPr>
                <w:rFonts w:ascii="Times New Roman" w:hAnsi="Times New Roman"/>
                <w:sz w:val="24"/>
                <w:szCs w:val="24"/>
              </w:rPr>
              <w:t>бс.</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w:t>
            </w:r>
          </w:p>
        </w:tc>
        <w:tc>
          <w:tcPr>
            <w:tcW w:w="360" w:type="pct"/>
            <w:vMerge/>
            <w:vAlign w:val="center"/>
          </w:tcPr>
          <w:p w:rsidR="00030013" w:rsidRPr="00BD6E96" w:rsidRDefault="00030013" w:rsidP="00F71B34">
            <w:pPr>
              <w:spacing w:after="0" w:line="360" w:lineRule="auto"/>
              <w:jc w:val="center"/>
              <w:rPr>
                <w:rFonts w:ascii="Times New Roman" w:hAnsi="Times New Roman"/>
                <w:sz w:val="24"/>
                <w:szCs w:val="24"/>
              </w:rPr>
            </w:pPr>
          </w:p>
        </w:tc>
      </w:tr>
      <w:tr w:rsidR="00030013" w:rsidRPr="00BD6E96" w:rsidTr="00030013">
        <w:trPr>
          <w:trHeight w:val="397"/>
          <w:jc w:val="center"/>
        </w:trPr>
        <w:tc>
          <w:tcPr>
            <w:tcW w:w="1780" w:type="pct"/>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Давность заболевания,         годы</w:t>
            </w:r>
          </w:p>
        </w:tc>
        <w:tc>
          <w:tcPr>
            <w:tcW w:w="1041" w:type="pct"/>
            <w:vAlign w:val="center"/>
          </w:tcPr>
          <w:p w:rsidR="00030013" w:rsidRPr="00BD6E96" w:rsidRDefault="00030013" w:rsidP="00F71B34">
            <w:pPr>
              <w:spacing w:after="0" w:line="360" w:lineRule="auto"/>
              <w:ind w:firstLine="73"/>
              <w:jc w:val="center"/>
              <w:rPr>
                <w:rFonts w:ascii="Times New Roman" w:hAnsi="Times New Roman"/>
                <w:sz w:val="24"/>
                <w:szCs w:val="24"/>
              </w:rPr>
            </w:pPr>
            <w:r w:rsidRPr="00BD6E96">
              <w:rPr>
                <w:rFonts w:ascii="Times New Roman" w:hAnsi="Times New Roman"/>
                <w:sz w:val="24"/>
                <w:szCs w:val="24"/>
              </w:rPr>
              <w:t>&lt;1</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1,0</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DD207C">
            <w:pPr>
              <w:spacing w:after="0" w:line="360" w:lineRule="auto"/>
              <w:ind w:firstLine="73"/>
              <w:jc w:val="center"/>
              <w:rPr>
                <w:rFonts w:ascii="Times New Roman" w:hAnsi="Times New Roman"/>
                <w:sz w:val="24"/>
                <w:szCs w:val="24"/>
              </w:rPr>
            </w:pPr>
            <w:r w:rsidRPr="00BD6E96">
              <w:rPr>
                <w:rFonts w:ascii="Times New Roman" w:hAnsi="Times New Roman"/>
                <w:sz w:val="24"/>
                <w:szCs w:val="24"/>
              </w:rPr>
              <w:t>1</w:t>
            </w:r>
            <w:r w:rsidR="00DD207C">
              <w:rPr>
                <w:rFonts w:ascii="Times New Roman" w:hAnsi="Times New Roman"/>
                <w:sz w:val="24"/>
                <w:szCs w:val="24"/>
              </w:rPr>
              <w:t>–</w:t>
            </w:r>
            <w:r w:rsidRPr="00BD6E96">
              <w:rPr>
                <w:rFonts w:ascii="Times New Roman" w:hAnsi="Times New Roman"/>
                <w:sz w:val="24"/>
                <w:szCs w:val="24"/>
              </w:rPr>
              <w:t>4</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9,1</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0,146</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DD207C">
            <w:pPr>
              <w:spacing w:after="0" w:line="360" w:lineRule="auto"/>
              <w:ind w:firstLine="73"/>
              <w:jc w:val="center"/>
              <w:rPr>
                <w:rFonts w:ascii="Times New Roman" w:hAnsi="Times New Roman"/>
                <w:sz w:val="24"/>
                <w:szCs w:val="24"/>
              </w:rPr>
            </w:pPr>
            <w:r w:rsidRPr="00BD6E96">
              <w:rPr>
                <w:rFonts w:ascii="Times New Roman" w:hAnsi="Times New Roman"/>
                <w:sz w:val="24"/>
                <w:szCs w:val="24"/>
              </w:rPr>
              <w:t>5</w:t>
            </w:r>
            <w:r w:rsidR="00DD207C">
              <w:rPr>
                <w:rFonts w:ascii="Times New Roman" w:hAnsi="Times New Roman"/>
                <w:sz w:val="24"/>
                <w:szCs w:val="24"/>
              </w:rPr>
              <w:t>–</w:t>
            </w:r>
            <w:r w:rsidRPr="00BD6E96">
              <w:rPr>
                <w:rFonts w:ascii="Times New Roman" w:hAnsi="Times New Roman"/>
                <w:sz w:val="24"/>
                <w:szCs w:val="24"/>
              </w:rPr>
              <w:t>9</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13,6</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7</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31,8</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0,157</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F71B34">
            <w:pPr>
              <w:spacing w:after="0" w:line="360" w:lineRule="auto"/>
              <w:ind w:firstLine="73"/>
              <w:jc w:val="center"/>
              <w:rPr>
                <w:rFonts w:ascii="Times New Roman" w:hAnsi="Times New Roman"/>
                <w:sz w:val="24"/>
                <w:szCs w:val="24"/>
              </w:rPr>
            </w:pPr>
            <w:r w:rsidRPr="00BD6E96">
              <w:rPr>
                <w:rFonts w:ascii="Times New Roman" w:hAnsi="Times New Roman"/>
                <w:sz w:val="24"/>
                <w:szCs w:val="24"/>
              </w:rPr>
              <w:t>≥10</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19</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86,4</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13</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59,1</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0,048</w:t>
            </w:r>
          </w:p>
        </w:tc>
      </w:tr>
      <w:tr w:rsidR="00030013" w:rsidRPr="00BD6E96" w:rsidTr="00030013">
        <w:trPr>
          <w:trHeight w:val="397"/>
          <w:jc w:val="center"/>
        </w:trPr>
        <w:tc>
          <w:tcPr>
            <w:tcW w:w="1780" w:type="pct"/>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Иммунологическая</w:t>
            </w:r>
          </w:p>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характеристика</w:t>
            </w:r>
          </w:p>
        </w:tc>
        <w:tc>
          <w:tcPr>
            <w:tcW w:w="1041" w:type="pct"/>
            <w:vAlign w:val="center"/>
          </w:tcPr>
          <w:p w:rsidR="00030013" w:rsidRPr="00BD6E96" w:rsidRDefault="00085C62" w:rsidP="00F71B34">
            <w:pPr>
              <w:spacing w:after="0" w:line="360" w:lineRule="auto"/>
              <w:jc w:val="center"/>
              <w:rPr>
                <w:rFonts w:ascii="Times New Roman" w:hAnsi="Times New Roman"/>
                <w:sz w:val="24"/>
                <w:szCs w:val="24"/>
              </w:rPr>
            </w:pPr>
            <w:r>
              <w:rPr>
                <w:rFonts w:ascii="Times New Roman" w:hAnsi="Times New Roman"/>
                <w:sz w:val="24"/>
                <w:szCs w:val="24"/>
                <w:lang w:val="en-US"/>
              </w:rPr>
              <w:t>c</w:t>
            </w:r>
            <w:r w:rsidR="00DD207C" w:rsidRPr="00BD6E96">
              <w:rPr>
                <w:rFonts w:ascii="Times New Roman" w:hAnsi="Times New Roman"/>
                <w:sz w:val="24"/>
                <w:szCs w:val="24"/>
              </w:rPr>
              <w:t>еропозитивные</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21</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95,5</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19</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86,4</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0,299</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85C62" w:rsidP="00F71B34">
            <w:pPr>
              <w:spacing w:after="0" w:line="360" w:lineRule="auto"/>
              <w:jc w:val="center"/>
              <w:rPr>
                <w:rFonts w:ascii="Times New Roman" w:hAnsi="Times New Roman"/>
                <w:sz w:val="24"/>
                <w:szCs w:val="24"/>
              </w:rPr>
            </w:pPr>
            <w:r>
              <w:rPr>
                <w:rFonts w:ascii="Times New Roman" w:hAnsi="Times New Roman"/>
                <w:sz w:val="24"/>
                <w:szCs w:val="24"/>
                <w:lang w:val="en-US"/>
              </w:rPr>
              <w:t>c</w:t>
            </w:r>
            <w:r w:rsidR="00DD207C" w:rsidRPr="00BD6E96">
              <w:rPr>
                <w:rFonts w:ascii="Times New Roman" w:hAnsi="Times New Roman"/>
                <w:sz w:val="24"/>
                <w:szCs w:val="24"/>
              </w:rPr>
              <w:t>еронегативные</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4,5</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13,6</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0,299</w:t>
            </w:r>
          </w:p>
        </w:tc>
      </w:tr>
      <w:tr w:rsidR="00030013" w:rsidRPr="00BD6E96" w:rsidTr="00030013">
        <w:trPr>
          <w:trHeight w:val="397"/>
          <w:jc w:val="center"/>
        </w:trPr>
        <w:tc>
          <w:tcPr>
            <w:tcW w:w="1780" w:type="pct"/>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Степень активности</w:t>
            </w: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22,7</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0,022</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7</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31,8</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6</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27,3</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0,745</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15</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68,2</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11</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50,0</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0,226</w:t>
            </w:r>
          </w:p>
        </w:tc>
      </w:tr>
      <w:tr w:rsidR="00030013" w:rsidRPr="00BD6E96" w:rsidTr="00030013">
        <w:trPr>
          <w:trHeight w:val="397"/>
          <w:jc w:val="center"/>
        </w:trPr>
        <w:tc>
          <w:tcPr>
            <w:tcW w:w="1780" w:type="pct"/>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 xml:space="preserve">Рентгенологическая </w:t>
            </w:r>
          </w:p>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стадия</w:t>
            </w: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4,5</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0,320</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II</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18,1</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12</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54,6</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0,016</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III</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10</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45,5</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8</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36,4</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0,543</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IV</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8</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36,4</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4,5</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0,012</w:t>
            </w:r>
          </w:p>
        </w:tc>
      </w:tr>
      <w:tr w:rsidR="00030013" w:rsidRPr="00BD6E96" w:rsidTr="00030013">
        <w:trPr>
          <w:trHeight w:val="397"/>
          <w:jc w:val="center"/>
        </w:trPr>
        <w:tc>
          <w:tcPr>
            <w:tcW w:w="1780" w:type="pct"/>
            <w:vMerge w:val="restar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Функциональный класс</w:t>
            </w: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4,5</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2</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9,1</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0,548</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II</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17</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77,3</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16</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72,7</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0,726</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III</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18,2</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4</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18,2</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1,0</w:t>
            </w:r>
          </w:p>
        </w:tc>
      </w:tr>
      <w:tr w:rsidR="00030013" w:rsidRPr="00BD6E96" w:rsidTr="00030013">
        <w:trPr>
          <w:trHeight w:val="397"/>
          <w:jc w:val="center"/>
        </w:trPr>
        <w:tc>
          <w:tcPr>
            <w:tcW w:w="1780" w:type="pct"/>
            <w:vMerge/>
            <w:vAlign w:val="center"/>
          </w:tcPr>
          <w:p w:rsidR="00030013" w:rsidRPr="00BD6E96" w:rsidRDefault="00030013" w:rsidP="00F71B34">
            <w:pPr>
              <w:spacing w:after="0" w:line="360" w:lineRule="auto"/>
              <w:jc w:val="center"/>
              <w:rPr>
                <w:rFonts w:ascii="Times New Roman" w:hAnsi="Times New Roman"/>
                <w:sz w:val="24"/>
                <w:szCs w:val="24"/>
              </w:rPr>
            </w:pPr>
          </w:p>
        </w:tc>
        <w:tc>
          <w:tcPr>
            <w:tcW w:w="1041"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IV</w:t>
            </w:r>
          </w:p>
        </w:tc>
        <w:tc>
          <w:tcPr>
            <w:tcW w:w="43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403"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51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w:t>
            </w:r>
          </w:p>
        </w:tc>
        <w:tc>
          <w:tcPr>
            <w:tcW w:w="468"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0,0</w:t>
            </w:r>
          </w:p>
        </w:tc>
        <w:tc>
          <w:tcPr>
            <w:tcW w:w="360" w:type="pct"/>
            <w:vAlign w:val="center"/>
          </w:tcPr>
          <w:p w:rsidR="00030013" w:rsidRPr="00BD6E96" w:rsidRDefault="00030013" w:rsidP="00F71B34">
            <w:pPr>
              <w:spacing w:after="0" w:line="360" w:lineRule="auto"/>
              <w:jc w:val="center"/>
              <w:rPr>
                <w:rFonts w:ascii="Times New Roman" w:hAnsi="Times New Roman"/>
                <w:sz w:val="24"/>
                <w:szCs w:val="24"/>
              </w:rPr>
            </w:pPr>
            <w:r w:rsidRPr="00BD6E96">
              <w:rPr>
                <w:rFonts w:ascii="Times New Roman" w:hAnsi="Times New Roman"/>
                <w:sz w:val="24"/>
                <w:szCs w:val="24"/>
              </w:rPr>
              <w:t>1,0</w:t>
            </w:r>
          </w:p>
        </w:tc>
      </w:tr>
    </w:tbl>
    <w:p w:rsidR="00030013" w:rsidRPr="00F71B34" w:rsidRDefault="00030013" w:rsidP="00F71B34">
      <w:pPr>
        <w:spacing w:after="0" w:line="360" w:lineRule="auto"/>
        <w:jc w:val="both"/>
        <w:rPr>
          <w:rFonts w:ascii="Times New Roman" w:eastAsia="Times New Roman" w:hAnsi="Times New Roman"/>
          <w:color w:val="FF0000"/>
          <w:sz w:val="28"/>
          <w:szCs w:val="28"/>
          <w:lang w:eastAsia="ru-RU"/>
        </w:rPr>
      </w:pPr>
    </w:p>
    <w:p w:rsidR="00030013" w:rsidRPr="00F71B34" w:rsidRDefault="00030013" w:rsidP="00F71B34">
      <w:pPr>
        <w:spacing w:after="0" w:line="360" w:lineRule="auto"/>
        <w:jc w:val="both"/>
        <w:rPr>
          <w:rFonts w:ascii="Times New Roman" w:eastAsia="Times New Roman" w:hAnsi="Times New Roman"/>
          <w:color w:val="FF0000"/>
          <w:sz w:val="28"/>
          <w:szCs w:val="28"/>
          <w:lang w:eastAsia="ru-RU"/>
        </w:rPr>
      </w:pP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Динамика денситометрических показателей шейки бедра у больных РА обеих групп представлена на рисунках 1</w:t>
      </w:r>
      <w:r w:rsidR="00DD207C">
        <w:rPr>
          <w:rFonts w:ascii="Times New Roman" w:eastAsia="Times New Roman" w:hAnsi="Times New Roman"/>
          <w:sz w:val="28"/>
          <w:szCs w:val="28"/>
          <w:lang w:eastAsia="ru-RU"/>
        </w:rPr>
        <w:t>1</w:t>
      </w:r>
      <w:r w:rsidRPr="00F71B34">
        <w:rPr>
          <w:rFonts w:ascii="Times New Roman" w:eastAsia="Times New Roman" w:hAnsi="Times New Roman"/>
          <w:sz w:val="28"/>
          <w:szCs w:val="28"/>
          <w:lang w:eastAsia="ru-RU"/>
        </w:rPr>
        <w:t xml:space="preserve"> и 1</w:t>
      </w:r>
      <w:r w:rsidR="00DD207C">
        <w:rPr>
          <w:rFonts w:ascii="Times New Roman" w:eastAsia="Times New Roman" w:hAnsi="Times New Roman"/>
          <w:sz w:val="28"/>
          <w:szCs w:val="28"/>
          <w:lang w:eastAsia="ru-RU"/>
        </w:rPr>
        <w:t>2</w:t>
      </w:r>
      <w:r w:rsidRPr="00F71B34">
        <w:rPr>
          <w:rFonts w:ascii="Times New Roman" w:eastAsia="Times New Roman" w:hAnsi="Times New Roman"/>
          <w:sz w:val="28"/>
          <w:szCs w:val="28"/>
          <w:lang w:eastAsia="ru-RU"/>
        </w:rPr>
        <w:t>.</w:t>
      </w:r>
    </w:p>
    <w:p w:rsidR="00030013" w:rsidRPr="00F71B34" w:rsidRDefault="001A28E5" w:rsidP="00F71B34">
      <w:pPr>
        <w:spacing w:after="0" w:line="360" w:lineRule="auto"/>
        <w:jc w:val="both"/>
        <w:rPr>
          <w:rFonts w:ascii="Times New Roman" w:eastAsia="Times New Roman" w:hAnsi="Times New Roman"/>
          <w:b/>
          <w:color w:val="FF0000"/>
          <w:sz w:val="28"/>
          <w:szCs w:val="28"/>
          <w:lang w:eastAsia="ru-RU"/>
        </w:rPr>
      </w:pPr>
      <w:r>
        <w:rPr>
          <w:rFonts w:ascii="Times New Roman" w:eastAsia="Times New Roman" w:hAnsi="Times New Roman"/>
          <w:b/>
          <w:noProof/>
          <w:color w:val="FF0000"/>
          <w:sz w:val="28"/>
          <w:szCs w:val="28"/>
          <w:lang w:eastAsia="ru-RU"/>
        </w:rPr>
        <w:lastRenderedPageBreak/>
        <w:drawing>
          <wp:inline distT="0" distB="0" distL="0" distR="0">
            <wp:extent cx="6281057" cy="2971800"/>
            <wp:effectExtent l="0" t="0" r="5715" b="0"/>
            <wp:docPr id="8"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0013" w:rsidRPr="00F71B34" w:rsidRDefault="00030013" w:rsidP="00F71B34">
      <w:pPr>
        <w:spacing w:after="0" w:line="360" w:lineRule="auto"/>
        <w:jc w:val="both"/>
        <w:rPr>
          <w:rFonts w:ascii="Times New Roman" w:eastAsia="Times New Roman" w:hAnsi="Times New Roman"/>
          <w:i/>
          <w:sz w:val="28"/>
          <w:szCs w:val="28"/>
          <w:lang w:eastAsia="ru-RU"/>
        </w:rPr>
      </w:pPr>
      <w:r w:rsidRPr="00F71B34">
        <w:rPr>
          <w:rFonts w:ascii="Times New Roman" w:eastAsia="Times New Roman" w:hAnsi="Times New Roman"/>
          <w:i/>
          <w:sz w:val="28"/>
          <w:szCs w:val="28"/>
          <w:lang w:eastAsia="ru-RU"/>
        </w:rPr>
        <w:t>* p&lt;0,05 по сравнению с исходными показателями.</w:t>
      </w:r>
    </w:p>
    <w:p w:rsidR="00030013" w:rsidRPr="00A41E93" w:rsidRDefault="00030013" w:rsidP="00F71B34">
      <w:pPr>
        <w:spacing w:after="0" w:line="360" w:lineRule="auto"/>
        <w:jc w:val="both"/>
        <w:rPr>
          <w:rFonts w:ascii="Times New Roman" w:eastAsia="Times New Roman" w:hAnsi="Times New Roman"/>
          <w:b/>
          <w:color w:val="FF0000"/>
          <w:sz w:val="12"/>
          <w:szCs w:val="28"/>
          <w:lang w:eastAsia="ru-RU"/>
        </w:rPr>
      </w:pPr>
    </w:p>
    <w:p w:rsidR="00030013" w:rsidRPr="001C7C52" w:rsidRDefault="00030013" w:rsidP="00F71B34">
      <w:pPr>
        <w:spacing w:after="0" w:line="360" w:lineRule="auto"/>
        <w:jc w:val="both"/>
        <w:rPr>
          <w:rFonts w:ascii="Times New Roman" w:eastAsia="Times New Roman" w:hAnsi="Times New Roman"/>
          <w:spacing w:val="-4"/>
          <w:sz w:val="28"/>
          <w:szCs w:val="28"/>
          <w:lang w:eastAsia="ru-RU"/>
        </w:rPr>
      </w:pPr>
      <w:r w:rsidRPr="00DD207C">
        <w:rPr>
          <w:rFonts w:ascii="Times New Roman" w:eastAsia="Times New Roman" w:hAnsi="Times New Roman"/>
          <w:spacing w:val="40"/>
          <w:sz w:val="28"/>
          <w:szCs w:val="28"/>
          <w:lang w:eastAsia="ru-RU"/>
        </w:rPr>
        <w:t>Рисунок</w:t>
      </w:r>
      <w:r w:rsidRPr="00F71B34">
        <w:rPr>
          <w:rFonts w:ascii="Times New Roman" w:eastAsia="Times New Roman" w:hAnsi="Times New Roman"/>
          <w:sz w:val="28"/>
          <w:szCs w:val="28"/>
          <w:lang w:eastAsia="ru-RU"/>
        </w:rPr>
        <w:t xml:space="preserve"> 1</w:t>
      </w:r>
      <w:r w:rsidR="00DD207C">
        <w:rPr>
          <w:rFonts w:ascii="Times New Roman" w:eastAsia="Times New Roman" w:hAnsi="Times New Roman"/>
          <w:sz w:val="28"/>
          <w:szCs w:val="28"/>
          <w:lang w:eastAsia="ru-RU"/>
        </w:rPr>
        <w:t>1</w:t>
      </w:r>
      <w:r w:rsidR="00CD2EDC">
        <w:rPr>
          <w:rFonts w:ascii="Times New Roman" w:eastAsia="Times New Roman" w:hAnsi="Times New Roman"/>
          <w:sz w:val="28"/>
          <w:szCs w:val="28"/>
          <w:lang w:eastAsia="ru-RU"/>
        </w:rPr>
        <w:t xml:space="preserve"> – </w:t>
      </w:r>
      <w:r w:rsidRPr="001C7C52">
        <w:rPr>
          <w:rFonts w:ascii="Times New Roman" w:eastAsia="Times New Roman" w:hAnsi="Times New Roman"/>
          <w:spacing w:val="-4"/>
          <w:sz w:val="28"/>
          <w:szCs w:val="28"/>
          <w:lang w:eastAsia="ru-RU"/>
        </w:rPr>
        <w:t>Динамика МПК шейки бедра у больных РА в зависимости</w:t>
      </w:r>
      <w:r w:rsidR="00237220" w:rsidRPr="001C7C52">
        <w:rPr>
          <w:rFonts w:ascii="Times New Roman" w:eastAsia="Times New Roman" w:hAnsi="Times New Roman"/>
          <w:spacing w:val="-4"/>
          <w:sz w:val="28"/>
          <w:szCs w:val="28"/>
          <w:lang w:eastAsia="ru-RU"/>
        </w:rPr>
        <w:br/>
      </w:r>
      <w:r w:rsidRPr="001C7C52">
        <w:rPr>
          <w:rFonts w:ascii="Times New Roman" w:eastAsia="Times New Roman" w:hAnsi="Times New Roman"/>
          <w:spacing w:val="-4"/>
          <w:sz w:val="28"/>
          <w:szCs w:val="28"/>
          <w:lang w:eastAsia="ru-RU"/>
        </w:rPr>
        <w:t xml:space="preserve">от эффективности </w:t>
      </w:r>
      <w:r w:rsidR="00085C62" w:rsidRPr="001C7C52">
        <w:rPr>
          <w:rFonts w:ascii="Times New Roman" w:eastAsia="Times New Roman" w:hAnsi="Times New Roman"/>
          <w:spacing w:val="-4"/>
          <w:sz w:val="28"/>
          <w:szCs w:val="28"/>
          <w:lang w:eastAsia="ru-RU"/>
        </w:rPr>
        <w:t xml:space="preserve">комбинированной </w:t>
      </w:r>
      <w:r w:rsidRPr="001C7C52">
        <w:rPr>
          <w:rFonts w:ascii="Times New Roman" w:eastAsia="Times New Roman" w:hAnsi="Times New Roman"/>
          <w:spacing w:val="-4"/>
          <w:sz w:val="28"/>
          <w:szCs w:val="28"/>
          <w:lang w:eastAsia="ru-RU"/>
        </w:rPr>
        <w:t>терапии</w:t>
      </w:r>
      <w:r w:rsidR="00085C62" w:rsidRPr="001C7C52">
        <w:rPr>
          <w:rFonts w:ascii="Times New Roman" w:eastAsia="Times New Roman" w:hAnsi="Times New Roman"/>
          <w:spacing w:val="-4"/>
          <w:sz w:val="28"/>
          <w:szCs w:val="28"/>
          <w:lang w:eastAsia="ru-RU"/>
        </w:rPr>
        <w:t xml:space="preserve"> РТМ и МТХ и монотерапии МТХ</w:t>
      </w:r>
    </w:p>
    <w:p w:rsidR="00A41E93" w:rsidRPr="00DD207C" w:rsidRDefault="00A41E93" w:rsidP="00F71B34">
      <w:pPr>
        <w:spacing w:after="0" w:line="360" w:lineRule="auto"/>
        <w:jc w:val="both"/>
        <w:rPr>
          <w:rFonts w:ascii="Times New Roman" w:eastAsia="Times New Roman" w:hAnsi="Times New Roman"/>
          <w:sz w:val="16"/>
          <w:szCs w:val="16"/>
          <w:lang w:eastAsia="ru-RU"/>
        </w:rPr>
      </w:pPr>
    </w:p>
    <w:p w:rsidR="00A41E93" w:rsidRPr="00DD207C" w:rsidRDefault="001A28E5" w:rsidP="00A41E93">
      <w:pPr>
        <w:spacing w:after="0" w:line="360" w:lineRule="auto"/>
        <w:jc w:val="both"/>
        <w:rPr>
          <w:rFonts w:ascii="Times New Roman" w:eastAsia="Times New Roman" w:hAnsi="Times New Roman"/>
          <w:b/>
          <w:color w:val="FF0000"/>
          <w:sz w:val="16"/>
          <w:szCs w:val="16"/>
          <w:lang w:eastAsia="ru-RU"/>
        </w:rPr>
      </w:pPr>
      <w:r>
        <w:rPr>
          <w:rFonts w:ascii="Times New Roman" w:eastAsia="Times New Roman" w:hAnsi="Times New Roman"/>
          <w:b/>
          <w:noProof/>
          <w:color w:val="FF0000"/>
          <w:sz w:val="28"/>
          <w:szCs w:val="28"/>
          <w:lang w:eastAsia="ru-RU"/>
        </w:rPr>
        <w:drawing>
          <wp:inline distT="0" distB="0" distL="0" distR="0">
            <wp:extent cx="6281057" cy="2971800"/>
            <wp:effectExtent l="0" t="0" r="5715" b="0"/>
            <wp:docPr id="9"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1E93" w:rsidRPr="00CB086A" w:rsidRDefault="00A41E93" w:rsidP="00A41E93">
      <w:pPr>
        <w:spacing w:after="0" w:line="360" w:lineRule="auto"/>
        <w:ind w:left="1701" w:hanging="1701"/>
        <w:jc w:val="both"/>
        <w:rPr>
          <w:rFonts w:ascii="Times New Roman" w:eastAsia="Times New Roman" w:hAnsi="Times New Roman"/>
          <w:i/>
          <w:sz w:val="28"/>
          <w:szCs w:val="28"/>
          <w:lang w:eastAsia="ru-RU"/>
        </w:rPr>
      </w:pPr>
      <w:r w:rsidRPr="00CB086A">
        <w:rPr>
          <w:rFonts w:ascii="Times New Roman" w:eastAsia="Times New Roman" w:hAnsi="Times New Roman"/>
          <w:i/>
          <w:sz w:val="28"/>
          <w:szCs w:val="28"/>
          <w:lang w:eastAsia="ru-RU"/>
        </w:rPr>
        <w:t xml:space="preserve">* p&lt;0,05 по сравнению с исходными показателями.                 </w:t>
      </w:r>
    </w:p>
    <w:p w:rsidR="00A41E93" w:rsidRPr="00CB086A" w:rsidRDefault="00A41E93" w:rsidP="00A41E93">
      <w:pPr>
        <w:spacing w:after="0" w:line="360" w:lineRule="auto"/>
        <w:jc w:val="both"/>
        <w:rPr>
          <w:rFonts w:ascii="Times New Roman" w:eastAsia="Times New Roman" w:hAnsi="Times New Roman"/>
          <w:b/>
          <w:sz w:val="20"/>
          <w:szCs w:val="28"/>
          <w:lang w:eastAsia="ru-RU"/>
        </w:rPr>
      </w:pPr>
    </w:p>
    <w:p w:rsidR="00030013" w:rsidRPr="001C7C52" w:rsidRDefault="00DD207C" w:rsidP="00A41E93">
      <w:pPr>
        <w:spacing w:after="0" w:line="360" w:lineRule="auto"/>
        <w:jc w:val="both"/>
        <w:rPr>
          <w:rFonts w:ascii="Times New Roman" w:eastAsia="Times New Roman" w:hAnsi="Times New Roman"/>
          <w:spacing w:val="-4"/>
          <w:sz w:val="28"/>
          <w:szCs w:val="28"/>
          <w:lang w:eastAsia="ru-RU"/>
        </w:rPr>
      </w:pPr>
      <w:r w:rsidRPr="00DD207C">
        <w:rPr>
          <w:rFonts w:ascii="Times New Roman" w:eastAsia="Times New Roman" w:hAnsi="Times New Roman"/>
          <w:spacing w:val="40"/>
          <w:sz w:val="28"/>
          <w:szCs w:val="28"/>
          <w:lang w:eastAsia="ru-RU"/>
        </w:rPr>
        <w:t>Рисунок</w:t>
      </w:r>
      <w:r w:rsidR="00A41E93" w:rsidRPr="00CB086A">
        <w:rPr>
          <w:rFonts w:ascii="Times New Roman" w:eastAsia="Times New Roman" w:hAnsi="Times New Roman"/>
          <w:sz w:val="28"/>
          <w:szCs w:val="28"/>
          <w:lang w:eastAsia="ru-RU"/>
        </w:rPr>
        <w:t xml:space="preserve"> </w:t>
      </w:r>
      <w:r w:rsidR="00A41E93" w:rsidRPr="00237220">
        <w:rPr>
          <w:rFonts w:ascii="Times New Roman" w:eastAsia="Times New Roman" w:hAnsi="Times New Roman"/>
          <w:sz w:val="28"/>
          <w:szCs w:val="28"/>
          <w:lang w:eastAsia="ru-RU"/>
        </w:rPr>
        <w:t>1</w:t>
      </w:r>
      <w:r w:rsidRPr="00237220">
        <w:rPr>
          <w:rFonts w:ascii="Times New Roman" w:eastAsia="Times New Roman" w:hAnsi="Times New Roman"/>
          <w:sz w:val="28"/>
          <w:szCs w:val="28"/>
          <w:lang w:eastAsia="ru-RU"/>
        </w:rPr>
        <w:t>2</w:t>
      </w:r>
      <w:r w:rsidR="00CD2EDC" w:rsidRPr="00237220">
        <w:rPr>
          <w:rFonts w:ascii="Times New Roman" w:eastAsia="Times New Roman" w:hAnsi="Times New Roman"/>
          <w:sz w:val="28"/>
          <w:szCs w:val="28"/>
          <w:lang w:eastAsia="ru-RU"/>
        </w:rPr>
        <w:t xml:space="preserve"> – </w:t>
      </w:r>
      <w:r w:rsidR="00A41E93" w:rsidRPr="001C7C52">
        <w:rPr>
          <w:rFonts w:ascii="Times New Roman" w:eastAsia="Times New Roman" w:hAnsi="Times New Roman"/>
          <w:spacing w:val="-4"/>
          <w:sz w:val="28"/>
          <w:szCs w:val="28"/>
          <w:lang w:eastAsia="ru-RU"/>
        </w:rPr>
        <w:t>Динамика Т-критерия шейки бедра у больных РА</w:t>
      </w:r>
      <w:r w:rsidR="00237220" w:rsidRPr="001C7C52">
        <w:rPr>
          <w:rFonts w:ascii="Times New Roman" w:eastAsia="Times New Roman" w:hAnsi="Times New Roman"/>
          <w:spacing w:val="-4"/>
          <w:sz w:val="28"/>
          <w:szCs w:val="28"/>
          <w:lang w:eastAsia="ru-RU"/>
        </w:rPr>
        <w:br/>
      </w:r>
      <w:r w:rsidR="00A41E93" w:rsidRPr="001C7C52">
        <w:rPr>
          <w:rFonts w:ascii="Times New Roman" w:eastAsia="Times New Roman" w:hAnsi="Times New Roman"/>
          <w:spacing w:val="-4"/>
          <w:sz w:val="28"/>
          <w:szCs w:val="28"/>
          <w:lang w:eastAsia="ru-RU"/>
        </w:rPr>
        <w:t xml:space="preserve">в зависимости от эффективности </w:t>
      </w:r>
      <w:r w:rsidR="00085C62" w:rsidRPr="001C7C52">
        <w:rPr>
          <w:rFonts w:ascii="Times New Roman" w:eastAsia="Times New Roman" w:hAnsi="Times New Roman"/>
          <w:spacing w:val="-4"/>
          <w:sz w:val="28"/>
          <w:szCs w:val="28"/>
          <w:lang w:eastAsia="ru-RU"/>
        </w:rPr>
        <w:t>комбинированной терапии РТМ и МТХ и монотерапии МТХ</w:t>
      </w:r>
    </w:p>
    <w:p w:rsidR="00030013" w:rsidRPr="00655115" w:rsidRDefault="00030013" w:rsidP="00F71B34">
      <w:pPr>
        <w:spacing w:after="0" w:line="360" w:lineRule="auto"/>
        <w:ind w:firstLine="709"/>
        <w:jc w:val="both"/>
        <w:rPr>
          <w:rFonts w:ascii="Times New Roman" w:eastAsia="Times New Roman" w:hAnsi="Times New Roman"/>
          <w:sz w:val="28"/>
          <w:szCs w:val="28"/>
          <w:lang w:eastAsia="ru-RU"/>
        </w:rPr>
      </w:pPr>
      <w:r w:rsidRPr="00655115">
        <w:rPr>
          <w:rFonts w:ascii="Times New Roman" w:eastAsia="Times New Roman" w:hAnsi="Times New Roman"/>
          <w:sz w:val="28"/>
          <w:szCs w:val="28"/>
          <w:lang w:eastAsia="ru-RU"/>
        </w:rPr>
        <w:lastRenderedPageBreak/>
        <w:t>Установлено, что в группе больных, получавших комбинированную терапию РТМ и МТХ, МПК шейки бедра на фоне терапии возрастала по сравнению с исходными показателями как в подгруппе «ответчиков», так и «неответчиков». В подгруппе «ответчиков» увеличение МПК шейки бедра достигло уровня статистической значимости уже к 12 месяцу терапии (0,7276±0,03 г/см</w:t>
      </w:r>
      <w:r w:rsidRPr="00655115">
        <w:rPr>
          <w:rFonts w:ascii="Times New Roman" w:eastAsia="Times New Roman" w:hAnsi="Times New Roman"/>
          <w:sz w:val="28"/>
          <w:szCs w:val="28"/>
          <w:vertAlign w:val="superscript"/>
          <w:lang w:eastAsia="ru-RU"/>
        </w:rPr>
        <w:t>2</w:t>
      </w:r>
      <w:r w:rsidRPr="00655115">
        <w:rPr>
          <w:rFonts w:ascii="Times New Roman" w:eastAsia="Times New Roman" w:hAnsi="Times New Roman"/>
          <w:sz w:val="28"/>
          <w:szCs w:val="28"/>
          <w:lang w:eastAsia="ru-RU"/>
        </w:rPr>
        <w:t xml:space="preserve">, </w:t>
      </w:r>
      <w:proofErr w:type="gramStart"/>
      <w:r w:rsidRPr="00655115">
        <w:rPr>
          <w:rFonts w:ascii="Times New Roman" w:eastAsia="Times New Roman" w:hAnsi="Times New Roman"/>
          <w:sz w:val="28"/>
          <w:szCs w:val="28"/>
          <w:lang w:eastAsia="ru-RU"/>
        </w:rPr>
        <w:t>р</w:t>
      </w:r>
      <w:proofErr w:type="gramEnd"/>
      <w:r w:rsidRPr="00655115">
        <w:rPr>
          <w:rFonts w:ascii="Times New Roman" w:eastAsia="Times New Roman" w:hAnsi="Times New Roman"/>
          <w:sz w:val="28"/>
          <w:szCs w:val="28"/>
          <w:lang w:eastAsia="ru-RU"/>
        </w:rPr>
        <w:t xml:space="preserve">=0,012) и оставалось достоверно выше исходных значений МПК на протяжении всего последующего периода наблюдения: через 24 месяца </w:t>
      </w:r>
      <w:r w:rsidRPr="00B30134">
        <w:rPr>
          <w:rFonts w:ascii="Times New Roman" w:eastAsia="Times New Roman" w:hAnsi="Times New Roman"/>
          <w:spacing w:val="-4"/>
          <w:sz w:val="28"/>
          <w:szCs w:val="28"/>
          <w:lang w:eastAsia="ru-RU"/>
        </w:rPr>
        <w:t>наблюдения</w:t>
      </w:r>
      <w:r w:rsidR="00CD2EDC" w:rsidRPr="00B30134">
        <w:rPr>
          <w:rFonts w:ascii="Times New Roman" w:eastAsia="Times New Roman" w:hAnsi="Times New Roman"/>
          <w:spacing w:val="-4"/>
          <w:sz w:val="28"/>
          <w:szCs w:val="28"/>
          <w:lang w:eastAsia="ru-RU"/>
        </w:rPr>
        <w:t xml:space="preserve"> – </w:t>
      </w:r>
      <w:r w:rsidRPr="00B30134">
        <w:rPr>
          <w:rFonts w:ascii="Times New Roman" w:eastAsia="Times New Roman" w:hAnsi="Times New Roman"/>
          <w:spacing w:val="-4"/>
          <w:sz w:val="28"/>
          <w:szCs w:val="28"/>
          <w:lang w:eastAsia="ru-RU"/>
        </w:rPr>
        <w:t>0,7312±0,03 г/см</w:t>
      </w:r>
      <w:r w:rsidRPr="00B30134">
        <w:rPr>
          <w:rFonts w:ascii="Times New Roman" w:eastAsia="Times New Roman" w:hAnsi="Times New Roman"/>
          <w:spacing w:val="-4"/>
          <w:sz w:val="28"/>
          <w:szCs w:val="28"/>
          <w:vertAlign w:val="superscript"/>
          <w:lang w:eastAsia="ru-RU"/>
        </w:rPr>
        <w:t>2</w:t>
      </w:r>
      <w:r w:rsidRPr="00B30134">
        <w:rPr>
          <w:rFonts w:ascii="Times New Roman" w:eastAsia="Times New Roman" w:hAnsi="Times New Roman"/>
          <w:spacing w:val="-4"/>
          <w:sz w:val="28"/>
          <w:szCs w:val="28"/>
          <w:lang w:eastAsia="ru-RU"/>
        </w:rPr>
        <w:t xml:space="preserve"> (р=</w:t>
      </w:r>
      <w:r w:rsidRPr="00B30134">
        <w:rPr>
          <w:rFonts w:ascii="Times New Roman" w:hAnsi="Times New Roman"/>
          <w:spacing w:val="-4"/>
          <w:sz w:val="28"/>
          <w:szCs w:val="28"/>
        </w:rPr>
        <w:t xml:space="preserve"> </w:t>
      </w:r>
      <w:r w:rsidRPr="00B30134">
        <w:rPr>
          <w:rFonts w:ascii="Times New Roman" w:eastAsia="Times New Roman" w:hAnsi="Times New Roman"/>
          <w:spacing w:val="-4"/>
          <w:sz w:val="28"/>
          <w:szCs w:val="28"/>
          <w:lang w:eastAsia="ru-RU"/>
        </w:rPr>
        <w:t>0,023), через  36 месяцев</w:t>
      </w:r>
      <w:r w:rsidR="00CD2EDC" w:rsidRPr="00B30134">
        <w:rPr>
          <w:rFonts w:ascii="Times New Roman" w:eastAsia="Times New Roman" w:hAnsi="Times New Roman"/>
          <w:spacing w:val="-4"/>
          <w:sz w:val="28"/>
          <w:szCs w:val="28"/>
          <w:lang w:eastAsia="ru-RU"/>
        </w:rPr>
        <w:t xml:space="preserve"> –</w:t>
      </w:r>
      <w:r w:rsidR="00CD2EDC">
        <w:rPr>
          <w:rFonts w:ascii="Times New Roman" w:eastAsia="Times New Roman" w:hAnsi="Times New Roman"/>
          <w:sz w:val="28"/>
          <w:szCs w:val="28"/>
          <w:lang w:eastAsia="ru-RU"/>
        </w:rPr>
        <w:t xml:space="preserve"> </w:t>
      </w:r>
      <w:r w:rsidRPr="00655115">
        <w:rPr>
          <w:rFonts w:ascii="Times New Roman" w:eastAsia="Times New Roman" w:hAnsi="Times New Roman"/>
          <w:sz w:val="28"/>
          <w:szCs w:val="28"/>
          <w:lang w:eastAsia="ru-RU"/>
        </w:rPr>
        <w:t>0,7919±0,03 г/см</w:t>
      </w:r>
      <w:r w:rsidRPr="00655115">
        <w:rPr>
          <w:rFonts w:ascii="Times New Roman" w:eastAsia="Times New Roman" w:hAnsi="Times New Roman"/>
          <w:sz w:val="28"/>
          <w:szCs w:val="28"/>
          <w:vertAlign w:val="superscript"/>
          <w:lang w:eastAsia="ru-RU"/>
        </w:rPr>
        <w:t>2</w:t>
      </w:r>
      <w:r w:rsidRPr="00655115">
        <w:rPr>
          <w:rFonts w:ascii="Times New Roman" w:eastAsia="Times New Roman" w:hAnsi="Times New Roman"/>
          <w:sz w:val="28"/>
          <w:szCs w:val="28"/>
          <w:lang w:eastAsia="ru-RU"/>
        </w:rPr>
        <w:t xml:space="preserve"> (р=0,0004), через 48 месяцев</w:t>
      </w:r>
      <w:r w:rsidR="00CD2EDC">
        <w:rPr>
          <w:rFonts w:ascii="Times New Roman" w:eastAsia="Times New Roman" w:hAnsi="Times New Roman"/>
          <w:sz w:val="28"/>
          <w:szCs w:val="28"/>
          <w:lang w:eastAsia="ru-RU"/>
        </w:rPr>
        <w:t xml:space="preserve"> – </w:t>
      </w:r>
      <w:r w:rsidRPr="00655115">
        <w:rPr>
          <w:rFonts w:ascii="Times New Roman" w:eastAsia="Times New Roman" w:hAnsi="Times New Roman"/>
          <w:sz w:val="28"/>
          <w:szCs w:val="28"/>
          <w:lang w:eastAsia="ru-RU"/>
        </w:rPr>
        <w:t>0,7957±0,03 г/см</w:t>
      </w:r>
      <w:r w:rsidRPr="00655115">
        <w:rPr>
          <w:rFonts w:ascii="Times New Roman" w:eastAsia="Times New Roman" w:hAnsi="Times New Roman"/>
          <w:sz w:val="28"/>
          <w:szCs w:val="28"/>
          <w:vertAlign w:val="superscript"/>
          <w:lang w:eastAsia="ru-RU"/>
        </w:rPr>
        <w:t>2</w:t>
      </w:r>
      <w:r w:rsidRPr="00655115">
        <w:rPr>
          <w:rFonts w:ascii="Times New Roman" w:eastAsia="Times New Roman" w:hAnsi="Times New Roman"/>
          <w:sz w:val="28"/>
          <w:szCs w:val="28"/>
          <w:lang w:eastAsia="ru-RU"/>
        </w:rPr>
        <w:t xml:space="preserve"> (</w:t>
      </w:r>
      <w:proofErr w:type="gramStart"/>
      <w:r w:rsidRPr="00655115">
        <w:rPr>
          <w:rFonts w:ascii="Times New Roman" w:eastAsia="Times New Roman" w:hAnsi="Times New Roman"/>
          <w:sz w:val="28"/>
          <w:szCs w:val="28"/>
          <w:lang w:eastAsia="ru-RU"/>
        </w:rPr>
        <w:t>р</w:t>
      </w:r>
      <w:proofErr w:type="gramEnd"/>
      <w:r w:rsidRPr="00655115">
        <w:rPr>
          <w:rFonts w:ascii="Times New Roman" w:eastAsia="Times New Roman" w:hAnsi="Times New Roman"/>
          <w:sz w:val="28"/>
          <w:szCs w:val="28"/>
          <w:lang w:eastAsia="ru-RU"/>
        </w:rPr>
        <w:t>=0,002). У «неответчиков» группы 1 увеличение МПК шейки бедра достигло уровня статистической значимости лишь к 36 месяцу наблюдения (0,8537±0,02</w:t>
      </w:r>
      <w:r w:rsidR="00B30134">
        <w:rPr>
          <w:rFonts w:ascii="Times New Roman" w:eastAsia="Times New Roman" w:hAnsi="Times New Roman"/>
          <w:sz w:val="28"/>
          <w:szCs w:val="28"/>
          <w:lang w:eastAsia="ru-RU"/>
        </w:rPr>
        <w:t xml:space="preserve"> </w:t>
      </w:r>
      <w:r w:rsidRPr="00655115">
        <w:rPr>
          <w:rFonts w:ascii="Times New Roman" w:eastAsia="Times New Roman" w:hAnsi="Times New Roman"/>
          <w:sz w:val="28"/>
          <w:szCs w:val="28"/>
          <w:lang w:eastAsia="ru-RU"/>
        </w:rPr>
        <w:t>г/см</w:t>
      </w:r>
      <w:r w:rsidRPr="00655115">
        <w:rPr>
          <w:rFonts w:ascii="Times New Roman" w:eastAsia="Times New Roman" w:hAnsi="Times New Roman"/>
          <w:sz w:val="28"/>
          <w:szCs w:val="28"/>
          <w:vertAlign w:val="superscript"/>
          <w:lang w:eastAsia="ru-RU"/>
        </w:rPr>
        <w:t>2</w:t>
      </w:r>
      <w:r w:rsidRPr="00655115">
        <w:rPr>
          <w:rFonts w:ascii="Times New Roman" w:eastAsia="Times New Roman" w:hAnsi="Times New Roman"/>
          <w:sz w:val="28"/>
          <w:szCs w:val="28"/>
          <w:lang w:eastAsia="ru-RU"/>
        </w:rPr>
        <w:t xml:space="preserve">, </w:t>
      </w:r>
      <w:proofErr w:type="gramStart"/>
      <w:r w:rsidRPr="00655115">
        <w:rPr>
          <w:rFonts w:ascii="Times New Roman" w:eastAsia="Times New Roman" w:hAnsi="Times New Roman"/>
          <w:sz w:val="28"/>
          <w:szCs w:val="28"/>
          <w:lang w:eastAsia="ru-RU"/>
        </w:rPr>
        <w:t>р</w:t>
      </w:r>
      <w:proofErr w:type="gramEnd"/>
      <w:r w:rsidRPr="00655115">
        <w:rPr>
          <w:rFonts w:ascii="Times New Roman" w:eastAsia="Times New Roman" w:hAnsi="Times New Roman"/>
          <w:sz w:val="28"/>
          <w:szCs w:val="28"/>
          <w:lang w:eastAsia="ru-RU"/>
        </w:rPr>
        <w:t xml:space="preserve">=0,0009). Через 48 месяцев лечения среднее значение МПК шейки бедра </w:t>
      </w:r>
      <w:r w:rsidRPr="00B30134">
        <w:rPr>
          <w:rFonts w:ascii="Times New Roman" w:eastAsia="Times New Roman" w:hAnsi="Times New Roman"/>
          <w:spacing w:val="-4"/>
          <w:sz w:val="28"/>
          <w:szCs w:val="28"/>
          <w:lang w:eastAsia="ru-RU"/>
        </w:rPr>
        <w:t>оставалось статистически значимо выше исходных данных</w:t>
      </w:r>
      <w:r w:rsidRPr="00B30134">
        <w:rPr>
          <w:rFonts w:ascii="Times New Roman" w:hAnsi="Times New Roman"/>
          <w:spacing w:val="-4"/>
          <w:sz w:val="28"/>
          <w:szCs w:val="28"/>
        </w:rPr>
        <w:t xml:space="preserve"> (</w:t>
      </w:r>
      <w:r w:rsidRPr="00B30134">
        <w:rPr>
          <w:rFonts w:ascii="Times New Roman" w:eastAsia="Times New Roman" w:hAnsi="Times New Roman"/>
          <w:spacing w:val="-4"/>
          <w:sz w:val="28"/>
          <w:szCs w:val="28"/>
          <w:lang w:eastAsia="ru-RU"/>
        </w:rPr>
        <w:t>0,8649±0,03</w:t>
      </w:r>
      <w:r w:rsidR="00B30134" w:rsidRPr="00B30134">
        <w:rPr>
          <w:rFonts w:ascii="Times New Roman" w:eastAsia="Times New Roman" w:hAnsi="Times New Roman"/>
          <w:spacing w:val="-4"/>
          <w:sz w:val="28"/>
          <w:szCs w:val="28"/>
          <w:lang w:eastAsia="ru-RU"/>
        </w:rPr>
        <w:t xml:space="preserve"> </w:t>
      </w:r>
      <w:r w:rsidRPr="00B30134">
        <w:rPr>
          <w:rFonts w:ascii="Times New Roman" w:eastAsia="Times New Roman" w:hAnsi="Times New Roman"/>
          <w:spacing w:val="-4"/>
          <w:sz w:val="28"/>
          <w:szCs w:val="28"/>
          <w:lang w:eastAsia="ru-RU"/>
        </w:rPr>
        <w:t>г/см</w:t>
      </w:r>
      <w:r w:rsidRPr="00B30134">
        <w:rPr>
          <w:rFonts w:ascii="Times New Roman" w:eastAsia="Times New Roman" w:hAnsi="Times New Roman"/>
          <w:spacing w:val="-4"/>
          <w:sz w:val="28"/>
          <w:szCs w:val="28"/>
          <w:vertAlign w:val="superscript"/>
          <w:lang w:eastAsia="ru-RU"/>
        </w:rPr>
        <w:t>2</w:t>
      </w:r>
      <w:r w:rsidRPr="00B30134">
        <w:rPr>
          <w:rFonts w:ascii="Times New Roman" w:eastAsia="Times New Roman" w:hAnsi="Times New Roman"/>
          <w:spacing w:val="-4"/>
          <w:sz w:val="28"/>
          <w:szCs w:val="28"/>
          <w:lang w:eastAsia="ru-RU"/>
        </w:rPr>
        <w:t>,</w:t>
      </w:r>
      <w:r w:rsidRPr="00655115">
        <w:rPr>
          <w:rFonts w:ascii="Times New Roman" w:eastAsia="Times New Roman" w:hAnsi="Times New Roman"/>
          <w:sz w:val="28"/>
          <w:szCs w:val="28"/>
          <w:lang w:eastAsia="ru-RU"/>
        </w:rPr>
        <w:t xml:space="preserve"> </w:t>
      </w:r>
      <w:proofErr w:type="gramStart"/>
      <w:r w:rsidRPr="00655115">
        <w:rPr>
          <w:rFonts w:ascii="Times New Roman" w:eastAsia="Times New Roman" w:hAnsi="Times New Roman"/>
          <w:sz w:val="28"/>
          <w:szCs w:val="28"/>
          <w:lang w:eastAsia="ru-RU"/>
        </w:rPr>
        <w:t>р</w:t>
      </w:r>
      <w:proofErr w:type="gramEnd"/>
      <w:r w:rsidRPr="00655115">
        <w:rPr>
          <w:rFonts w:ascii="Times New Roman" w:eastAsia="Times New Roman" w:hAnsi="Times New Roman"/>
          <w:sz w:val="28"/>
          <w:szCs w:val="28"/>
          <w:lang w:eastAsia="ru-RU"/>
        </w:rPr>
        <w:t xml:space="preserve">=0,0044). </w:t>
      </w:r>
    </w:p>
    <w:p w:rsidR="00030013" w:rsidRPr="00655115" w:rsidRDefault="00030013" w:rsidP="00F71B34">
      <w:pPr>
        <w:spacing w:after="0" w:line="360" w:lineRule="auto"/>
        <w:ind w:firstLine="709"/>
        <w:jc w:val="both"/>
        <w:rPr>
          <w:rFonts w:ascii="Times New Roman" w:eastAsia="Times New Roman" w:hAnsi="Times New Roman"/>
          <w:sz w:val="28"/>
          <w:szCs w:val="28"/>
          <w:lang w:eastAsia="ru-RU"/>
        </w:rPr>
      </w:pPr>
      <w:r w:rsidRPr="00655115">
        <w:rPr>
          <w:rFonts w:ascii="Times New Roman" w:eastAsia="Times New Roman" w:hAnsi="Times New Roman"/>
          <w:sz w:val="28"/>
          <w:szCs w:val="28"/>
          <w:lang w:eastAsia="ru-RU"/>
        </w:rPr>
        <w:t>В подгруппе «ответчиков» с монотерапией МТХ снижение средних показателей МПК шейки бедра не достигло уровня статистической значимости на протяжении 48 месяцев наблюдения, тогда как у «неответчиков» МПК достоверно снизилась уже к 12</w:t>
      </w:r>
      <w:r w:rsidR="00B30134">
        <w:rPr>
          <w:rFonts w:ascii="Times New Roman" w:eastAsia="Times New Roman" w:hAnsi="Times New Roman"/>
          <w:sz w:val="28"/>
          <w:szCs w:val="28"/>
          <w:lang w:eastAsia="ru-RU"/>
        </w:rPr>
        <w:t>-му</w:t>
      </w:r>
      <w:r w:rsidRPr="00655115">
        <w:rPr>
          <w:rFonts w:ascii="Times New Roman" w:eastAsia="Times New Roman" w:hAnsi="Times New Roman"/>
          <w:sz w:val="28"/>
          <w:szCs w:val="28"/>
          <w:lang w:eastAsia="ru-RU"/>
        </w:rPr>
        <w:t xml:space="preserve"> месяцу терапии (0,7899±0,02</w:t>
      </w:r>
      <w:r w:rsidR="00B30134">
        <w:rPr>
          <w:rFonts w:ascii="Times New Roman" w:eastAsia="Times New Roman" w:hAnsi="Times New Roman"/>
          <w:sz w:val="28"/>
          <w:szCs w:val="28"/>
          <w:lang w:eastAsia="ru-RU"/>
        </w:rPr>
        <w:t xml:space="preserve"> </w:t>
      </w:r>
      <w:r w:rsidRPr="00655115">
        <w:rPr>
          <w:rFonts w:ascii="Times New Roman" w:eastAsia="Times New Roman" w:hAnsi="Times New Roman"/>
          <w:sz w:val="28"/>
          <w:szCs w:val="28"/>
          <w:lang w:eastAsia="ru-RU"/>
        </w:rPr>
        <w:t>г/см</w:t>
      </w:r>
      <w:r w:rsidRPr="00655115">
        <w:rPr>
          <w:rFonts w:ascii="Times New Roman" w:eastAsia="Times New Roman" w:hAnsi="Times New Roman"/>
          <w:sz w:val="28"/>
          <w:szCs w:val="28"/>
          <w:vertAlign w:val="superscript"/>
          <w:lang w:eastAsia="ru-RU"/>
        </w:rPr>
        <w:t>2</w:t>
      </w:r>
      <w:r w:rsidRPr="00655115">
        <w:rPr>
          <w:rFonts w:ascii="Times New Roman" w:eastAsia="Times New Roman" w:hAnsi="Times New Roman"/>
          <w:sz w:val="28"/>
          <w:szCs w:val="28"/>
          <w:lang w:eastAsia="ru-RU"/>
        </w:rPr>
        <w:t xml:space="preserve">, </w:t>
      </w:r>
      <w:proofErr w:type="gramStart"/>
      <w:r w:rsidRPr="00655115">
        <w:rPr>
          <w:rFonts w:ascii="Times New Roman" w:eastAsia="Times New Roman" w:hAnsi="Times New Roman"/>
          <w:sz w:val="28"/>
          <w:szCs w:val="28"/>
          <w:lang w:eastAsia="ru-RU"/>
        </w:rPr>
        <w:t>р</w:t>
      </w:r>
      <w:proofErr w:type="gramEnd"/>
      <w:r w:rsidRPr="00655115">
        <w:rPr>
          <w:rFonts w:ascii="Times New Roman" w:eastAsia="Times New Roman" w:hAnsi="Times New Roman"/>
          <w:sz w:val="28"/>
          <w:szCs w:val="28"/>
          <w:lang w:eastAsia="ru-RU"/>
        </w:rPr>
        <w:t>=0,0047). Через 24 месяца лечения МПК шейки бедра у «неответчиков» группы 2 составила 0,7804±0,03</w:t>
      </w:r>
      <w:r w:rsidR="00B30134">
        <w:rPr>
          <w:rFonts w:ascii="Times New Roman" w:eastAsia="Times New Roman" w:hAnsi="Times New Roman"/>
          <w:sz w:val="28"/>
          <w:szCs w:val="28"/>
          <w:lang w:eastAsia="ru-RU"/>
        </w:rPr>
        <w:t xml:space="preserve"> </w:t>
      </w:r>
      <w:r w:rsidRPr="00655115">
        <w:rPr>
          <w:rFonts w:ascii="Times New Roman" w:eastAsia="Times New Roman" w:hAnsi="Times New Roman"/>
          <w:sz w:val="28"/>
          <w:szCs w:val="28"/>
          <w:lang w:eastAsia="ru-RU"/>
        </w:rPr>
        <w:t>г/см</w:t>
      </w:r>
      <w:r w:rsidRPr="00655115">
        <w:rPr>
          <w:rFonts w:ascii="Times New Roman" w:eastAsia="Times New Roman" w:hAnsi="Times New Roman"/>
          <w:sz w:val="28"/>
          <w:szCs w:val="28"/>
          <w:vertAlign w:val="superscript"/>
          <w:lang w:eastAsia="ru-RU"/>
        </w:rPr>
        <w:t>2</w:t>
      </w:r>
      <w:r w:rsidRPr="00655115">
        <w:rPr>
          <w:rFonts w:ascii="Times New Roman" w:eastAsia="Times New Roman" w:hAnsi="Times New Roman"/>
          <w:sz w:val="28"/>
          <w:szCs w:val="28"/>
          <w:lang w:eastAsia="ru-RU"/>
        </w:rPr>
        <w:t xml:space="preserve"> (</w:t>
      </w:r>
      <w:proofErr w:type="gramStart"/>
      <w:r w:rsidRPr="00655115">
        <w:rPr>
          <w:rFonts w:ascii="Times New Roman" w:eastAsia="Times New Roman" w:hAnsi="Times New Roman"/>
          <w:sz w:val="28"/>
          <w:szCs w:val="28"/>
          <w:lang w:eastAsia="ru-RU"/>
        </w:rPr>
        <w:t>р</w:t>
      </w:r>
      <w:proofErr w:type="gramEnd"/>
      <w:r w:rsidRPr="00655115">
        <w:rPr>
          <w:rFonts w:ascii="Times New Roman" w:eastAsia="Times New Roman" w:hAnsi="Times New Roman"/>
          <w:sz w:val="28"/>
          <w:szCs w:val="28"/>
          <w:lang w:eastAsia="ru-RU"/>
        </w:rPr>
        <w:t>=0,018), через</w:t>
      </w:r>
      <w:r w:rsidR="00B14E16">
        <w:rPr>
          <w:rFonts w:ascii="Times New Roman" w:eastAsia="Times New Roman" w:hAnsi="Times New Roman"/>
          <w:sz w:val="28"/>
          <w:szCs w:val="28"/>
          <w:lang w:eastAsia="ru-RU"/>
        </w:rPr>
        <w:t xml:space="preserve"> </w:t>
      </w:r>
      <w:r w:rsidRPr="00655115">
        <w:rPr>
          <w:rFonts w:ascii="Times New Roman" w:eastAsia="Times New Roman" w:hAnsi="Times New Roman"/>
          <w:sz w:val="28"/>
          <w:szCs w:val="28"/>
          <w:lang w:eastAsia="ru-RU"/>
        </w:rPr>
        <w:t>36 месяцев − 0,7802±0,03</w:t>
      </w:r>
      <w:r w:rsidR="00B30134">
        <w:rPr>
          <w:rFonts w:ascii="Times New Roman" w:eastAsia="Times New Roman" w:hAnsi="Times New Roman"/>
          <w:sz w:val="28"/>
          <w:szCs w:val="28"/>
          <w:lang w:eastAsia="ru-RU"/>
        </w:rPr>
        <w:t xml:space="preserve"> </w:t>
      </w:r>
      <w:r w:rsidRPr="00655115">
        <w:rPr>
          <w:rFonts w:ascii="Times New Roman" w:eastAsia="Times New Roman" w:hAnsi="Times New Roman"/>
          <w:sz w:val="28"/>
          <w:szCs w:val="28"/>
          <w:lang w:eastAsia="ru-RU"/>
        </w:rPr>
        <w:t>г/см</w:t>
      </w:r>
      <w:r w:rsidRPr="00655115">
        <w:rPr>
          <w:rFonts w:ascii="Times New Roman" w:eastAsia="Times New Roman" w:hAnsi="Times New Roman"/>
          <w:sz w:val="28"/>
          <w:szCs w:val="28"/>
          <w:vertAlign w:val="superscript"/>
          <w:lang w:eastAsia="ru-RU"/>
        </w:rPr>
        <w:t>2</w:t>
      </w:r>
      <w:r w:rsidRPr="00655115">
        <w:rPr>
          <w:rFonts w:ascii="Times New Roman" w:eastAsia="Times New Roman" w:hAnsi="Times New Roman"/>
          <w:sz w:val="28"/>
          <w:szCs w:val="28"/>
          <w:lang w:eastAsia="ru-RU"/>
        </w:rPr>
        <w:t xml:space="preserve"> (р=0,0022), через 48 месяцев − 0,7716±0,03</w:t>
      </w:r>
      <w:r w:rsidR="00B30134">
        <w:rPr>
          <w:rFonts w:ascii="Times New Roman" w:eastAsia="Times New Roman" w:hAnsi="Times New Roman"/>
          <w:sz w:val="28"/>
          <w:szCs w:val="28"/>
          <w:lang w:eastAsia="ru-RU"/>
        </w:rPr>
        <w:t xml:space="preserve"> </w:t>
      </w:r>
      <w:r w:rsidRPr="00655115">
        <w:rPr>
          <w:rFonts w:ascii="Times New Roman" w:eastAsia="Times New Roman" w:hAnsi="Times New Roman"/>
          <w:sz w:val="28"/>
          <w:szCs w:val="28"/>
          <w:lang w:eastAsia="ru-RU"/>
        </w:rPr>
        <w:t>г/см</w:t>
      </w:r>
      <w:r w:rsidRPr="00655115">
        <w:rPr>
          <w:rFonts w:ascii="Times New Roman" w:eastAsia="Times New Roman" w:hAnsi="Times New Roman"/>
          <w:sz w:val="28"/>
          <w:szCs w:val="28"/>
          <w:vertAlign w:val="superscript"/>
          <w:lang w:eastAsia="ru-RU"/>
        </w:rPr>
        <w:t>2</w:t>
      </w:r>
      <w:r w:rsidRPr="00655115">
        <w:rPr>
          <w:rFonts w:ascii="Times New Roman" w:eastAsia="Times New Roman" w:hAnsi="Times New Roman"/>
          <w:sz w:val="28"/>
          <w:szCs w:val="28"/>
          <w:lang w:eastAsia="ru-RU"/>
        </w:rPr>
        <w:t xml:space="preserve"> (р=0,008).</w:t>
      </w:r>
    </w:p>
    <w:p w:rsidR="00030013" w:rsidRPr="00655115" w:rsidRDefault="00030013" w:rsidP="008A20FC">
      <w:pPr>
        <w:spacing w:after="0" w:line="360" w:lineRule="auto"/>
        <w:ind w:firstLine="709"/>
        <w:jc w:val="both"/>
        <w:rPr>
          <w:rFonts w:ascii="Times New Roman" w:eastAsia="Times New Roman" w:hAnsi="Times New Roman"/>
          <w:sz w:val="28"/>
          <w:szCs w:val="28"/>
          <w:lang w:eastAsia="ru-RU"/>
        </w:rPr>
      </w:pPr>
      <w:r w:rsidRPr="00655115">
        <w:rPr>
          <w:rFonts w:ascii="Times New Roman" w:eastAsia="Times New Roman" w:hAnsi="Times New Roman"/>
          <w:sz w:val="28"/>
          <w:szCs w:val="28"/>
          <w:lang w:eastAsia="ru-RU"/>
        </w:rPr>
        <w:t>Аналогичные данные получены и при анализе динамики Т-критерия шейки бедра: у «ответчиков» с монотерапией МТХ Т-критерий оставался стабильным в течение 48 месяцев лечения, в то время как у «неответчиков» данный показатель статистически значимо сн</w:t>
      </w:r>
      <w:r w:rsidR="008A20FC" w:rsidRPr="00655115">
        <w:rPr>
          <w:rFonts w:ascii="Times New Roman" w:eastAsia="Times New Roman" w:hAnsi="Times New Roman"/>
          <w:sz w:val="28"/>
          <w:szCs w:val="28"/>
          <w:lang w:eastAsia="ru-RU"/>
        </w:rPr>
        <w:t xml:space="preserve">изился к 12 месяцу наблюдения. </w:t>
      </w:r>
    </w:p>
    <w:p w:rsidR="00030013" w:rsidRPr="00655115" w:rsidRDefault="00030013" w:rsidP="008A20FC">
      <w:pPr>
        <w:spacing w:after="0" w:line="360" w:lineRule="auto"/>
        <w:ind w:firstLine="708"/>
        <w:jc w:val="both"/>
        <w:rPr>
          <w:rFonts w:ascii="Times New Roman" w:eastAsia="Times New Roman" w:hAnsi="Times New Roman"/>
          <w:sz w:val="28"/>
          <w:szCs w:val="28"/>
          <w:lang w:eastAsia="ru-RU"/>
        </w:rPr>
      </w:pPr>
      <w:r w:rsidRPr="00655115">
        <w:rPr>
          <w:rFonts w:ascii="Times New Roman" w:eastAsia="Times New Roman" w:hAnsi="Times New Roman"/>
          <w:sz w:val="28"/>
          <w:szCs w:val="28"/>
          <w:lang w:eastAsia="ru-RU"/>
        </w:rPr>
        <w:t xml:space="preserve">При анализе динамики денситометрических показателей поясничного отдела позвоночника у больных РА в зависимости от эффективности терапии </w:t>
      </w:r>
      <w:r w:rsidR="00B30134">
        <w:rPr>
          <w:rFonts w:ascii="Times New Roman" w:eastAsia="Times New Roman" w:hAnsi="Times New Roman"/>
          <w:sz w:val="28"/>
          <w:szCs w:val="28"/>
          <w:lang w:eastAsia="ru-RU"/>
        </w:rPr>
        <w:t xml:space="preserve">были </w:t>
      </w:r>
      <w:r w:rsidRPr="00655115">
        <w:rPr>
          <w:rFonts w:ascii="Times New Roman" w:eastAsia="Times New Roman" w:hAnsi="Times New Roman"/>
          <w:sz w:val="28"/>
          <w:szCs w:val="28"/>
          <w:lang w:eastAsia="ru-RU"/>
        </w:rPr>
        <w:t>получены результаты</w:t>
      </w:r>
      <w:r w:rsidR="00B30134">
        <w:rPr>
          <w:rFonts w:ascii="Times New Roman" w:eastAsia="Times New Roman" w:hAnsi="Times New Roman"/>
          <w:sz w:val="28"/>
          <w:szCs w:val="28"/>
          <w:lang w:eastAsia="ru-RU"/>
        </w:rPr>
        <w:t xml:space="preserve">, отраженные в </w:t>
      </w:r>
      <w:r w:rsidRPr="00655115">
        <w:rPr>
          <w:rFonts w:ascii="Times New Roman" w:eastAsia="Times New Roman" w:hAnsi="Times New Roman"/>
          <w:sz w:val="28"/>
          <w:szCs w:val="28"/>
          <w:lang w:eastAsia="ru-RU"/>
        </w:rPr>
        <w:t>рис</w:t>
      </w:r>
      <w:r w:rsidR="00B30134">
        <w:rPr>
          <w:rFonts w:ascii="Times New Roman" w:eastAsia="Times New Roman" w:hAnsi="Times New Roman"/>
          <w:sz w:val="28"/>
          <w:szCs w:val="28"/>
          <w:lang w:eastAsia="ru-RU"/>
        </w:rPr>
        <w:t>унках</w:t>
      </w:r>
      <w:r w:rsidRPr="00655115">
        <w:rPr>
          <w:rFonts w:ascii="Times New Roman" w:eastAsia="Times New Roman" w:hAnsi="Times New Roman"/>
          <w:sz w:val="28"/>
          <w:szCs w:val="28"/>
          <w:lang w:eastAsia="ru-RU"/>
        </w:rPr>
        <w:t xml:space="preserve"> </w:t>
      </w:r>
      <w:r w:rsidR="00B30134">
        <w:rPr>
          <w:rFonts w:ascii="Times New Roman" w:eastAsia="Times New Roman" w:hAnsi="Times New Roman"/>
          <w:sz w:val="28"/>
          <w:szCs w:val="28"/>
          <w:lang w:eastAsia="ru-RU"/>
        </w:rPr>
        <w:t>13</w:t>
      </w:r>
      <w:r w:rsidRPr="00655115">
        <w:rPr>
          <w:rFonts w:ascii="Times New Roman" w:eastAsia="Times New Roman" w:hAnsi="Times New Roman"/>
          <w:sz w:val="28"/>
          <w:szCs w:val="28"/>
          <w:lang w:eastAsia="ru-RU"/>
        </w:rPr>
        <w:t xml:space="preserve"> и </w:t>
      </w:r>
      <w:r w:rsidR="00B30134">
        <w:rPr>
          <w:rFonts w:ascii="Times New Roman" w:eastAsia="Times New Roman" w:hAnsi="Times New Roman"/>
          <w:sz w:val="28"/>
          <w:szCs w:val="28"/>
          <w:lang w:eastAsia="ru-RU"/>
        </w:rPr>
        <w:t>14</w:t>
      </w:r>
      <w:r w:rsidRPr="00655115">
        <w:rPr>
          <w:rFonts w:ascii="Times New Roman" w:eastAsia="Times New Roman" w:hAnsi="Times New Roman"/>
          <w:sz w:val="28"/>
          <w:szCs w:val="28"/>
          <w:lang w:eastAsia="ru-RU"/>
        </w:rPr>
        <w:t>.</w:t>
      </w:r>
    </w:p>
    <w:p w:rsidR="00030013" w:rsidRPr="00655115" w:rsidRDefault="00030013" w:rsidP="00F71B34">
      <w:pPr>
        <w:spacing w:after="0" w:line="360" w:lineRule="auto"/>
        <w:ind w:firstLine="708"/>
        <w:jc w:val="both"/>
        <w:rPr>
          <w:rFonts w:ascii="Times New Roman" w:eastAsia="Times New Roman" w:hAnsi="Times New Roman"/>
          <w:sz w:val="28"/>
          <w:szCs w:val="28"/>
          <w:lang w:eastAsia="ru-RU"/>
        </w:rPr>
      </w:pPr>
      <w:r w:rsidRPr="00655115">
        <w:rPr>
          <w:rFonts w:ascii="Times New Roman" w:eastAsia="Times New Roman" w:hAnsi="Times New Roman"/>
          <w:sz w:val="28"/>
          <w:szCs w:val="28"/>
          <w:lang w:eastAsia="ru-RU"/>
        </w:rPr>
        <w:t xml:space="preserve">У «ответчиков» и  «неответчиков» в группе пациентов, получавших комбинированную терапию РТМ и МТХ, денситометрические показатели </w:t>
      </w:r>
      <w:r w:rsidRPr="00655115">
        <w:rPr>
          <w:rFonts w:ascii="Times New Roman" w:eastAsia="Times New Roman" w:hAnsi="Times New Roman"/>
          <w:sz w:val="28"/>
          <w:szCs w:val="28"/>
          <w:lang w:eastAsia="ru-RU"/>
        </w:rPr>
        <w:lastRenderedPageBreak/>
        <w:t xml:space="preserve">поясничного отдела позвоночника достоверно не менялись на протяжении всего периода наблюдения. </w:t>
      </w:r>
    </w:p>
    <w:p w:rsidR="00030013" w:rsidRPr="00F71B34" w:rsidRDefault="00030013" w:rsidP="00F71B34">
      <w:pPr>
        <w:spacing w:after="0" w:line="360" w:lineRule="auto"/>
        <w:jc w:val="both"/>
        <w:rPr>
          <w:rFonts w:ascii="Times New Roman" w:eastAsia="Times New Roman" w:hAnsi="Times New Roman"/>
          <w:color w:val="FF0000"/>
          <w:sz w:val="28"/>
          <w:szCs w:val="28"/>
          <w:lang w:eastAsia="ru-RU"/>
        </w:rPr>
      </w:pPr>
    </w:p>
    <w:p w:rsidR="00030013" w:rsidRPr="00F71B34" w:rsidRDefault="001A28E5" w:rsidP="00F71B34">
      <w:pPr>
        <w:spacing w:after="0" w:line="360" w:lineRule="auto"/>
        <w:jc w:val="both"/>
        <w:rPr>
          <w:rFonts w:ascii="Times New Roman" w:eastAsia="Times New Roman" w:hAnsi="Times New Roman"/>
          <w:b/>
          <w:color w:val="FF0000"/>
          <w:sz w:val="28"/>
          <w:szCs w:val="28"/>
          <w:lang w:eastAsia="ru-RU"/>
        </w:rPr>
      </w:pPr>
      <w:r>
        <w:rPr>
          <w:rFonts w:ascii="Times New Roman" w:eastAsia="Times New Roman" w:hAnsi="Times New Roman"/>
          <w:b/>
          <w:noProof/>
          <w:color w:val="FF0000"/>
          <w:sz w:val="28"/>
          <w:szCs w:val="28"/>
          <w:lang w:eastAsia="ru-RU"/>
        </w:rPr>
        <w:drawing>
          <wp:inline distT="0" distB="0" distL="0" distR="0" wp14:anchorId="0C638A3C" wp14:editId="61BAC82E">
            <wp:extent cx="6248400" cy="2917371"/>
            <wp:effectExtent l="0" t="0" r="0" b="0"/>
            <wp:docPr id="10"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0013" w:rsidRPr="00CB086A" w:rsidRDefault="00030013" w:rsidP="00F71B34">
      <w:pPr>
        <w:spacing w:after="0" w:line="360" w:lineRule="auto"/>
        <w:jc w:val="both"/>
        <w:rPr>
          <w:rFonts w:ascii="Times New Roman" w:eastAsia="Times New Roman" w:hAnsi="Times New Roman"/>
          <w:i/>
          <w:sz w:val="28"/>
          <w:szCs w:val="28"/>
          <w:lang w:eastAsia="ru-RU"/>
        </w:rPr>
      </w:pPr>
      <w:r w:rsidRPr="00CB086A">
        <w:rPr>
          <w:rFonts w:ascii="Times New Roman" w:eastAsia="Times New Roman" w:hAnsi="Times New Roman"/>
          <w:i/>
          <w:sz w:val="28"/>
          <w:szCs w:val="28"/>
          <w:lang w:eastAsia="ru-RU"/>
        </w:rPr>
        <w:t>* p&lt;0,05 по сравнению с исходными показателями.</w:t>
      </w:r>
    </w:p>
    <w:p w:rsidR="00030013" w:rsidRPr="00CB086A" w:rsidRDefault="00030013" w:rsidP="00F71B34">
      <w:pPr>
        <w:spacing w:after="0" w:line="360" w:lineRule="auto"/>
        <w:jc w:val="both"/>
        <w:rPr>
          <w:rFonts w:ascii="Times New Roman" w:eastAsia="Times New Roman" w:hAnsi="Times New Roman"/>
          <w:b/>
          <w:sz w:val="28"/>
          <w:szCs w:val="28"/>
          <w:lang w:eastAsia="ru-RU"/>
        </w:rPr>
      </w:pPr>
    </w:p>
    <w:p w:rsidR="00030013" w:rsidRDefault="00030013" w:rsidP="00F71B34">
      <w:pPr>
        <w:spacing w:after="0" w:line="360" w:lineRule="auto"/>
        <w:jc w:val="both"/>
        <w:rPr>
          <w:rFonts w:ascii="Times New Roman" w:eastAsia="Times New Roman" w:hAnsi="Times New Roman"/>
          <w:sz w:val="28"/>
          <w:szCs w:val="28"/>
          <w:lang w:eastAsia="ru-RU"/>
        </w:rPr>
      </w:pPr>
      <w:r w:rsidRPr="00B30134">
        <w:rPr>
          <w:rFonts w:ascii="Times New Roman" w:eastAsia="Times New Roman" w:hAnsi="Times New Roman"/>
          <w:spacing w:val="40"/>
          <w:sz w:val="28"/>
          <w:szCs w:val="28"/>
          <w:lang w:eastAsia="ru-RU"/>
        </w:rPr>
        <w:t>Рисунок</w:t>
      </w:r>
      <w:r w:rsidRPr="00CB086A">
        <w:rPr>
          <w:rFonts w:ascii="Times New Roman" w:eastAsia="Times New Roman" w:hAnsi="Times New Roman"/>
          <w:sz w:val="28"/>
          <w:szCs w:val="28"/>
          <w:lang w:eastAsia="ru-RU"/>
        </w:rPr>
        <w:t xml:space="preserve"> </w:t>
      </w:r>
      <w:r w:rsidR="00B30134">
        <w:rPr>
          <w:rFonts w:ascii="Times New Roman" w:eastAsia="Times New Roman" w:hAnsi="Times New Roman"/>
          <w:sz w:val="28"/>
          <w:szCs w:val="28"/>
          <w:lang w:eastAsia="ru-RU"/>
        </w:rPr>
        <w:t>13</w:t>
      </w:r>
      <w:r w:rsidR="00CD2EDC">
        <w:rPr>
          <w:rFonts w:ascii="Times New Roman" w:eastAsia="Times New Roman" w:hAnsi="Times New Roman"/>
          <w:sz w:val="28"/>
          <w:szCs w:val="28"/>
          <w:lang w:eastAsia="ru-RU"/>
        </w:rPr>
        <w:t xml:space="preserve"> – </w:t>
      </w:r>
      <w:r w:rsidRPr="00CB086A">
        <w:rPr>
          <w:rFonts w:ascii="Times New Roman" w:eastAsia="Times New Roman" w:hAnsi="Times New Roman"/>
          <w:sz w:val="28"/>
          <w:szCs w:val="28"/>
          <w:lang w:eastAsia="ru-RU"/>
        </w:rPr>
        <w:t xml:space="preserve">Динамика МПК поясничного отдела позвоночника у больных РА в зависимости от эффективности </w:t>
      </w:r>
      <w:r w:rsidR="00085C62">
        <w:rPr>
          <w:rFonts w:ascii="Times New Roman" w:eastAsia="Times New Roman" w:hAnsi="Times New Roman"/>
          <w:sz w:val="28"/>
          <w:szCs w:val="28"/>
          <w:lang w:eastAsia="ru-RU"/>
        </w:rPr>
        <w:t xml:space="preserve">комбинированной </w:t>
      </w:r>
      <w:r w:rsidR="00085C62" w:rsidRPr="00F71B34">
        <w:rPr>
          <w:rFonts w:ascii="Times New Roman" w:eastAsia="Times New Roman" w:hAnsi="Times New Roman"/>
          <w:sz w:val="28"/>
          <w:szCs w:val="28"/>
          <w:lang w:eastAsia="ru-RU"/>
        </w:rPr>
        <w:t>терапии</w:t>
      </w:r>
      <w:r w:rsidR="00085C62" w:rsidRPr="00085C62">
        <w:rPr>
          <w:rFonts w:ascii="Times New Roman" w:eastAsia="Times New Roman" w:hAnsi="Times New Roman"/>
          <w:sz w:val="28"/>
          <w:szCs w:val="28"/>
          <w:lang w:eastAsia="ru-RU"/>
        </w:rPr>
        <w:t xml:space="preserve"> </w:t>
      </w:r>
      <w:r w:rsidR="00085C62">
        <w:rPr>
          <w:rFonts w:ascii="Times New Roman" w:eastAsia="Times New Roman" w:hAnsi="Times New Roman"/>
          <w:sz w:val="28"/>
          <w:szCs w:val="28"/>
          <w:lang w:eastAsia="ru-RU"/>
        </w:rPr>
        <w:t>РТМ и МТХ и монотерапии МТХ</w:t>
      </w:r>
    </w:p>
    <w:p w:rsidR="00085C62" w:rsidRPr="00CB086A" w:rsidRDefault="00085C62" w:rsidP="00F71B34">
      <w:pPr>
        <w:spacing w:after="0" w:line="360" w:lineRule="auto"/>
        <w:jc w:val="both"/>
        <w:rPr>
          <w:rFonts w:ascii="Times New Roman" w:eastAsia="Times New Roman" w:hAnsi="Times New Roman"/>
          <w:sz w:val="28"/>
          <w:szCs w:val="28"/>
          <w:lang w:eastAsia="ru-RU"/>
        </w:rPr>
      </w:pPr>
    </w:p>
    <w:p w:rsidR="00085C62" w:rsidRPr="00655115" w:rsidRDefault="00030013" w:rsidP="00085C62">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b/>
          <w:color w:val="FF0000"/>
          <w:sz w:val="28"/>
          <w:szCs w:val="28"/>
          <w:lang w:eastAsia="ru-RU"/>
        </w:rPr>
        <w:tab/>
      </w:r>
      <w:r w:rsidR="00085C62" w:rsidRPr="00655115">
        <w:rPr>
          <w:rFonts w:ascii="Times New Roman" w:eastAsia="Times New Roman" w:hAnsi="Times New Roman"/>
          <w:sz w:val="28"/>
          <w:szCs w:val="28"/>
          <w:lang w:eastAsia="ru-RU"/>
        </w:rPr>
        <w:t>В группе с монотерапией МТХ у «ответчиков» показатели МПК и</w:t>
      </w:r>
      <w:r w:rsidR="00085C62">
        <w:rPr>
          <w:rFonts w:ascii="Times New Roman" w:eastAsia="Times New Roman" w:hAnsi="Times New Roman"/>
          <w:sz w:val="28"/>
          <w:szCs w:val="28"/>
          <w:lang w:eastAsia="ru-RU"/>
        </w:rPr>
        <w:br/>
      </w:r>
      <w:r w:rsidR="00085C62" w:rsidRPr="00655115">
        <w:rPr>
          <w:rFonts w:ascii="Times New Roman" w:eastAsia="Times New Roman" w:hAnsi="Times New Roman"/>
          <w:sz w:val="28"/>
          <w:szCs w:val="28"/>
          <w:lang w:eastAsia="ru-RU"/>
        </w:rPr>
        <w:t>Т-критерия поясничного отдела позвоночника оставались стабильными на протяжении всего периода наблюдения в отличие от «неответчиков» данной группы, у которых зарегистрировано статистически значимое снижение МПК позвоночника относительно исходных показателей через 36 месяцев терапии (0,9211±0,02 г/см</w:t>
      </w:r>
      <w:r w:rsidR="00085C62" w:rsidRPr="00655115">
        <w:rPr>
          <w:rFonts w:ascii="Times New Roman" w:eastAsia="Times New Roman" w:hAnsi="Times New Roman"/>
          <w:sz w:val="28"/>
          <w:szCs w:val="28"/>
          <w:vertAlign w:val="superscript"/>
          <w:lang w:eastAsia="ru-RU"/>
        </w:rPr>
        <w:t>2</w:t>
      </w:r>
      <w:r w:rsidR="00085C62" w:rsidRPr="00655115">
        <w:rPr>
          <w:rFonts w:ascii="Times New Roman" w:eastAsia="Times New Roman" w:hAnsi="Times New Roman"/>
          <w:sz w:val="28"/>
          <w:szCs w:val="28"/>
          <w:lang w:eastAsia="ru-RU"/>
        </w:rPr>
        <w:t xml:space="preserve">, </w:t>
      </w:r>
      <w:proofErr w:type="gramStart"/>
      <w:r w:rsidR="00085C62" w:rsidRPr="00655115">
        <w:rPr>
          <w:rFonts w:ascii="Times New Roman" w:eastAsia="Times New Roman" w:hAnsi="Times New Roman"/>
          <w:sz w:val="28"/>
          <w:szCs w:val="28"/>
          <w:lang w:eastAsia="ru-RU"/>
        </w:rPr>
        <w:t>р</w:t>
      </w:r>
      <w:proofErr w:type="gramEnd"/>
      <w:r w:rsidR="00085C62" w:rsidRPr="00655115">
        <w:rPr>
          <w:rFonts w:ascii="Times New Roman" w:eastAsia="Times New Roman" w:hAnsi="Times New Roman"/>
          <w:sz w:val="28"/>
          <w:szCs w:val="28"/>
          <w:lang w:eastAsia="ru-RU"/>
        </w:rPr>
        <w:t>=0,0006), через 48 месяцев (0,9005±0,03 г/см</w:t>
      </w:r>
      <w:r w:rsidR="00085C62" w:rsidRPr="00655115">
        <w:rPr>
          <w:rFonts w:ascii="Times New Roman" w:eastAsia="Times New Roman" w:hAnsi="Times New Roman"/>
          <w:sz w:val="28"/>
          <w:szCs w:val="28"/>
          <w:vertAlign w:val="superscript"/>
          <w:lang w:eastAsia="ru-RU"/>
        </w:rPr>
        <w:t>2</w:t>
      </w:r>
      <w:r w:rsidR="00085C62" w:rsidRPr="00655115">
        <w:rPr>
          <w:rFonts w:ascii="Times New Roman" w:eastAsia="Times New Roman" w:hAnsi="Times New Roman"/>
          <w:sz w:val="28"/>
          <w:szCs w:val="28"/>
          <w:lang w:eastAsia="ru-RU"/>
        </w:rPr>
        <w:t>, р=0,005). Аналогичные данные получены и при анализе динамики Т-критерия поясничного отдела у «неответчиков» группы 2.</w:t>
      </w:r>
    </w:p>
    <w:p w:rsidR="00030013" w:rsidRPr="00F71B34" w:rsidRDefault="00030013" w:rsidP="00F71B34">
      <w:pPr>
        <w:spacing w:after="0" w:line="360" w:lineRule="auto"/>
        <w:jc w:val="both"/>
        <w:rPr>
          <w:rFonts w:ascii="Times New Roman" w:eastAsia="Times New Roman" w:hAnsi="Times New Roman"/>
          <w:b/>
          <w:color w:val="FF0000"/>
          <w:sz w:val="28"/>
          <w:szCs w:val="28"/>
          <w:lang w:eastAsia="ru-RU"/>
        </w:rPr>
      </w:pPr>
    </w:p>
    <w:p w:rsidR="00030013" w:rsidRPr="00F71B34" w:rsidRDefault="001A28E5" w:rsidP="00F71B34">
      <w:pPr>
        <w:spacing w:after="0" w:line="360" w:lineRule="auto"/>
        <w:jc w:val="both"/>
        <w:rPr>
          <w:rFonts w:ascii="Times New Roman" w:eastAsia="Times New Roman" w:hAnsi="Times New Roman"/>
          <w:b/>
          <w:color w:val="FF0000"/>
          <w:sz w:val="28"/>
          <w:szCs w:val="28"/>
          <w:lang w:eastAsia="ru-RU"/>
        </w:rPr>
      </w:pPr>
      <w:r>
        <w:rPr>
          <w:rFonts w:ascii="Times New Roman" w:eastAsia="Times New Roman" w:hAnsi="Times New Roman"/>
          <w:b/>
          <w:noProof/>
          <w:color w:val="FF0000"/>
          <w:sz w:val="28"/>
          <w:szCs w:val="28"/>
          <w:lang w:eastAsia="ru-RU"/>
        </w:rPr>
        <w:lastRenderedPageBreak/>
        <w:drawing>
          <wp:inline distT="0" distB="0" distL="0" distR="0">
            <wp:extent cx="6313715" cy="2917372"/>
            <wp:effectExtent l="0" t="0" r="0" b="0"/>
            <wp:docPr id="11"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0013" w:rsidRPr="00F71B34" w:rsidRDefault="00030013" w:rsidP="00F71B34">
      <w:pPr>
        <w:spacing w:after="0" w:line="360" w:lineRule="auto"/>
        <w:jc w:val="both"/>
        <w:rPr>
          <w:rFonts w:ascii="Times New Roman" w:eastAsia="Times New Roman" w:hAnsi="Times New Roman"/>
          <w:i/>
          <w:sz w:val="28"/>
          <w:szCs w:val="28"/>
          <w:lang w:eastAsia="ru-RU"/>
        </w:rPr>
      </w:pPr>
      <w:r w:rsidRPr="00F71B34">
        <w:rPr>
          <w:rFonts w:ascii="Times New Roman" w:eastAsia="Times New Roman" w:hAnsi="Times New Roman"/>
          <w:i/>
          <w:sz w:val="28"/>
          <w:szCs w:val="28"/>
          <w:lang w:eastAsia="ru-RU"/>
        </w:rPr>
        <w:t>* p&lt;0,05 по сравнению с исходными показателями</w:t>
      </w:r>
      <w:r w:rsidR="00B30134">
        <w:rPr>
          <w:rFonts w:ascii="Times New Roman" w:eastAsia="Times New Roman" w:hAnsi="Times New Roman"/>
          <w:i/>
          <w:sz w:val="28"/>
          <w:szCs w:val="28"/>
          <w:lang w:eastAsia="ru-RU"/>
        </w:rPr>
        <w:t>.</w:t>
      </w:r>
    </w:p>
    <w:p w:rsidR="00030013" w:rsidRPr="002A6EF8" w:rsidRDefault="00030013" w:rsidP="00F71B34">
      <w:pPr>
        <w:spacing w:after="0" w:line="360" w:lineRule="auto"/>
        <w:jc w:val="both"/>
        <w:rPr>
          <w:rFonts w:ascii="Times New Roman" w:eastAsia="Times New Roman" w:hAnsi="Times New Roman"/>
          <w:b/>
          <w:color w:val="FF0000"/>
          <w:sz w:val="16"/>
          <w:szCs w:val="28"/>
          <w:lang w:eastAsia="ru-RU"/>
        </w:rPr>
      </w:pPr>
    </w:p>
    <w:p w:rsidR="00030013" w:rsidRPr="00F71B34" w:rsidRDefault="00B30134" w:rsidP="00F71B34">
      <w:pPr>
        <w:spacing w:after="0" w:line="360" w:lineRule="auto"/>
        <w:jc w:val="both"/>
        <w:rPr>
          <w:rFonts w:ascii="Times New Roman" w:eastAsia="Times New Roman" w:hAnsi="Times New Roman"/>
          <w:sz w:val="28"/>
          <w:szCs w:val="28"/>
          <w:lang w:eastAsia="ru-RU"/>
        </w:rPr>
      </w:pPr>
      <w:r w:rsidRPr="00B30134">
        <w:rPr>
          <w:rFonts w:ascii="Times New Roman" w:eastAsia="Times New Roman" w:hAnsi="Times New Roman"/>
          <w:spacing w:val="40"/>
          <w:sz w:val="28"/>
          <w:szCs w:val="28"/>
          <w:lang w:eastAsia="ru-RU"/>
        </w:rPr>
        <w:t>Рисунок</w:t>
      </w:r>
      <w:r w:rsidR="00030013" w:rsidRPr="00F71B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14</w:t>
      </w:r>
      <w:r w:rsidR="00CD2EDC">
        <w:rPr>
          <w:rFonts w:ascii="Times New Roman" w:eastAsia="Times New Roman" w:hAnsi="Times New Roman"/>
          <w:sz w:val="28"/>
          <w:szCs w:val="28"/>
          <w:lang w:eastAsia="ru-RU"/>
        </w:rPr>
        <w:t xml:space="preserve"> – </w:t>
      </w:r>
      <w:r w:rsidR="00030013" w:rsidRPr="00F71B34">
        <w:rPr>
          <w:rFonts w:ascii="Times New Roman" w:eastAsia="Times New Roman" w:hAnsi="Times New Roman"/>
          <w:sz w:val="28"/>
          <w:szCs w:val="28"/>
          <w:lang w:eastAsia="ru-RU"/>
        </w:rPr>
        <w:t>Динамика Т-критерия поясничного отдела позвоночника</w:t>
      </w:r>
      <w:r>
        <w:rPr>
          <w:rFonts w:ascii="Times New Roman" w:eastAsia="Times New Roman" w:hAnsi="Times New Roman"/>
          <w:sz w:val="28"/>
          <w:szCs w:val="28"/>
          <w:lang w:eastAsia="ru-RU"/>
        </w:rPr>
        <w:br/>
      </w:r>
      <w:r w:rsidR="00030013" w:rsidRPr="00F71B34">
        <w:rPr>
          <w:rFonts w:ascii="Times New Roman" w:eastAsia="Times New Roman" w:hAnsi="Times New Roman"/>
          <w:sz w:val="28"/>
          <w:szCs w:val="28"/>
          <w:lang w:eastAsia="ru-RU"/>
        </w:rPr>
        <w:t xml:space="preserve">у больных РА в зависимости от эффективности </w:t>
      </w:r>
      <w:r w:rsidR="00085C62">
        <w:rPr>
          <w:rFonts w:ascii="Times New Roman" w:eastAsia="Times New Roman" w:hAnsi="Times New Roman"/>
          <w:sz w:val="28"/>
          <w:szCs w:val="28"/>
          <w:lang w:eastAsia="ru-RU"/>
        </w:rPr>
        <w:t xml:space="preserve">комбинированной </w:t>
      </w:r>
      <w:r w:rsidR="00085C62" w:rsidRPr="00F71B34">
        <w:rPr>
          <w:rFonts w:ascii="Times New Roman" w:eastAsia="Times New Roman" w:hAnsi="Times New Roman"/>
          <w:sz w:val="28"/>
          <w:szCs w:val="28"/>
          <w:lang w:eastAsia="ru-RU"/>
        </w:rPr>
        <w:t>терапии</w:t>
      </w:r>
      <w:r w:rsidR="00085C62" w:rsidRPr="00085C62">
        <w:rPr>
          <w:rFonts w:ascii="Times New Roman" w:eastAsia="Times New Roman" w:hAnsi="Times New Roman"/>
          <w:sz w:val="28"/>
          <w:szCs w:val="28"/>
          <w:lang w:eastAsia="ru-RU"/>
        </w:rPr>
        <w:t xml:space="preserve"> </w:t>
      </w:r>
      <w:r w:rsidR="00085C62">
        <w:rPr>
          <w:rFonts w:ascii="Times New Roman" w:eastAsia="Times New Roman" w:hAnsi="Times New Roman"/>
          <w:sz w:val="28"/>
          <w:szCs w:val="28"/>
          <w:lang w:eastAsia="ru-RU"/>
        </w:rPr>
        <w:t>РТМ и МТХ и монотерапии МТХ</w:t>
      </w:r>
    </w:p>
    <w:p w:rsidR="00030013" w:rsidRPr="00654A6C" w:rsidRDefault="00030013" w:rsidP="00F71B34">
      <w:pPr>
        <w:spacing w:after="0" w:line="360" w:lineRule="auto"/>
        <w:jc w:val="both"/>
        <w:rPr>
          <w:rFonts w:ascii="Times New Roman" w:eastAsia="Times New Roman" w:hAnsi="Times New Roman"/>
          <w:color w:val="4F81BD"/>
          <w:sz w:val="28"/>
          <w:szCs w:val="28"/>
          <w:lang w:eastAsia="ru-RU"/>
        </w:rPr>
      </w:pPr>
    </w:p>
    <w:p w:rsidR="00030013" w:rsidRPr="00655115" w:rsidRDefault="00030013" w:rsidP="00F71B34">
      <w:pPr>
        <w:spacing w:after="0" w:line="360" w:lineRule="auto"/>
        <w:ind w:firstLine="708"/>
        <w:jc w:val="both"/>
        <w:rPr>
          <w:rFonts w:ascii="Times New Roman" w:eastAsia="Times New Roman" w:hAnsi="Times New Roman"/>
          <w:sz w:val="28"/>
          <w:szCs w:val="28"/>
          <w:lang w:eastAsia="ru-RU"/>
        </w:rPr>
      </w:pPr>
      <w:r w:rsidRPr="00655115">
        <w:rPr>
          <w:rFonts w:ascii="Times New Roman" w:eastAsia="Times New Roman" w:hAnsi="Times New Roman"/>
          <w:sz w:val="28"/>
          <w:szCs w:val="28"/>
          <w:lang w:eastAsia="ru-RU"/>
        </w:rPr>
        <w:t>Таким образом, у больных с комбинированной терапией РТМ и МТХ положительная динамика МПК и Т-критерия шейки бедра в подгруппе «ответчиков» зарегистрирована уже к 12</w:t>
      </w:r>
      <w:r w:rsidR="00B30134">
        <w:rPr>
          <w:rFonts w:ascii="Times New Roman" w:eastAsia="Times New Roman" w:hAnsi="Times New Roman"/>
          <w:sz w:val="28"/>
          <w:szCs w:val="28"/>
          <w:lang w:eastAsia="ru-RU"/>
        </w:rPr>
        <w:t>-му</w:t>
      </w:r>
      <w:r w:rsidRPr="00655115">
        <w:rPr>
          <w:rFonts w:ascii="Times New Roman" w:eastAsia="Times New Roman" w:hAnsi="Times New Roman"/>
          <w:sz w:val="28"/>
          <w:szCs w:val="28"/>
          <w:lang w:eastAsia="ru-RU"/>
        </w:rPr>
        <w:t xml:space="preserve"> месяцу наблюдения, тогда как в подгруппе «неответчиков»</w:t>
      </w:r>
      <w:r w:rsidR="00CD2EDC">
        <w:rPr>
          <w:rFonts w:ascii="Times New Roman" w:eastAsia="Times New Roman" w:hAnsi="Times New Roman"/>
          <w:sz w:val="28"/>
          <w:szCs w:val="28"/>
          <w:lang w:eastAsia="ru-RU"/>
        </w:rPr>
        <w:t xml:space="preserve"> – </w:t>
      </w:r>
      <w:r w:rsidRPr="00655115">
        <w:rPr>
          <w:rFonts w:ascii="Times New Roman" w:eastAsia="Times New Roman" w:hAnsi="Times New Roman"/>
          <w:sz w:val="28"/>
          <w:szCs w:val="28"/>
          <w:lang w:eastAsia="ru-RU"/>
        </w:rPr>
        <w:t>лишь к 36</w:t>
      </w:r>
      <w:r w:rsidR="00B30134">
        <w:rPr>
          <w:rFonts w:ascii="Times New Roman" w:eastAsia="Times New Roman" w:hAnsi="Times New Roman"/>
          <w:sz w:val="28"/>
          <w:szCs w:val="28"/>
          <w:lang w:eastAsia="ru-RU"/>
        </w:rPr>
        <w:t>-му</w:t>
      </w:r>
      <w:r w:rsidRPr="00655115">
        <w:rPr>
          <w:rFonts w:ascii="Times New Roman" w:eastAsia="Times New Roman" w:hAnsi="Times New Roman"/>
          <w:sz w:val="28"/>
          <w:szCs w:val="28"/>
          <w:lang w:eastAsia="ru-RU"/>
        </w:rPr>
        <w:t xml:space="preserve"> месяцу терапии. Данные результаты позволяют предположить, что для накопления положительного </w:t>
      </w:r>
      <w:r w:rsidR="00A41E93" w:rsidRPr="00655115">
        <w:rPr>
          <w:rFonts w:ascii="Times New Roman" w:eastAsia="Times New Roman" w:hAnsi="Times New Roman"/>
          <w:sz w:val="28"/>
          <w:szCs w:val="28"/>
          <w:lang w:eastAsia="ru-RU"/>
        </w:rPr>
        <w:t xml:space="preserve">антирезорбтивного </w:t>
      </w:r>
      <w:r w:rsidRPr="00655115">
        <w:rPr>
          <w:rFonts w:ascii="Times New Roman" w:eastAsia="Times New Roman" w:hAnsi="Times New Roman"/>
          <w:sz w:val="28"/>
          <w:szCs w:val="28"/>
          <w:lang w:eastAsia="ru-RU"/>
        </w:rPr>
        <w:t>эффекта продолжительность терапии РТМ должна составлять не менее 36 месяцев.</w:t>
      </w:r>
    </w:p>
    <w:p w:rsidR="00030013" w:rsidRPr="00655115" w:rsidRDefault="00030013" w:rsidP="00F71B34">
      <w:pPr>
        <w:spacing w:after="0" w:line="360" w:lineRule="auto"/>
        <w:jc w:val="both"/>
        <w:rPr>
          <w:rFonts w:ascii="Times New Roman" w:eastAsia="Times New Roman" w:hAnsi="Times New Roman"/>
          <w:sz w:val="28"/>
          <w:szCs w:val="28"/>
          <w:lang w:eastAsia="ru-RU"/>
        </w:rPr>
      </w:pPr>
      <w:r w:rsidRPr="00655115">
        <w:rPr>
          <w:rFonts w:ascii="Times New Roman" w:eastAsia="Times New Roman" w:hAnsi="Times New Roman"/>
          <w:sz w:val="28"/>
          <w:szCs w:val="28"/>
          <w:lang w:eastAsia="ru-RU"/>
        </w:rPr>
        <w:t xml:space="preserve"> </w:t>
      </w:r>
      <w:r w:rsidRPr="00655115">
        <w:rPr>
          <w:rFonts w:ascii="Times New Roman" w:eastAsia="Times New Roman" w:hAnsi="Times New Roman"/>
          <w:sz w:val="28"/>
          <w:szCs w:val="28"/>
          <w:lang w:eastAsia="ru-RU"/>
        </w:rPr>
        <w:tab/>
        <w:t xml:space="preserve">При анализе динамики МПК и Т-критерия поясничного отдела позвоночника установлено, что комбинированная терапия РТМ и МТХ не оказывает негативного влияния на </w:t>
      </w:r>
      <w:r w:rsidR="00A41E93" w:rsidRPr="00655115">
        <w:rPr>
          <w:rFonts w:ascii="Times New Roman" w:eastAsia="Times New Roman" w:hAnsi="Times New Roman"/>
          <w:sz w:val="28"/>
          <w:szCs w:val="28"/>
          <w:lang w:eastAsia="ru-RU"/>
        </w:rPr>
        <w:t>кость</w:t>
      </w:r>
      <w:r w:rsidRPr="00655115">
        <w:rPr>
          <w:rFonts w:ascii="Times New Roman" w:eastAsia="Times New Roman" w:hAnsi="Times New Roman"/>
          <w:sz w:val="28"/>
          <w:szCs w:val="28"/>
          <w:lang w:eastAsia="ru-RU"/>
        </w:rPr>
        <w:t xml:space="preserve"> как у больных РА с хорошим клиническим эффектом проводимой терапии, так и у «неответчиков». </w:t>
      </w:r>
    </w:p>
    <w:p w:rsidR="00030013" w:rsidRPr="00CB086A" w:rsidRDefault="00030013" w:rsidP="00F71B34">
      <w:pPr>
        <w:spacing w:after="0" w:line="360" w:lineRule="auto"/>
        <w:ind w:firstLine="708"/>
        <w:jc w:val="both"/>
        <w:rPr>
          <w:rFonts w:ascii="Times New Roman" w:eastAsia="Times New Roman" w:hAnsi="Times New Roman"/>
          <w:sz w:val="28"/>
          <w:szCs w:val="28"/>
          <w:lang w:eastAsia="ru-RU"/>
        </w:rPr>
      </w:pPr>
      <w:r w:rsidRPr="00CB086A">
        <w:rPr>
          <w:rFonts w:ascii="Times New Roman" w:eastAsia="Times New Roman" w:hAnsi="Times New Roman"/>
          <w:sz w:val="28"/>
          <w:szCs w:val="28"/>
          <w:lang w:eastAsia="ru-RU"/>
        </w:rPr>
        <w:t xml:space="preserve">В группе больных с монотерапией МТХ у «неответчиков» зарегистрировано достоверное снижение МПК и Т-критерия в шейке бедра и поясничном отделе </w:t>
      </w:r>
      <w:r w:rsidRPr="00CB086A">
        <w:rPr>
          <w:rFonts w:ascii="Times New Roman" w:eastAsia="Times New Roman" w:hAnsi="Times New Roman"/>
          <w:sz w:val="28"/>
          <w:szCs w:val="28"/>
          <w:lang w:eastAsia="ru-RU"/>
        </w:rPr>
        <w:lastRenderedPageBreak/>
        <w:t>позвоночника, в то время как у «ответчиков» денситометрические показатели достоверно не изменились.</w:t>
      </w:r>
    </w:p>
    <w:p w:rsidR="00030013" w:rsidRPr="00F71B34" w:rsidRDefault="00030013" w:rsidP="00F71B34">
      <w:pPr>
        <w:spacing w:after="0" w:line="360" w:lineRule="auto"/>
        <w:jc w:val="both"/>
        <w:rPr>
          <w:rFonts w:ascii="Times New Roman" w:eastAsia="Times New Roman" w:hAnsi="Times New Roman"/>
          <w:b/>
          <w:color w:val="FF0000"/>
          <w:sz w:val="28"/>
          <w:szCs w:val="28"/>
          <w:lang w:eastAsia="ru-RU"/>
        </w:rPr>
      </w:pPr>
    </w:p>
    <w:p w:rsidR="00675F78" w:rsidRPr="0094520E" w:rsidRDefault="00675F78" w:rsidP="002226FD">
      <w:pPr>
        <w:spacing w:after="0" w:line="350" w:lineRule="auto"/>
        <w:ind w:firstLine="708"/>
        <w:jc w:val="both"/>
        <w:rPr>
          <w:rFonts w:ascii="Times New Roman" w:eastAsia="Times New Roman" w:hAnsi="Times New Roman"/>
          <w:color w:val="0070C0"/>
          <w:sz w:val="18"/>
          <w:szCs w:val="28"/>
          <w:lang w:eastAsia="ru-RU"/>
        </w:rPr>
      </w:pPr>
    </w:p>
    <w:p w:rsidR="00030013" w:rsidRDefault="00030013" w:rsidP="002226FD">
      <w:pPr>
        <w:numPr>
          <w:ilvl w:val="1"/>
          <w:numId w:val="6"/>
        </w:numPr>
        <w:spacing w:after="0" w:line="350" w:lineRule="auto"/>
        <w:contextualSpacing/>
        <w:jc w:val="both"/>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t xml:space="preserve"> Качество жизни больных </w:t>
      </w:r>
      <w:r w:rsidR="002226FD">
        <w:rPr>
          <w:rFonts w:ascii="Times New Roman" w:eastAsia="Times New Roman" w:hAnsi="Times New Roman"/>
          <w:b/>
          <w:sz w:val="28"/>
          <w:szCs w:val="28"/>
          <w:lang w:eastAsia="ru-RU"/>
        </w:rPr>
        <w:t>ревматоидным артритом</w:t>
      </w:r>
      <w:r w:rsidRPr="00F71B34">
        <w:rPr>
          <w:rFonts w:ascii="Times New Roman" w:eastAsia="Times New Roman" w:hAnsi="Times New Roman"/>
          <w:b/>
          <w:sz w:val="28"/>
          <w:szCs w:val="28"/>
          <w:lang w:eastAsia="ru-RU"/>
        </w:rPr>
        <w:t xml:space="preserve"> на фоне</w:t>
      </w:r>
      <w:r w:rsidR="005F6BEF" w:rsidRPr="00F71B34">
        <w:rPr>
          <w:rFonts w:ascii="Times New Roman" w:eastAsia="Times New Roman" w:hAnsi="Times New Roman"/>
          <w:b/>
          <w:sz w:val="28"/>
          <w:szCs w:val="28"/>
          <w:lang w:eastAsia="ru-RU"/>
        </w:rPr>
        <w:t xml:space="preserve"> различных вариантов</w:t>
      </w:r>
      <w:r w:rsidRPr="00F71B34">
        <w:rPr>
          <w:rFonts w:ascii="Times New Roman" w:eastAsia="Times New Roman" w:hAnsi="Times New Roman"/>
          <w:b/>
          <w:sz w:val="28"/>
          <w:szCs w:val="28"/>
          <w:lang w:eastAsia="ru-RU"/>
        </w:rPr>
        <w:t xml:space="preserve"> терапии</w:t>
      </w:r>
    </w:p>
    <w:p w:rsidR="00112E18" w:rsidRPr="00F71B34" w:rsidRDefault="00112E18" w:rsidP="00112E18">
      <w:pPr>
        <w:spacing w:after="0" w:line="350" w:lineRule="auto"/>
        <w:contextualSpacing/>
        <w:jc w:val="both"/>
        <w:rPr>
          <w:rFonts w:ascii="Times New Roman" w:eastAsia="Times New Roman" w:hAnsi="Times New Roman"/>
          <w:b/>
          <w:sz w:val="28"/>
          <w:szCs w:val="28"/>
          <w:lang w:eastAsia="ru-RU"/>
        </w:rPr>
      </w:pP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Оценка КЖ проводилось </w:t>
      </w:r>
      <w:r w:rsidR="005B39D1">
        <w:rPr>
          <w:rFonts w:ascii="Times New Roman" w:eastAsia="Times New Roman" w:hAnsi="Times New Roman"/>
          <w:sz w:val="28"/>
          <w:szCs w:val="28"/>
          <w:lang w:eastAsia="ru-RU"/>
        </w:rPr>
        <w:t>у 79 женщин с РА</w:t>
      </w:r>
      <w:r w:rsidRPr="00F71B34">
        <w:rPr>
          <w:rFonts w:ascii="Times New Roman" w:eastAsia="Times New Roman" w:hAnsi="Times New Roman"/>
          <w:sz w:val="28"/>
          <w:szCs w:val="28"/>
          <w:lang w:eastAsia="ru-RU"/>
        </w:rPr>
        <w:t xml:space="preserve"> в постменопаузе:</w:t>
      </w:r>
      <w:r w:rsidRPr="00F71B34">
        <w:rPr>
          <w:rFonts w:ascii="Times New Roman" w:hAnsi="Times New Roman"/>
          <w:kern w:val="2"/>
          <w:sz w:val="28"/>
          <w:szCs w:val="28"/>
          <w:lang w:eastAsia="ko-KR"/>
        </w:rPr>
        <w:t xml:space="preserve"> </w:t>
      </w:r>
      <w:r w:rsidRPr="00F71B34">
        <w:rPr>
          <w:rFonts w:ascii="Times New Roman" w:eastAsia="Times New Roman" w:hAnsi="Times New Roman"/>
          <w:sz w:val="28"/>
          <w:szCs w:val="28"/>
          <w:lang w:eastAsia="ru-RU"/>
        </w:rPr>
        <w:t>группа 1 (</w:t>
      </w:r>
      <w:r w:rsidRPr="002226FD">
        <w:rPr>
          <w:rFonts w:ascii="Times New Roman" w:eastAsia="Times New Roman" w:hAnsi="Times New Roman"/>
          <w:spacing w:val="-4"/>
          <w:sz w:val="28"/>
          <w:szCs w:val="28"/>
          <w:lang w:val="en-US" w:eastAsia="ru-RU"/>
        </w:rPr>
        <w:t>n</w:t>
      </w:r>
      <w:r w:rsidR="005B39D1" w:rsidRPr="002226FD">
        <w:rPr>
          <w:rFonts w:ascii="Times New Roman" w:eastAsia="Times New Roman" w:hAnsi="Times New Roman"/>
          <w:spacing w:val="-4"/>
          <w:sz w:val="28"/>
          <w:szCs w:val="28"/>
          <w:lang w:eastAsia="ru-RU"/>
        </w:rPr>
        <w:t>=44) – больные с комбинированной терапией</w:t>
      </w:r>
      <w:r w:rsidRPr="002226FD">
        <w:rPr>
          <w:rFonts w:ascii="Times New Roman" w:eastAsia="Times New Roman" w:hAnsi="Times New Roman"/>
          <w:spacing w:val="-4"/>
          <w:sz w:val="28"/>
          <w:szCs w:val="28"/>
          <w:lang w:eastAsia="ru-RU"/>
        </w:rPr>
        <w:t xml:space="preserve"> РТМ и МТХ;  группа 2 (</w:t>
      </w:r>
      <w:r w:rsidRPr="002226FD">
        <w:rPr>
          <w:rFonts w:ascii="Times New Roman" w:eastAsia="Times New Roman" w:hAnsi="Times New Roman"/>
          <w:spacing w:val="-4"/>
          <w:sz w:val="28"/>
          <w:szCs w:val="28"/>
          <w:lang w:val="en-US" w:eastAsia="ru-RU"/>
        </w:rPr>
        <w:t>n</w:t>
      </w:r>
      <w:r w:rsidRPr="002226FD">
        <w:rPr>
          <w:rFonts w:ascii="Times New Roman" w:eastAsia="Times New Roman" w:hAnsi="Times New Roman"/>
          <w:spacing w:val="-4"/>
          <w:sz w:val="28"/>
          <w:szCs w:val="28"/>
          <w:lang w:eastAsia="ru-RU"/>
        </w:rPr>
        <w:t>=35) –</w:t>
      </w:r>
      <w:r w:rsidRPr="00F71B34">
        <w:rPr>
          <w:rFonts w:ascii="Times New Roman" w:eastAsia="Times New Roman" w:hAnsi="Times New Roman"/>
          <w:sz w:val="28"/>
          <w:szCs w:val="28"/>
          <w:lang w:eastAsia="ru-RU"/>
        </w:rPr>
        <w:t xml:space="preserve"> пациенты с монотерапией МТХ. Для оценки </w:t>
      </w:r>
      <w:r w:rsidR="005B39D1">
        <w:rPr>
          <w:rFonts w:ascii="Times New Roman" w:eastAsia="Times New Roman" w:hAnsi="Times New Roman"/>
          <w:sz w:val="28"/>
          <w:szCs w:val="28"/>
          <w:lang w:eastAsia="ru-RU"/>
        </w:rPr>
        <w:t xml:space="preserve">КЖ </w:t>
      </w:r>
      <w:r w:rsidRPr="00F71B34">
        <w:rPr>
          <w:rFonts w:ascii="Times New Roman" w:eastAsia="Times New Roman" w:hAnsi="Times New Roman"/>
          <w:sz w:val="28"/>
          <w:szCs w:val="28"/>
          <w:lang w:eastAsia="ru-RU"/>
        </w:rPr>
        <w:t xml:space="preserve">использовались опросники </w:t>
      </w:r>
      <w:r w:rsidRPr="00F71B34">
        <w:rPr>
          <w:rFonts w:ascii="Times New Roman" w:eastAsia="Times New Roman" w:hAnsi="Times New Roman"/>
          <w:sz w:val="28"/>
          <w:szCs w:val="28"/>
          <w:lang w:val="en-US" w:eastAsia="ru-RU"/>
        </w:rPr>
        <w:t>EQ</w:t>
      </w:r>
      <w:r w:rsidRPr="00F71B34">
        <w:rPr>
          <w:rFonts w:ascii="Times New Roman" w:eastAsia="Times New Roman" w:hAnsi="Times New Roman"/>
          <w:sz w:val="28"/>
          <w:szCs w:val="28"/>
          <w:lang w:eastAsia="ru-RU"/>
        </w:rPr>
        <w:t>-5</w:t>
      </w:r>
      <w:r w:rsidRPr="00F71B34">
        <w:rPr>
          <w:rFonts w:ascii="Times New Roman" w:eastAsia="Times New Roman" w:hAnsi="Times New Roman"/>
          <w:sz w:val="28"/>
          <w:szCs w:val="28"/>
          <w:lang w:val="en-US" w:eastAsia="ru-RU"/>
        </w:rPr>
        <w:t>D</w:t>
      </w:r>
      <w:r w:rsidRPr="00F71B34">
        <w:rPr>
          <w:rFonts w:ascii="Times New Roman" w:eastAsia="Times New Roman" w:hAnsi="Times New Roman"/>
          <w:sz w:val="28"/>
          <w:szCs w:val="28"/>
          <w:lang w:eastAsia="ru-RU"/>
        </w:rPr>
        <w:t xml:space="preserve"> и </w:t>
      </w:r>
      <w:r w:rsidRPr="00F71B34">
        <w:rPr>
          <w:rFonts w:ascii="Times New Roman" w:eastAsia="Times New Roman" w:hAnsi="Times New Roman"/>
          <w:sz w:val="28"/>
          <w:szCs w:val="28"/>
          <w:lang w:val="en-US" w:eastAsia="ru-RU"/>
        </w:rPr>
        <w:t>HAQ</w:t>
      </w:r>
      <w:r w:rsidRPr="00F71B34">
        <w:rPr>
          <w:rFonts w:ascii="Times New Roman" w:eastAsia="Times New Roman" w:hAnsi="Times New Roman"/>
          <w:sz w:val="28"/>
          <w:szCs w:val="28"/>
          <w:lang w:eastAsia="ru-RU"/>
        </w:rPr>
        <w:t>. Все пациенты самостоятельно заполняли опросники при включении в исследование, через 12 и 24 месяца наблюдения.</w:t>
      </w: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 xml:space="preserve">Клиническая характеристика больных РА представлена в главе </w:t>
      </w:r>
      <w:r w:rsidR="002C3B54">
        <w:rPr>
          <w:rFonts w:ascii="Times New Roman" w:eastAsia="Times New Roman" w:hAnsi="Times New Roman"/>
          <w:sz w:val="28"/>
          <w:szCs w:val="28"/>
          <w:lang w:val="en-US" w:eastAsia="ru-RU"/>
        </w:rPr>
        <w:t>II</w:t>
      </w:r>
      <w:r w:rsidRPr="00F71B34">
        <w:rPr>
          <w:rFonts w:ascii="Times New Roman" w:eastAsia="Times New Roman" w:hAnsi="Times New Roman"/>
          <w:sz w:val="28"/>
          <w:szCs w:val="28"/>
          <w:lang w:eastAsia="ru-RU"/>
        </w:rPr>
        <w:t>.</w:t>
      </w:r>
    </w:p>
    <w:p w:rsidR="00030013" w:rsidRPr="00F71B34" w:rsidRDefault="00030013" w:rsidP="00F71B34">
      <w:pPr>
        <w:spacing w:after="0" w:line="360" w:lineRule="auto"/>
        <w:ind w:firstLine="708"/>
        <w:jc w:val="both"/>
        <w:rPr>
          <w:rFonts w:ascii="Times New Roman" w:eastAsia="Times New Roman" w:hAnsi="Times New Roman"/>
          <w:bCs/>
          <w:sz w:val="28"/>
          <w:szCs w:val="28"/>
          <w:lang w:eastAsia="ru-RU"/>
        </w:rPr>
      </w:pPr>
      <w:r w:rsidRPr="00F71B34">
        <w:rPr>
          <w:rFonts w:ascii="Times New Roman" w:eastAsia="Times New Roman" w:hAnsi="Times New Roman"/>
          <w:sz w:val="28"/>
          <w:szCs w:val="28"/>
          <w:lang w:eastAsia="ru-RU"/>
        </w:rPr>
        <w:t xml:space="preserve">При заполнении опросника  </w:t>
      </w:r>
      <w:r w:rsidRPr="00F71B34">
        <w:rPr>
          <w:rFonts w:ascii="Times New Roman" w:eastAsia="Times New Roman" w:hAnsi="Times New Roman"/>
          <w:sz w:val="28"/>
          <w:szCs w:val="28"/>
          <w:lang w:val="en-US" w:eastAsia="ru-RU"/>
        </w:rPr>
        <w:t>EQ</w:t>
      </w:r>
      <w:r w:rsidRPr="00F71B34">
        <w:rPr>
          <w:rFonts w:ascii="Times New Roman" w:eastAsia="Times New Roman" w:hAnsi="Times New Roman"/>
          <w:sz w:val="28"/>
          <w:szCs w:val="28"/>
          <w:lang w:eastAsia="ru-RU"/>
        </w:rPr>
        <w:t>-5</w:t>
      </w:r>
      <w:r w:rsidRPr="00F71B34">
        <w:rPr>
          <w:rFonts w:ascii="Times New Roman" w:eastAsia="Times New Roman" w:hAnsi="Times New Roman"/>
          <w:sz w:val="28"/>
          <w:szCs w:val="28"/>
          <w:lang w:val="en-US" w:eastAsia="ru-RU"/>
        </w:rPr>
        <w:t>D</w:t>
      </w:r>
      <w:r w:rsidRPr="00F71B34">
        <w:rPr>
          <w:rFonts w:ascii="Times New Roman" w:eastAsia="Times New Roman" w:hAnsi="Times New Roman"/>
          <w:sz w:val="28"/>
          <w:szCs w:val="28"/>
          <w:lang w:eastAsia="ru-RU"/>
        </w:rPr>
        <w:t xml:space="preserve"> исходно проблемы со здоровьем отметили в той или иной степени все опрошенные больные РА. В целом</w:t>
      </w:r>
      <w:r w:rsidR="002C3B54">
        <w:rPr>
          <w:rFonts w:ascii="Times New Roman" w:eastAsia="Times New Roman" w:hAnsi="Times New Roman"/>
          <w:sz w:val="28"/>
          <w:szCs w:val="28"/>
          <w:lang w:eastAsia="ru-RU"/>
        </w:rPr>
        <w:br/>
      </w:r>
      <w:r w:rsidRPr="00F71B34">
        <w:rPr>
          <w:rFonts w:ascii="Times New Roman" w:eastAsia="Times New Roman" w:hAnsi="Times New Roman"/>
          <w:sz w:val="28"/>
          <w:szCs w:val="28"/>
          <w:lang w:eastAsia="ru-RU"/>
        </w:rPr>
        <w:t xml:space="preserve">у большинства пациентов по всем компонентам качества жизни имеются проблемы средней степени выраженности </w:t>
      </w:r>
      <w:r w:rsidRPr="00F71B34">
        <w:rPr>
          <w:rFonts w:ascii="Times New Roman" w:eastAsia="Times New Roman" w:hAnsi="Times New Roman"/>
          <w:bCs/>
          <w:sz w:val="28"/>
          <w:szCs w:val="28"/>
          <w:lang w:eastAsia="ru-RU"/>
        </w:rPr>
        <w:t xml:space="preserve">(табл. </w:t>
      </w:r>
      <w:r w:rsidR="00112E18">
        <w:rPr>
          <w:rFonts w:ascii="Times New Roman" w:eastAsia="Times New Roman" w:hAnsi="Times New Roman"/>
          <w:bCs/>
          <w:sz w:val="28"/>
          <w:szCs w:val="28"/>
          <w:lang w:eastAsia="ru-RU"/>
        </w:rPr>
        <w:t>27</w:t>
      </w:r>
      <w:r w:rsidRPr="00F71B34">
        <w:rPr>
          <w:rFonts w:ascii="Times New Roman" w:eastAsia="Times New Roman" w:hAnsi="Times New Roman"/>
          <w:bCs/>
          <w:sz w:val="28"/>
          <w:szCs w:val="28"/>
          <w:lang w:eastAsia="ru-RU"/>
        </w:rPr>
        <w:t xml:space="preserve">). В группе больных, получавших комбинированную терапию РТМ и МТХ, </w:t>
      </w:r>
      <w:r w:rsidRPr="00F71B34">
        <w:rPr>
          <w:rFonts w:ascii="Times New Roman" w:eastAsia="Times New Roman" w:hAnsi="Times New Roman"/>
          <w:sz w:val="28"/>
          <w:szCs w:val="28"/>
          <w:lang w:eastAsia="ru-RU"/>
        </w:rPr>
        <w:t>сильную боль или дискомфорт испытывали 29 человек (65,9%),  выраженную тревогу или депрессию – 16 пациентов (36,5%). От</w:t>
      </w:r>
      <w:r w:rsidR="005B39D1">
        <w:rPr>
          <w:rFonts w:ascii="Times New Roman" w:eastAsia="Times New Roman" w:hAnsi="Times New Roman"/>
          <w:sz w:val="28"/>
          <w:szCs w:val="28"/>
          <w:lang w:eastAsia="ru-RU"/>
        </w:rPr>
        <w:t>сутствие тревоги или депрессии</w:t>
      </w:r>
      <w:r w:rsidRPr="00F71B34">
        <w:rPr>
          <w:rFonts w:ascii="Times New Roman" w:eastAsia="Times New Roman" w:hAnsi="Times New Roman"/>
          <w:sz w:val="28"/>
          <w:szCs w:val="28"/>
          <w:lang w:eastAsia="ru-RU"/>
        </w:rPr>
        <w:t xml:space="preserve"> отметили  2 больных (4,5%). </w:t>
      </w: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В группе пациентов с монотерапией МТХ сильную боль или дискомфорт испытывал</w:t>
      </w:r>
      <w:r w:rsidR="002C3B54">
        <w:rPr>
          <w:rFonts w:ascii="Times New Roman" w:eastAsia="Times New Roman" w:hAnsi="Times New Roman"/>
          <w:sz w:val="28"/>
          <w:szCs w:val="28"/>
          <w:lang w:eastAsia="ru-RU"/>
        </w:rPr>
        <w:t>и</w:t>
      </w:r>
      <w:r w:rsidRPr="00F71B34">
        <w:rPr>
          <w:rFonts w:ascii="Times New Roman" w:eastAsia="Times New Roman" w:hAnsi="Times New Roman"/>
          <w:sz w:val="28"/>
          <w:szCs w:val="28"/>
          <w:lang w:eastAsia="ru-RU"/>
        </w:rPr>
        <w:t xml:space="preserve"> 20 человек (57,1%), выраженную тревогу или депрессию – 9 (25,7%), отсутствие тревоги или депрессии</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10 (28,6%), проблем</w:t>
      </w:r>
      <w:r w:rsidR="002C3B54">
        <w:rPr>
          <w:rFonts w:ascii="Times New Roman" w:eastAsia="Times New Roman" w:hAnsi="Times New Roman"/>
          <w:sz w:val="28"/>
          <w:szCs w:val="28"/>
          <w:lang w:eastAsia="ru-RU"/>
        </w:rPr>
        <w:t>у</w:t>
      </w:r>
      <w:r w:rsidRPr="00F71B34">
        <w:rPr>
          <w:rFonts w:ascii="Times New Roman" w:eastAsia="Times New Roman" w:hAnsi="Times New Roman"/>
          <w:sz w:val="28"/>
          <w:szCs w:val="28"/>
          <w:lang w:eastAsia="ru-RU"/>
        </w:rPr>
        <w:t xml:space="preserve"> с передвижением в пространстве </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4 (11,4%), проблем</w:t>
      </w:r>
      <w:r w:rsidR="002C3B54">
        <w:rPr>
          <w:rFonts w:ascii="Times New Roman" w:eastAsia="Times New Roman" w:hAnsi="Times New Roman"/>
          <w:sz w:val="28"/>
          <w:szCs w:val="28"/>
          <w:lang w:eastAsia="ru-RU"/>
        </w:rPr>
        <w:t>у</w:t>
      </w:r>
      <w:r w:rsidRPr="00F71B34">
        <w:rPr>
          <w:rFonts w:ascii="Times New Roman" w:eastAsia="Times New Roman" w:hAnsi="Times New Roman"/>
          <w:sz w:val="28"/>
          <w:szCs w:val="28"/>
          <w:lang w:eastAsia="ru-RU"/>
        </w:rPr>
        <w:t xml:space="preserve"> с самообслуживанием</w:t>
      </w:r>
      <w:r w:rsidR="00CD2EDC">
        <w:rPr>
          <w:rFonts w:ascii="Times New Roman" w:eastAsia="Times New Roman" w:hAnsi="Times New Roman"/>
          <w:sz w:val="28"/>
          <w:szCs w:val="28"/>
          <w:lang w:eastAsia="ru-RU"/>
        </w:rPr>
        <w:t xml:space="preserve"> – </w:t>
      </w:r>
      <w:r w:rsidRPr="00F71B34">
        <w:rPr>
          <w:rFonts w:ascii="Times New Roman" w:eastAsia="Times New Roman" w:hAnsi="Times New Roman"/>
          <w:sz w:val="28"/>
          <w:szCs w:val="28"/>
          <w:lang w:eastAsia="ru-RU"/>
        </w:rPr>
        <w:t xml:space="preserve"> 6 (17,1%).</w:t>
      </w:r>
    </w:p>
    <w:p w:rsidR="00030013" w:rsidRPr="00F71B34" w:rsidRDefault="00030013" w:rsidP="00F71B34">
      <w:pPr>
        <w:spacing w:after="0" w:line="360" w:lineRule="auto"/>
        <w:ind w:firstLine="708"/>
        <w:jc w:val="both"/>
        <w:rPr>
          <w:rFonts w:ascii="Times New Roman" w:eastAsia="Times New Roman" w:hAnsi="Times New Roman"/>
          <w:sz w:val="28"/>
          <w:szCs w:val="28"/>
          <w:lang w:eastAsia="ru-RU"/>
        </w:rPr>
      </w:pPr>
      <w:r w:rsidRPr="00F71B34">
        <w:rPr>
          <w:rFonts w:ascii="Times New Roman" w:eastAsia="Times New Roman" w:hAnsi="Times New Roman"/>
          <w:sz w:val="28"/>
          <w:szCs w:val="28"/>
          <w:lang w:eastAsia="ru-RU"/>
        </w:rPr>
        <w:t>Среди опрошенных как в группе больных, получавших РТМ, так и в группе с монотерапией МТХ отсутствовали пациенты, не испытывающие боли или дискомфорта и пациенты, имеющие выраженные проблемы с передвижением в пространстве.</w:t>
      </w:r>
    </w:p>
    <w:p w:rsidR="005B39D1" w:rsidRPr="00F71B34" w:rsidRDefault="005B39D1" w:rsidP="00F71B34">
      <w:pPr>
        <w:spacing w:after="0" w:line="360" w:lineRule="auto"/>
        <w:ind w:firstLine="708"/>
        <w:jc w:val="both"/>
        <w:rPr>
          <w:rFonts w:ascii="Times New Roman" w:eastAsia="Times New Roman" w:hAnsi="Times New Roman"/>
          <w:color w:val="FF0000"/>
          <w:sz w:val="28"/>
          <w:szCs w:val="28"/>
          <w:lang w:eastAsia="ru-RU"/>
        </w:rPr>
      </w:pPr>
    </w:p>
    <w:p w:rsidR="00030013" w:rsidRPr="00F71B34" w:rsidRDefault="00030013" w:rsidP="00F71B34">
      <w:pPr>
        <w:spacing w:after="0" w:line="360" w:lineRule="auto"/>
        <w:ind w:firstLine="708"/>
        <w:jc w:val="both"/>
        <w:rPr>
          <w:rFonts w:ascii="Times New Roman" w:eastAsia="Times New Roman" w:hAnsi="Times New Roman"/>
          <w:bCs/>
          <w:sz w:val="28"/>
          <w:szCs w:val="28"/>
          <w:lang w:eastAsia="ru-RU"/>
        </w:rPr>
      </w:pPr>
      <w:r w:rsidRPr="002C3B54">
        <w:rPr>
          <w:rFonts w:ascii="Times New Roman" w:eastAsia="Times New Roman" w:hAnsi="Times New Roman"/>
          <w:bCs/>
          <w:spacing w:val="40"/>
          <w:sz w:val="28"/>
          <w:szCs w:val="28"/>
          <w:lang w:eastAsia="ru-RU"/>
        </w:rPr>
        <w:lastRenderedPageBreak/>
        <w:t>Таблица</w:t>
      </w:r>
      <w:r w:rsidRPr="00F71B34">
        <w:rPr>
          <w:rFonts w:ascii="Times New Roman" w:eastAsia="Times New Roman" w:hAnsi="Times New Roman"/>
          <w:bCs/>
          <w:sz w:val="28"/>
          <w:szCs w:val="28"/>
          <w:lang w:eastAsia="ru-RU"/>
        </w:rPr>
        <w:t xml:space="preserve"> </w:t>
      </w:r>
      <w:r w:rsidR="00112E18">
        <w:rPr>
          <w:rFonts w:ascii="Times New Roman" w:eastAsia="Times New Roman" w:hAnsi="Times New Roman"/>
          <w:bCs/>
          <w:sz w:val="28"/>
          <w:szCs w:val="28"/>
          <w:lang w:eastAsia="ru-RU"/>
        </w:rPr>
        <w:t>27</w:t>
      </w:r>
      <w:r w:rsidR="00CD2EDC">
        <w:rPr>
          <w:rFonts w:ascii="Times New Roman" w:eastAsia="Times New Roman" w:hAnsi="Times New Roman"/>
          <w:bCs/>
          <w:sz w:val="28"/>
          <w:szCs w:val="28"/>
          <w:lang w:eastAsia="ru-RU"/>
        </w:rPr>
        <w:t xml:space="preserve"> – </w:t>
      </w:r>
      <w:r w:rsidRPr="00F71B34">
        <w:rPr>
          <w:rFonts w:ascii="Times New Roman" w:eastAsia="Times New Roman" w:hAnsi="Times New Roman"/>
          <w:bCs/>
          <w:sz w:val="28"/>
          <w:szCs w:val="28"/>
          <w:lang w:eastAsia="ru-RU"/>
        </w:rPr>
        <w:t xml:space="preserve">Характеристика состояния здоровья больных РА по данным общего опросника </w:t>
      </w:r>
      <w:r w:rsidRPr="00F71B34">
        <w:rPr>
          <w:rFonts w:ascii="Times New Roman" w:eastAsia="Times New Roman" w:hAnsi="Times New Roman"/>
          <w:bCs/>
          <w:sz w:val="28"/>
          <w:szCs w:val="28"/>
          <w:lang w:val="en-US" w:eastAsia="ru-RU"/>
        </w:rPr>
        <w:t>EQ</w:t>
      </w:r>
      <w:r w:rsidRPr="00F71B34">
        <w:rPr>
          <w:rFonts w:ascii="Times New Roman" w:eastAsia="Times New Roman" w:hAnsi="Times New Roman"/>
          <w:bCs/>
          <w:sz w:val="28"/>
          <w:szCs w:val="28"/>
          <w:lang w:eastAsia="ru-RU"/>
        </w:rPr>
        <w:t>-5</w:t>
      </w:r>
      <w:r w:rsidRPr="00F71B34">
        <w:rPr>
          <w:rFonts w:ascii="Times New Roman" w:eastAsia="Times New Roman" w:hAnsi="Times New Roman"/>
          <w:bCs/>
          <w:sz w:val="28"/>
          <w:szCs w:val="28"/>
          <w:lang w:val="en-US" w:eastAsia="ru-RU"/>
        </w:rPr>
        <w:t>D</w:t>
      </w:r>
      <w:r w:rsidRPr="00F71B34">
        <w:rPr>
          <w:rFonts w:ascii="Times New Roman" w:eastAsia="Times New Roman" w:hAnsi="Times New Roman"/>
          <w:bCs/>
          <w:sz w:val="28"/>
          <w:szCs w:val="28"/>
          <w:lang w:eastAsia="ru-RU"/>
        </w:rPr>
        <w:t xml:space="preserve"> в зависимости от варианта базисной терапии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1154"/>
        <w:gridCol w:w="1210"/>
        <w:gridCol w:w="1133"/>
        <w:gridCol w:w="1220"/>
        <w:gridCol w:w="1474"/>
      </w:tblGrid>
      <w:tr w:rsidR="00030013" w:rsidRPr="00AD0086" w:rsidTr="00B14E16">
        <w:tc>
          <w:tcPr>
            <w:tcW w:w="1946" w:type="pct"/>
            <w:vMerge w:val="restart"/>
            <w:shd w:val="clear" w:color="auto" w:fill="auto"/>
            <w:vAlign w:val="center"/>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Состояние здоровья</w:t>
            </w:r>
          </w:p>
        </w:tc>
        <w:tc>
          <w:tcPr>
            <w:tcW w:w="1166" w:type="pct"/>
            <w:gridSpan w:val="2"/>
            <w:shd w:val="clear" w:color="auto" w:fill="auto"/>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Группа 1</w:t>
            </w:r>
          </w:p>
        </w:tc>
        <w:tc>
          <w:tcPr>
            <w:tcW w:w="1161" w:type="pct"/>
            <w:gridSpan w:val="2"/>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Группа 2</w:t>
            </w:r>
          </w:p>
        </w:tc>
        <w:tc>
          <w:tcPr>
            <w:tcW w:w="727" w:type="pct"/>
            <w:vMerge w:val="restar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proofErr w:type="gramStart"/>
            <w:r w:rsidRPr="00AD0086">
              <w:rPr>
                <w:rFonts w:ascii="Times New Roman" w:eastAsia="Times New Roman" w:hAnsi="Times New Roman"/>
                <w:bCs/>
                <w:sz w:val="24"/>
                <w:szCs w:val="28"/>
                <w:lang w:eastAsia="ru-RU"/>
              </w:rPr>
              <w:t>р</w:t>
            </w:r>
            <w:proofErr w:type="gramEnd"/>
            <w:r w:rsidRPr="00AD0086">
              <w:rPr>
                <w:rFonts w:ascii="Times New Roman" w:eastAsia="Times New Roman" w:hAnsi="Times New Roman"/>
                <w:bCs/>
                <w:sz w:val="24"/>
                <w:szCs w:val="28"/>
                <w:lang w:eastAsia="ru-RU"/>
              </w:rPr>
              <w:t xml:space="preserve"> (гр. 1  </w:t>
            </w:r>
            <w:r w:rsidRPr="00AD0086">
              <w:rPr>
                <w:rFonts w:ascii="Times New Roman" w:eastAsia="Times New Roman" w:hAnsi="Times New Roman"/>
                <w:bCs/>
                <w:sz w:val="24"/>
                <w:szCs w:val="28"/>
                <w:lang w:val="en-US" w:eastAsia="ru-RU"/>
              </w:rPr>
              <w:t>vs</w:t>
            </w:r>
            <w:r w:rsidRPr="00AD0086">
              <w:rPr>
                <w:rFonts w:ascii="Times New Roman" w:eastAsia="Times New Roman" w:hAnsi="Times New Roman"/>
                <w:bCs/>
                <w:sz w:val="24"/>
                <w:szCs w:val="28"/>
                <w:lang w:eastAsia="ru-RU"/>
              </w:rPr>
              <w:t xml:space="preserve"> гр. 2)</w:t>
            </w:r>
          </w:p>
        </w:tc>
      </w:tr>
      <w:tr w:rsidR="00030013" w:rsidRPr="00AD0086" w:rsidTr="00B14E16">
        <w:tc>
          <w:tcPr>
            <w:tcW w:w="1946" w:type="pct"/>
            <w:vMerge/>
            <w:shd w:val="clear" w:color="auto" w:fill="auto"/>
          </w:tcPr>
          <w:p w:rsidR="00030013" w:rsidRPr="00AD0086" w:rsidRDefault="00030013" w:rsidP="00F71B34">
            <w:pPr>
              <w:spacing w:after="0" w:line="360" w:lineRule="auto"/>
              <w:jc w:val="both"/>
              <w:rPr>
                <w:rFonts w:ascii="Times New Roman" w:eastAsia="Times New Roman" w:hAnsi="Times New Roman"/>
                <w:bCs/>
                <w:sz w:val="24"/>
                <w:szCs w:val="28"/>
                <w:lang w:eastAsia="ru-RU"/>
              </w:rPr>
            </w:pPr>
          </w:p>
        </w:tc>
        <w:tc>
          <w:tcPr>
            <w:tcW w:w="569" w:type="pct"/>
            <w:shd w:val="clear" w:color="auto" w:fill="auto"/>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val="en-US" w:eastAsia="ru-RU"/>
              </w:rPr>
              <w:t>n</w:t>
            </w:r>
          </w:p>
        </w:tc>
        <w:tc>
          <w:tcPr>
            <w:tcW w:w="597" w:type="pct"/>
            <w:shd w:val="clear" w:color="auto" w:fill="auto"/>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w:t>
            </w:r>
          </w:p>
        </w:tc>
        <w:tc>
          <w:tcPr>
            <w:tcW w:w="559"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val="en-US" w:eastAsia="ru-RU"/>
              </w:rPr>
              <w:t>n</w:t>
            </w:r>
          </w:p>
        </w:tc>
        <w:tc>
          <w:tcPr>
            <w:tcW w:w="602"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w:t>
            </w:r>
          </w:p>
        </w:tc>
        <w:tc>
          <w:tcPr>
            <w:tcW w:w="727" w:type="pct"/>
            <w:vMerge/>
          </w:tcPr>
          <w:p w:rsidR="00030013" w:rsidRPr="00AD0086" w:rsidRDefault="00030013" w:rsidP="00F71B34">
            <w:pPr>
              <w:spacing w:after="0" w:line="360" w:lineRule="auto"/>
              <w:jc w:val="both"/>
              <w:rPr>
                <w:rFonts w:ascii="Times New Roman" w:eastAsia="Times New Roman" w:hAnsi="Times New Roman"/>
                <w:bCs/>
                <w:sz w:val="24"/>
                <w:szCs w:val="28"/>
                <w:lang w:eastAsia="ru-RU"/>
              </w:rPr>
            </w:pPr>
          </w:p>
        </w:tc>
      </w:tr>
      <w:tr w:rsidR="00030013" w:rsidRPr="00AD0086" w:rsidTr="00B14E16">
        <w:tc>
          <w:tcPr>
            <w:tcW w:w="5000" w:type="pct"/>
            <w:gridSpan w:val="6"/>
            <w:shd w:val="clear" w:color="auto" w:fill="auto"/>
          </w:tcPr>
          <w:p w:rsidR="00030013" w:rsidRPr="002C3B54" w:rsidRDefault="00030013" w:rsidP="00F71B34">
            <w:pPr>
              <w:spacing w:after="0" w:line="360" w:lineRule="auto"/>
              <w:jc w:val="center"/>
              <w:rPr>
                <w:rFonts w:ascii="Times New Roman" w:eastAsia="Times New Roman" w:hAnsi="Times New Roman"/>
                <w:bCs/>
                <w:i/>
                <w:sz w:val="24"/>
                <w:szCs w:val="28"/>
                <w:lang w:eastAsia="ru-RU"/>
              </w:rPr>
            </w:pPr>
            <w:r w:rsidRPr="002C3B54">
              <w:rPr>
                <w:rFonts w:ascii="Times New Roman" w:eastAsia="Times New Roman" w:hAnsi="Times New Roman"/>
                <w:bCs/>
                <w:i/>
                <w:sz w:val="24"/>
                <w:szCs w:val="28"/>
                <w:lang w:eastAsia="ru-RU"/>
              </w:rPr>
              <w:t>Передвижение в пространстве</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Нет проблем</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3</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6,8</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4</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11,4</w:t>
            </w:r>
          </w:p>
        </w:tc>
        <w:tc>
          <w:tcPr>
            <w:tcW w:w="727"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0,476</w:t>
            </w:r>
          </w:p>
        </w:tc>
      </w:tr>
      <w:tr w:rsidR="00030013" w:rsidRPr="00AD0086" w:rsidTr="00B14E16">
        <w:trPr>
          <w:trHeight w:val="397"/>
        </w:trPr>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Есть некоторые проблемы</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41</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93,2</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31</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88,6</w:t>
            </w:r>
          </w:p>
        </w:tc>
        <w:tc>
          <w:tcPr>
            <w:tcW w:w="727"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0,534</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proofErr w:type="gramStart"/>
            <w:r w:rsidRPr="00AD0086">
              <w:rPr>
                <w:rFonts w:ascii="Times New Roman" w:eastAsia="Times New Roman" w:hAnsi="Times New Roman"/>
                <w:bCs/>
                <w:sz w:val="24"/>
                <w:szCs w:val="28"/>
                <w:lang w:eastAsia="ru-RU"/>
              </w:rPr>
              <w:t>Прикован</w:t>
            </w:r>
            <w:proofErr w:type="gramEnd"/>
            <w:r w:rsidRPr="00AD0086">
              <w:rPr>
                <w:rFonts w:ascii="Times New Roman" w:eastAsia="Times New Roman" w:hAnsi="Times New Roman"/>
                <w:bCs/>
                <w:sz w:val="24"/>
                <w:szCs w:val="28"/>
                <w:lang w:eastAsia="ru-RU"/>
              </w:rPr>
              <w:t xml:space="preserve"> к кровати</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w:t>
            </w:r>
          </w:p>
        </w:tc>
        <w:tc>
          <w:tcPr>
            <w:tcW w:w="727"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1,00</w:t>
            </w:r>
          </w:p>
        </w:tc>
      </w:tr>
      <w:tr w:rsidR="00030013" w:rsidRPr="00AD0086" w:rsidTr="00B14E16">
        <w:tc>
          <w:tcPr>
            <w:tcW w:w="5000" w:type="pct"/>
            <w:gridSpan w:val="6"/>
            <w:shd w:val="clear" w:color="auto" w:fill="auto"/>
          </w:tcPr>
          <w:p w:rsidR="00030013" w:rsidRPr="002C3B54" w:rsidRDefault="00030013" w:rsidP="00F71B34">
            <w:pPr>
              <w:spacing w:after="0" w:line="360" w:lineRule="auto"/>
              <w:jc w:val="center"/>
              <w:rPr>
                <w:rFonts w:ascii="Times New Roman" w:eastAsia="Times New Roman" w:hAnsi="Times New Roman"/>
                <w:bCs/>
                <w:i/>
                <w:sz w:val="24"/>
                <w:szCs w:val="28"/>
                <w:lang w:eastAsia="ru-RU"/>
              </w:rPr>
            </w:pPr>
            <w:r w:rsidRPr="002C3B54">
              <w:rPr>
                <w:rFonts w:ascii="Times New Roman" w:eastAsia="Times New Roman" w:hAnsi="Times New Roman"/>
                <w:bCs/>
                <w:i/>
                <w:sz w:val="24"/>
                <w:szCs w:val="28"/>
                <w:lang w:eastAsia="ru-RU"/>
              </w:rPr>
              <w:t>Самообслуживание</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Нет проблем</w:t>
            </w:r>
          </w:p>
        </w:tc>
        <w:tc>
          <w:tcPr>
            <w:tcW w:w="569" w:type="pct"/>
            <w:shd w:val="clear" w:color="auto" w:fill="auto"/>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3</w:t>
            </w:r>
          </w:p>
        </w:tc>
        <w:tc>
          <w:tcPr>
            <w:tcW w:w="597" w:type="pct"/>
            <w:shd w:val="clear" w:color="auto" w:fill="auto"/>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6,8</w:t>
            </w:r>
          </w:p>
        </w:tc>
        <w:tc>
          <w:tcPr>
            <w:tcW w:w="559"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6</w:t>
            </w:r>
          </w:p>
        </w:tc>
        <w:tc>
          <w:tcPr>
            <w:tcW w:w="602"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17,1</w:t>
            </w:r>
          </w:p>
        </w:tc>
        <w:tc>
          <w:tcPr>
            <w:tcW w:w="727"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0,156</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Есть некоторые проблемы</w:t>
            </w:r>
          </w:p>
        </w:tc>
        <w:tc>
          <w:tcPr>
            <w:tcW w:w="569" w:type="pct"/>
            <w:shd w:val="clear" w:color="auto" w:fill="auto"/>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35</w:t>
            </w:r>
          </w:p>
        </w:tc>
        <w:tc>
          <w:tcPr>
            <w:tcW w:w="597" w:type="pct"/>
            <w:shd w:val="clear" w:color="auto" w:fill="auto"/>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79,6</w:t>
            </w:r>
          </w:p>
        </w:tc>
        <w:tc>
          <w:tcPr>
            <w:tcW w:w="559"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27</w:t>
            </w:r>
          </w:p>
        </w:tc>
        <w:tc>
          <w:tcPr>
            <w:tcW w:w="602"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77,2</w:t>
            </w:r>
          </w:p>
        </w:tc>
        <w:tc>
          <w:tcPr>
            <w:tcW w:w="727"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0,747</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Не может сам мыться и одеваться</w:t>
            </w:r>
          </w:p>
        </w:tc>
        <w:tc>
          <w:tcPr>
            <w:tcW w:w="569" w:type="pct"/>
            <w:shd w:val="clear" w:color="auto" w:fill="auto"/>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6</w:t>
            </w:r>
          </w:p>
        </w:tc>
        <w:tc>
          <w:tcPr>
            <w:tcW w:w="597" w:type="pct"/>
            <w:shd w:val="clear" w:color="auto" w:fill="auto"/>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13,6</w:t>
            </w:r>
          </w:p>
        </w:tc>
        <w:tc>
          <w:tcPr>
            <w:tcW w:w="559"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w:t>
            </w:r>
          </w:p>
        </w:tc>
        <w:tc>
          <w:tcPr>
            <w:tcW w:w="602"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5,7</w:t>
            </w:r>
          </w:p>
        </w:tc>
        <w:tc>
          <w:tcPr>
            <w:tcW w:w="727" w:type="pct"/>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0,252</w:t>
            </w:r>
          </w:p>
        </w:tc>
      </w:tr>
      <w:tr w:rsidR="00030013" w:rsidRPr="00AD0086" w:rsidTr="00B14E16">
        <w:tc>
          <w:tcPr>
            <w:tcW w:w="5000" w:type="pct"/>
            <w:gridSpan w:val="6"/>
            <w:shd w:val="clear" w:color="auto" w:fill="auto"/>
          </w:tcPr>
          <w:p w:rsidR="00030013" w:rsidRPr="002C3B54" w:rsidRDefault="00030013" w:rsidP="00F71B34">
            <w:pPr>
              <w:spacing w:after="0" w:line="360" w:lineRule="auto"/>
              <w:jc w:val="center"/>
              <w:rPr>
                <w:rFonts w:ascii="Times New Roman" w:eastAsia="Times New Roman" w:hAnsi="Times New Roman"/>
                <w:bCs/>
                <w:i/>
                <w:sz w:val="24"/>
                <w:szCs w:val="28"/>
                <w:lang w:eastAsia="ru-RU"/>
              </w:rPr>
            </w:pPr>
            <w:r w:rsidRPr="002C3B54">
              <w:rPr>
                <w:rFonts w:ascii="Times New Roman" w:eastAsia="Times New Roman" w:hAnsi="Times New Roman"/>
                <w:bCs/>
                <w:i/>
                <w:sz w:val="24"/>
                <w:szCs w:val="28"/>
                <w:lang w:eastAsia="ru-RU"/>
              </w:rPr>
              <w:t>Повседневная активность</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Нет проблем</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6</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13,6</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8</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22,9</w:t>
            </w:r>
          </w:p>
        </w:tc>
        <w:tc>
          <w:tcPr>
            <w:tcW w:w="727"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0,304</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Есть некоторые проблемы</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26</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59,1</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24</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68,5</w:t>
            </w:r>
          </w:p>
        </w:tc>
        <w:tc>
          <w:tcPr>
            <w:tcW w:w="727"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0,392</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Не может выполнять повседневные дела</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12</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27,3</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3</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8,6</w:t>
            </w:r>
          </w:p>
        </w:tc>
        <w:tc>
          <w:tcPr>
            <w:tcW w:w="727"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0,039</w:t>
            </w:r>
          </w:p>
        </w:tc>
      </w:tr>
      <w:tr w:rsidR="00030013" w:rsidRPr="00AD0086" w:rsidTr="00B14E16">
        <w:tc>
          <w:tcPr>
            <w:tcW w:w="5000" w:type="pct"/>
            <w:gridSpan w:val="6"/>
            <w:shd w:val="clear" w:color="auto" w:fill="auto"/>
          </w:tcPr>
          <w:p w:rsidR="00030013" w:rsidRPr="002C3B54" w:rsidRDefault="00030013" w:rsidP="00404230">
            <w:pPr>
              <w:spacing w:after="0" w:line="360" w:lineRule="auto"/>
              <w:jc w:val="center"/>
              <w:rPr>
                <w:rFonts w:ascii="Times New Roman" w:eastAsia="Times New Roman" w:hAnsi="Times New Roman"/>
                <w:bCs/>
                <w:i/>
                <w:sz w:val="24"/>
                <w:szCs w:val="28"/>
                <w:lang w:eastAsia="ru-RU"/>
              </w:rPr>
            </w:pPr>
            <w:r w:rsidRPr="002C3B54">
              <w:rPr>
                <w:rFonts w:ascii="Times New Roman" w:eastAsia="Times New Roman" w:hAnsi="Times New Roman"/>
                <w:bCs/>
                <w:i/>
                <w:sz w:val="24"/>
                <w:szCs w:val="28"/>
                <w:lang w:eastAsia="ru-RU"/>
              </w:rPr>
              <w:t>Боль и дискомфорт</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Нет боли и дискомфорта</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w:t>
            </w:r>
          </w:p>
        </w:tc>
        <w:tc>
          <w:tcPr>
            <w:tcW w:w="727"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1,00</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Есть небольшая боль</w:t>
            </w:r>
            <w:r w:rsidR="002C3B54">
              <w:rPr>
                <w:rFonts w:ascii="Times New Roman" w:eastAsia="Times New Roman" w:hAnsi="Times New Roman"/>
                <w:bCs/>
                <w:sz w:val="24"/>
                <w:szCs w:val="28"/>
                <w:lang w:eastAsia="ru-RU"/>
              </w:rPr>
              <w:br/>
            </w:r>
            <w:r w:rsidRPr="00AD0086">
              <w:rPr>
                <w:rFonts w:ascii="Times New Roman" w:eastAsia="Times New Roman" w:hAnsi="Times New Roman"/>
                <w:bCs/>
                <w:sz w:val="24"/>
                <w:szCs w:val="28"/>
                <w:lang w:eastAsia="ru-RU"/>
              </w:rPr>
              <w:t>и дискомфорт</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15</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34,1</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15</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42,9</w:t>
            </w:r>
          </w:p>
        </w:tc>
        <w:tc>
          <w:tcPr>
            <w:tcW w:w="727"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0,415</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Есть сильная боль и дискомфорт</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29</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65,9</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20</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57,1</w:t>
            </w:r>
          </w:p>
        </w:tc>
        <w:tc>
          <w:tcPr>
            <w:tcW w:w="727"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0,426</w:t>
            </w:r>
          </w:p>
        </w:tc>
      </w:tr>
      <w:tr w:rsidR="00030013" w:rsidRPr="00AD0086" w:rsidTr="00B14E16">
        <w:tc>
          <w:tcPr>
            <w:tcW w:w="5000" w:type="pct"/>
            <w:gridSpan w:val="6"/>
            <w:shd w:val="clear" w:color="auto" w:fill="auto"/>
          </w:tcPr>
          <w:p w:rsidR="00030013" w:rsidRPr="002C3B54" w:rsidRDefault="00030013" w:rsidP="00404230">
            <w:pPr>
              <w:spacing w:after="0" w:line="360" w:lineRule="auto"/>
              <w:jc w:val="center"/>
              <w:rPr>
                <w:rFonts w:ascii="Times New Roman" w:eastAsia="Times New Roman" w:hAnsi="Times New Roman"/>
                <w:bCs/>
                <w:i/>
                <w:sz w:val="24"/>
                <w:szCs w:val="28"/>
                <w:lang w:eastAsia="ru-RU"/>
              </w:rPr>
            </w:pPr>
            <w:r w:rsidRPr="002C3B54">
              <w:rPr>
                <w:rFonts w:ascii="Times New Roman" w:eastAsia="Times New Roman" w:hAnsi="Times New Roman"/>
                <w:bCs/>
                <w:i/>
                <w:sz w:val="24"/>
                <w:szCs w:val="28"/>
                <w:lang w:eastAsia="ru-RU"/>
              </w:rPr>
              <w:t>Тревога и депрессия</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Нет тревоги и депрессии</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4,5</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10</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28,6</w:t>
            </w:r>
          </w:p>
        </w:tc>
        <w:tc>
          <w:tcPr>
            <w:tcW w:w="727"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0,004</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Есть небольшая тревога</w:t>
            </w:r>
            <w:r w:rsidR="002C3B54">
              <w:rPr>
                <w:rFonts w:ascii="Times New Roman" w:eastAsia="Times New Roman" w:hAnsi="Times New Roman"/>
                <w:bCs/>
                <w:sz w:val="24"/>
                <w:szCs w:val="28"/>
                <w:lang w:eastAsia="ru-RU"/>
              </w:rPr>
              <w:br/>
            </w:r>
            <w:r w:rsidRPr="00AD0086">
              <w:rPr>
                <w:rFonts w:ascii="Times New Roman" w:eastAsia="Times New Roman" w:hAnsi="Times New Roman"/>
                <w:bCs/>
                <w:sz w:val="24"/>
                <w:szCs w:val="28"/>
                <w:lang w:eastAsia="ru-RU"/>
              </w:rPr>
              <w:t>и депрессия</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26</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59,1</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16</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45,7</w:t>
            </w:r>
          </w:p>
        </w:tc>
        <w:tc>
          <w:tcPr>
            <w:tcW w:w="727"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0,239</w:t>
            </w:r>
          </w:p>
        </w:tc>
      </w:tr>
      <w:tr w:rsidR="00030013" w:rsidRPr="00AD0086" w:rsidTr="00B14E16">
        <w:tc>
          <w:tcPr>
            <w:tcW w:w="1946" w:type="pct"/>
            <w:shd w:val="clear" w:color="auto" w:fill="auto"/>
          </w:tcPr>
          <w:p w:rsidR="00030013" w:rsidRPr="00AD0086" w:rsidRDefault="00030013" w:rsidP="00404230">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Есть выраженная тревога</w:t>
            </w:r>
            <w:r w:rsidR="002C3B54">
              <w:rPr>
                <w:rFonts w:ascii="Times New Roman" w:eastAsia="Times New Roman" w:hAnsi="Times New Roman"/>
                <w:bCs/>
                <w:sz w:val="24"/>
                <w:szCs w:val="28"/>
                <w:lang w:eastAsia="ru-RU"/>
              </w:rPr>
              <w:br/>
            </w:r>
            <w:r w:rsidRPr="00AD0086">
              <w:rPr>
                <w:rFonts w:ascii="Times New Roman" w:eastAsia="Times New Roman" w:hAnsi="Times New Roman"/>
                <w:bCs/>
                <w:sz w:val="24"/>
                <w:szCs w:val="28"/>
                <w:lang w:eastAsia="ru-RU"/>
              </w:rPr>
              <w:t>и депрессия</w:t>
            </w:r>
          </w:p>
        </w:tc>
        <w:tc>
          <w:tcPr>
            <w:tcW w:w="569"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16</w:t>
            </w:r>
          </w:p>
        </w:tc>
        <w:tc>
          <w:tcPr>
            <w:tcW w:w="597" w:type="pct"/>
            <w:shd w:val="clear" w:color="auto" w:fill="auto"/>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36,5</w:t>
            </w:r>
          </w:p>
        </w:tc>
        <w:tc>
          <w:tcPr>
            <w:tcW w:w="559"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9</w:t>
            </w:r>
          </w:p>
        </w:tc>
        <w:tc>
          <w:tcPr>
            <w:tcW w:w="602"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25,7</w:t>
            </w:r>
          </w:p>
        </w:tc>
        <w:tc>
          <w:tcPr>
            <w:tcW w:w="727" w:type="pct"/>
            <w:vAlign w:val="center"/>
          </w:tcPr>
          <w:p w:rsidR="00030013" w:rsidRPr="00AD0086" w:rsidRDefault="00030013" w:rsidP="00AD0086">
            <w:pPr>
              <w:spacing w:after="0" w:line="360" w:lineRule="auto"/>
              <w:jc w:val="center"/>
              <w:rPr>
                <w:rFonts w:ascii="Times New Roman" w:eastAsia="Times New Roman" w:hAnsi="Times New Roman"/>
                <w:bCs/>
                <w:sz w:val="24"/>
                <w:szCs w:val="28"/>
                <w:lang w:eastAsia="ru-RU"/>
              </w:rPr>
            </w:pPr>
            <w:r w:rsidRPr="00AD0086">
              <w:rPr>
                <w:rFonts w:ascii="Times New Roman" w:eastAsia="Times New Roman" w:hAnsi="Times New Roman"/>
                <w:bCs/>
                <w:sz w:val="24"/>
                <w:szCs w:val="28"/>
                <w:lang w:eastAsia="ru-RU"/>
              </w:rPr>
              <w:t>0,309</w:t>
            </w:r>
          </w:p>
        </w:tc>
      </w:tr>
    </w:tbl>
    <w:p w:rsidR="009F0B3D" w:rsidRDefault="009F0B3D" w:rsidP="0094520E">
      <w:pPr>
        <w:spacing w:after="0" w:line="360" w:lineRule="auto"/>
        <w:ind w:firstLine="708"/>
        <w:jc w:val="both"/>
        <w:rPr>
          <w:rFonts w:ascii="Times New Roman" w:eastAsia="Times New Roman" w:hAnsi="Times New Roman"/>
          <w:bCs/>
          <w:sz w:val="28"/>
          <w:szCs w:val="28"/>
          <w:lang w:eastAsia="ru-RU"/>
        </w:rPr>
      </w:pPr>
    </w:p>
    <w:p w:rsidR="00030013" w:rsidRPr="00F71B34" w:rsidRDefault="00030013" w:rsidP="0094520E">
      <w:pPr>
        <w:spacing w:after="0" w:line="360" w:lineRule="auto"/>
        <w:ind w:firstLine="708"/>
        <w:jc w:val="both"/>
        <w:rPr>
          <w:rFonts w:ascii="Times New Roman" w:eastAsia="Times New Roman" w:hAnsi="Times New Roman"/>
          <w:bCs/>
          <w:sz w:val="28"/>
          <w:szCs w:val="28"/>
          <w:lang w:eastAsia="ru-RU"/>
        </w:rPr>
      </w:pPr>
      <w:r w:rsidRPr="00F71B34">
        <w:rPr>
          <w:rFonts w:ascii="Times New Roman" w:eastAsia="Times New Roman" w:hAnsi="Times New Roman"/>
          <w:bCs/>
          <w:sz w:val="28"/>
          <w:szCs w:val="28"/>
          <w:lang w:eastAsia="ru-RU"/>
        </w:rPr>
        <w:t xml:space="preserve">При расчете количественного индекса здоровья по опроснику </w:t>
      </w:r>
      <w:r w:rsidRPr="00F71B34">
        <w:rPr>
          <w:rFonts w:ascii="Times New Roman" w:eastAsia="Times New Roman" w:hAnsi="Times New Roman"/>
          <w:bCs/>
          <w:sz w:val="28"/>
          <w:szCs w:val="28"/>
          <w:lang w:val="en-US" w:eastAsia="ru-RU"/>
        </w:rPr>
        <w:t>EQ</w:t>
      </w:r>
      <w:r w:rsidRPr="00F71B34">
        <w:rPr>
          <w:rFonts w:ascii="Times New Roman" w:eastAsia="Times New Roman" w:hAnsi="Times New Roman"/>
          <w:bCs/>
          <w:sz w:val="28"/>
          <w:szCs w:val="28"/>
          <w:lang w:eastAsia="ru-RU"/>
        </w:rPr>
        <w:t>-5</w:t>
      </w:r>
      <w:r w:rsidRPr="00F71B34">
        <w:rPr>
          <w:rFonts w:ascii="Times New Roman" w:eastAsia="Times New Roman" w:hAnsi="Times New Roman"/>
          <w:bCs/>
          <w:sz w:val="28"/>
          <w:szCs w:val="28"/>
          <w:lang w:val="en-US" w:eastAsia="ru-RU"/>
        </w:rPr>
        <w:t>D</w:t>
      </w:r>
      <w:r w:rsidRPr="00F71B34">
        <w:rPr>
          <w:rFonts w:ascii="Times New Roman" w:eastAsia="Times New Roman" w:hAnsi="Times New Roman"/>
          <w:bCs/>
          <w:sz w:val="28"/>
          <w:szCs w:val="28"/>
          <w:lang w:eastAsia="ru-RU"/>
        </w:rPr>
        <w:t xml:space="preserve"> установлено, что исходно у пациентов, получавших комбинированную терапию </w:t>
      </w:r>
      <w:r w:rsidRPr="00F71B34">
        <w:rPr>
          <w:rFonts w:ascii="Times New Roman" w:eastAsia="Times New Roman" w:hAnsi="Times New Roman"/>
          <w:bCs/>
          <w:sz w:val="28"/>
          <w:szCs w:val="28"/>
          <w:lang w:eastAsia="ru-RU"/>
        </w:rPr>
        <w:lastRenderedPageBreak/>
        <w:t>РТМ и МТХ, показатель индекса здоровья достоверно не различался с данным показателем у пациентов с монотерапией МТХ</w:t>
      </w:r>
      <w:r w:rsidR="00CD2EDC">
        <w:rPr>
          <w:rFonts w:ascii="Times New Roman" w:eastAsia="Times New Roman" w:hAnsi="Times New Roman"/>
          <w:bCs/>
          <w:sz w:val="28"/>
          <w:szCs w:val="28"/>
          <w:lang w:eastAsia="ru-RU"/>
        </w:rPr>
        <w:t xml:space="preserve"> – </w:t>
      </w:r>
      <w:r w:rsidRPr="00F71B34">
        <w:rPr>
          <w:rFonts w:ascii="Times New Roman" w:eastAsia="Times New Roman" w:hAnsi="Times New Roman"/>
          <w:bCs/>
          <w:sz w:val="28"/>
          <w:szCs w:val="28"/>
          <w:lang w:eastAsia="ru-RU"/>
        </w:rPr>
        <w:t>0,26±0,03 и 0,34±0,03 (</w:t>
      </w:r>
      <w:r w:rsidRPr="00F71B34">
        <w:rPr>
          <w:rFonts w:ascii="Times New Roman" w:eastAsia="Times New Roman" w:hAnsi="Times New Roman"/>
          <w:bCs/>
          <w:sz w:val="28"/>
          <w:szCs w:val="28"/>
          <w:lang w:val="en-US" w:eastAsia="ru-RU"/>
        </w:rPr>
        <w:t>p</w:t>
      </w:r>
      <w:r w:rsidRPr="00F71B34">
        <w:rPr>
          <w:rFonts w:ascii="Times New Roman" w:eastAsia="Times New Roman" w:hAnsi="Times New Roman"/>
          <w:bCs/>
          <w:sz w:val="28"/>
          <w:szCs w:val="28"/>
          <w:lang w:eastAsia="ru-RU"/>
        </w:rPr>
        <w:t xml:space="preserve">=0,053). </w:t>
      </w:r>
    </w:p>
    <w:p w:rsidR="00030013" w:rsidRPr="00F71B34" w:rsidRDefault="00030013" w:rsidP="00F71B34">
      <w:pPr>
        <w:spacing w:after="0" w:line="360" w:lineRule="auto"/>
        <w:ind w:firstLine="708"/>
        <w:jc w:val="both"/>
        <w:rPr>
          <w:rFonts w:ascii="Times New Roman" w:eastAsia="Times New Roman" w:hAnsi="Times New Roman"/>
          <w:bCs/>
          <w:sz w:val="28"/>
          <w:szCs w:val="28"/>
          <w:lang w:eastAsia="ru-RU"/>
        </w:rPr>
      </w:pPr>
      <w:r w:rsidRPr="00F71B34">
        <w:rPr>
          <w:rFonts w:ascii="Times New Roman" w:eastAsia="Times New Roman" w:hAnsi="Times New Roman"/>
          <w:bCs/>
          <w:sz w:val="28"/>
          <w:szCs w:val="28"/>
          <w:lang w:eastAsia="ru-RU"/>
        </w:rPr>
        <w:t>Через год терапии отмечалось  статистически значимое увеличение показателя в обеих группах больных</w:t>
      </w:r>
      <w:r w:rsidR="00CD2EDC">
        <w:rPr>
          <w:rFonts w:ascii="Times New Roman" w:eastAsia="Times New Roman" w:hAnsi="Times New Roman"/>
          <w:bCs/>
          <w:sz w:val="28"/>
          <w:szCs w:val="28"/>
          <w:lang w:eastAsia="ru-RU"/>
        </w:rPr>
        <w:t xml:space="preserve"> – </w:t>
      </w:r>
      <w:r w:rsidRPr="00F71B34">
        <w:rPr>
          <w:rFonts w:ascii="Times New Roman" w:eastAsia="Times New Roman" w:hAnsi="Times New Roman"/>
          <w:bCs/>
          <w:sz w:val="28"/>
          <w:szCs w:val="28"/>
          <w:lang w:eastAsia="ru-RU"/>
        </w:rPr>
        <w:t>0,53±0,03 и 0,54±0,04 (</w:t>
      </w:r>
      <w:proofErr w:type="gramStart"/>
      <w:r w:rsidRPr="00F71B34">
        <w:rPr>
          <w:rFonts w:ascii="Times New Roman" w:eastAsia="Times New Roman" w:hAnsi="Times New Roman"/>
          <w:bCs/>
          <w:sz w:val="28"/>
          <w:szCs w:val="28"/>
          <w:lang w:eastAsia="ru-RU"/>
        </w:rPr>
        <w:t>р</w:t>
      </w:r>
      <w:proofErr w:type="gramEnd"/>
      <w:r w:rsidRPr="00F71B34">
        <w:rPr>
          <w:rFonts w:ascii="Times New Roman" w:eastAsia="Times New Roman" w:hAnsi="Times New Roman"/>
          <w:bCs/>
          <w:sz w:val="28"/>
          <w:szCs w:val="28"/>
          <w:lang w:eastAsia="ru-RU"/>
        </w:rPr>
        <w:t xml:space="preserve">=0,000001 и р=0,0007 соответственно). </w:t>
      </w:r>
      <w:r w:rsidRPr="002C3B54">
        <w:rPr>
          <w:rFonts w:ascii="Times New Roman" w:eastAsia="Times New Roman" w:hAnsi="Times New Roman"/>
          <w:bCs/>
          <w:spacing w:val="-4"/>
          <w:sz w:val="28"/>
          <w:szCs w:val="28"/>
          <w:lang w:eastAsia="ru-RU"/>
        </w:rPr>
        <w:t>Изменение индекса здоровья на фоне комбинированной терапии РТМ и МТХ соответствовало удовлетворительному</w:t>
      </w:r>
      <w:r w:rsidRPr="00F71B34">
        <w:rPr>
          <w:rFonts w:ascii="Times New Roman" w:eastAsia="Times New Roman" w:hAnsi="Times New Roman"/>
          <w:bCs/>
          <w:sz w:val="28"/>
          <w:szCs w:val="28"/>
          <w:lang w:eastAsia="ru-RU"/>
        </w:rPr>
        <w:t xml:space="preserve"> терапевтическому эффекту (∆ EQ-5D</w:t>
      </w:r>
      <w:r w:rsidR="00CD2EDC">
        <w:rPr>
          <w:rFonts w:ascii="Times New Roman" w:eastAsia="Times New Roman" w:hAnsi="Times New Roman"/>
          <w:bCs/>
          <w:sz w:val="28"/>
          <w:szCs w:val="28"/>
          <w:lang w:eastAsia="ru-RU"/>
        </w:rPr>
        <w:t xml:space="preserve"> – </w:t>
      </w:r>
      <w:r w:rsidRPr="00F71B34">
        <w:rPr>
          <w:rFonts w:ascii="Times New Roman" w:eastAsia="Times New Roman" w:hAnsi="Times New Roman"/>
          <w:bCs/>
          <w:sz w:val="28"/>
          <w:szCs w:val="28"/>
          <w:lang w:eastAsia="ru-RU"/>
        </w:rPr>
        <w:t>0,26), тогда как в группе больных с монотерапией МТХ</w:t>
      </w:r>
      <w:r w:rsidR="00CD2EDC">
        <w:rPr>
          <w:rFonts w:ascii="Times New Roman" w:eastAsia="Times New Roman" w:hAnsi="Times New Roman"/>
          <w:bCs/>
          <w:sz w:val="28"/>
          <w:szCs w:val="28"/>
          <w:lang w:eastAsia="ru-RU"/>
        </w:rPr>
        <w:t xml:space="preserve"> – </w:t>
      </w:r>
      <w:r w:rsidRPr="00F71B34">
        <w:rPr>
          <w:rFonts w:ascii="Times New Roman" w:eastAsia="Times New Roman" w:hAnsi="Times New Roman"/>
          <w:bCs/>
          <w:sz w:val="28"/>
          <w:szCs w:val="28"/>
          <w:lang w:eastAsia="ru-RU"/>
        </w:rPr>
        <w:t>минимальному (∆ EQ-5D</w:t>
      </w:r>
      <w:r w:rsidR="00CD2EDC">
        <w:rPr>
          <w:rFonts w:ascii="Times New Roman" w:eastAsia="Times New Roman" w:hAnsi="Times New Roman"/>
          <w:bCs/>
          <w:sz w:val="28"/>
          <w:szCs w:val="28"/>
          <w:lang w:eastAsia="ru-RU"/>
        </w:rPr>
        <w:t xml:space="preserve"> – </w:t>
      </w:r>
      <w:r w:rsidRPr="00F71B34">
        <w:rPr>
          <w:rFonts w:ascii="Times New Roman" w:eastAsia="Times New Roman" w:hAnsi="Times New Roman"/>
          <w:bCs/>
          <w:sz w:val="28"/>
          <w:szCs w:val="28"/>
          <w:lang w:eastAsia="ru-RU"/>
        </w:rPr>
        <w:t>0,20). Аналогичные соотношения сохранялись и через 24 месяца терапии (рис</w:t>
      </w:r>
      <w:r w:rsidR="002C3B54">
        <w:rPr>
          <w:rFonts w:ascii="Times New Roman" w:eastAsia="Times New Roman" w:hAnsi="Times New Roman"/>
          <w:bCs/>
          <w:sz w:val="28"/>
          <w:szCs w:val="28"/>
          <w:lang w:eastAsia="ru-RU"/>
        </w:rPr>
        <w:t>.</w:t>
      </w:r>
      <w:r w:rsidRPr="00F71B34">
        <w:rPr>
          <w:rFonts w:ascii="Times New Roman" w:eastAsia="Times New Roman" w:hAnsi="Times New Roman"/>
          <w:bCs/>
          <w:sz w:val="28"/>
          <w:szCs w:val="28"/>
          <w:lang w:eastAsia="ru-RU"/>
        </w:rPr>
        <w:t xml:space="preserve"> 1</w:t>
      </w:r>
      <w:r w:rsidR="00112E18">
        <w:rPr>
          <w:rFonts w:ascii="Times New Roman" w:eastAsia="Times New Roman" w:hAnsi="Times New Roman"/>
          <w:bCs/>
          <w:sz w:val="28"/>
          <w:szCs w:val="28"/>
          <w:lang w:eastAsia="ru-RU"/>
        </w:rPr>
        <w:t>5</w:t>
      </w:r>
      <w:r w:rsidRPr="00F71B34">
        <w:rPr>
          <w:rFonts w:ascii="Times New Roman" w:eastAsia="Times New Roman" w:hAnsi="Times New Roman"/>
          <w:bCs/>
          <w:sz w:val="28"/>
          <w:szCs w:val="28"/>
          <w:lang w:eastAsia="ru-RU"/>
        </w:rPr>
        <w:t>).</w:t>
      </w:r>
    </w:p>
    <w:p w:rsidR="00030013" w:rsidRPr="002C3B54" w:rsidRDefault="00030013" w:rsidP="00F71B34">
      <w:pPr>
        <w:spacing w:after="0" w:line="360" w:lineRule="auto"/>
        <w:ind w:firstLine="708"/>
        <w:jc w:val="both"/>
        <w:rPr>
          <w:rFonts w:ascii="Times New Roman" w:eastAsia="Times New Roman" w:hAnsi="Times New Roman"/>
          <w:bCs/>
          <w:color w:val="FF0000"/>
          <w:sz w:val="16"/>
          <w:szCs w:val="16"/>
          <w:lang w:eastAsia="ru-RU"/>
        </w:rPr>
      </w:pPr>
    </w:p>
    <w:p w:rsidR="00030013" w:rsidRPr="002C3B54" w:rsidRDefault="001A28E5" w:rsidP="00F71B34">
      <w:pPr>
        <w:spacing w:after="0" w:line="360" w:lineRule="auto"/>
        <w:jc w:val="both"/>
        <w:rPr>
          <w:rFonts w:ascii="Times New Roman" w:eastAsia="Times New Roman" w:hAnsi="Times New Roman"/>
          <w:bCs/>
          <w:sz w:val="16"/>
          <w:szCs w:val="16"/>
          <w:lang w:eastAsia="ru-RU"/>
        </w:rPr>
      </w:pPr>
      <w:r>
        <w:rPr>
          <w:rFonts w:ascii="Times New Roman" w:hAnsi="Times New Roman"/>
          <w:noProof/>
          <w:sz w:val="28"/>
          <w:szCs w:val="28"/>
          <w:lang w:eastAsia="ru-RU"/>
        </w:rPr>
        <w:drawing>
          <wp:inline distT="0" distB="0" distL="0" distR="0">
            <wp:extent cx="6339840" cy="3088640"/>
            <wp:effectExtent l="0" t="0" r="3810" b="0"/>
            <wp:docPr id="1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0013" w:rsidRPr="00F71B34" w:rsidRDefault="00076EDF" w:rsidP="00F71B34">
      <w:pPr>
        <w:spacing w:after="0" w:line="360" w:lineRule="auto"/>
        <w:jc w:val="both"/>
        <w:rPr>
          <w:rFonts w:ascii="Times New Roman" w:eastAsia="Times New Roman" w:hAnsi="Times New Roman"/>
          <w:bCs/>
          <w:sz w:val="28"/>
          <w:szCs w:val="28"/>
          <w:lang w:eastAsia="ru-RU"/>
        </w:rPr>
      </w:pPr>
      <w:r w:rsidRPr="002C3B54">
        <w:rPr>
          <w:rFonts w:ascii="Times New Roman" w:eastAsia="Times New Roman" w:hAnsi="Times New Roman"/>
          <w:bCs/>
          <w:spacing w:val="40"/>
          <w:sz w:val="28"/>
          <w:szCs w:val="28"/>
          <w:lang w:eastAsia="ru-RU"/>
        </w:rPr>
        <w:t>Рисунок</w:t>
      </w:r>
      <w:r w:rsidRPr="00F71B34">
        <w:rPr>
          <w:rFonts w:ascii="Times New Roman" w:eastAsia="Times New Roman" w:hAnsi="Times New Roman"/>
          <w:bCs/>
          <w:sz w:val="28"/>
          <w:szCs w:val="28"/>
          <w:lang w:eastAsia="ru-RU"/>
        </w:rPr>
        <w:t xml:space="preserve"> </w:t>
      </w:r>
      <w:r w:rsidR="00112E18">
        <w:rPr>
          <w:rFonts w:ascii="Times New Roman" w:eastAsia="Times New Roman" w:hAnsi="Times New Roman"/>
          <w:bCs/>
          <w:sz w:val="28"/>
          <w:szCs w:val="28"/>
          <w:lang w:eastAsia="ru-RU"/>
        </w:rPr>
        <w:t>15</w:t>
      </w:r>
      <w:r w:rsidR="00CD2EDC">
        <w:rPr>
          <w:rFonts w:ascii="Times New Roman" w:eastAsia="Times New Roman" w:hAnsi="Times New Roman"/>
          <w:bCs/>
          <w:sz w:val="28"/>
          <w:szCs w:val="28"/>
          <w:lang w:eastAsia="ru-RU"/>
        </w:rPr>
        <w:t xml:space="preserve"> – </w:t>
      </w:r>
      <w:r w:rsidR="00030013" w:rsidRPr="00F71B34">
        <w:rPr>
          <w:rFonts w:ascii="Times New Roman" w:eastAsia="Times New Roman" w:hAnsi="Times New Roman"/>
          <w:bCs/>
          <w:sz w:val="28"/>
          <w:szCs w:val="28"/>
          <w:lang w:eastAsia="ru-RU"/>
        </w:rPr>
        <w:t>Динамика индекса здоровья EQ-5D у больных РА                                                   исходно и на фоне терапии через 12, 24 месяца</w:t>
      </w:r>
    </w:p>
    <w:p w:rsidR="00030013" w:rsidRPr="00F71B34" w:rsidRDefault="00030013" w:rsidP="00F71B34">
      <w:pPr>
        <w:spacing w:after="0" w:line="360" w:lineRule="auto"/>
        <w:jc w:val="both"/>
        <w:rPr>
          <w:rFonts w:ascii="Times New Roman" w:eastAsia="Times New Roman" w:hAnsi="Times New Roman"/>
          <w:bCs/>
          <w:color w:val="FF0000"/>
          <w:sz w:val="28"/>
          <w:szCs w:val="28"/>
          <w:lang w:eastAsia="ru-RU"/>
        </w:rPr>
      </w:pPr>
    </w:p>
    <w:p w:rsidR="00030013" w:rsidRPr="00F71B34" w:rsidRDefault="00030013" w:rsidP="00F71B34">
      <w:pPr>
        <w:spacing w:after="0" w:line="360" w:lineRule="auto"/>
        <w:ind w:firstLine="708"/>
        <w:jc w:val="both"/>
        <w:rPr>
          <w:rFonts w:ascii="Times New Roman" w:eastAsia="Times New Roman" w:hAnsi="Times New Roman"/>
          <w:bCs/>
          <w:sz w:val="28"/>
          <w:szCs w:val="28"/>
          <w:lang w:eastAsia="ru-RU"/>
        </w:rPr>
      </w:pPr>
      <w:r w:rsidRPr="00F71B34">
        <w:rPr>
          <w:rFonts w:ascii="Times New Roman" w:eastAsia="Times New Roman" w:hAnsi="Times New Roman"/>
          <w:bCs/>
          <w:sz w:val="28"/>
          <w:szCs w:val="28"/>
          <w:lang w:eastAsia="ru-RU"/>
        </w:rPr>
        <w:t xml:space="preserve">На втором этапе исследования проводился анализ данных визуальной аналоговой шкалы (ВАШ), так называемого термометра. Исходно у пациентов обеих групп показатель ВАШ статистически значимо не </w:t>
      </w:r>
      <w:r w:rsidR="002C3B54">
        <w:rPr>
          <w:rFonts w:ascii="Times New Roman" w:eastAsia="Times New Roman" w:hAnsi="Times New Roman"/>
          <w:bCs/>
          <w:sz w:val="28"/>
          <w:szCs w:val="28"/>
          <w:lang w:eastAsia="ru-RU"/>
        </w:rPr>
        <w:t>раз</w:t>
      </w:r>
      <w:r w:rsidRPr="00F71B34">
        <w:rPr>
          <w:rFonts w:ascii="Times New Roman" w:eastAsia="Times New Roman" w:hAnsi="Times New Roman"/>
          <w:bCs/>
          <w:sz w:val="28"/>
          <w:szCs w:val="28"/>
          <w:lang w:eastAsia="ru-RU"/>
        </w:rPr>
        <w:t xml:space="preserve">личался (45,07±1,89 и 47,37±2,96 мм, </w:t>
      </w:r>
      <w:proofErr w:type="gramStart"/>
      <w:r w:rsidRPr="00F71B34">
        <w:rPr>
          <w:rFonts w:ascii="Times New Roman" w:eastAsia="Times New Roman" w:hAnsi="Times New Roman"/>
          <w:bCs/>
          <w:sz w:val="28"/>
          <w:szCs w:val="28"/>
          <w:lang w:eastAsia="ru-RU"/>
        </w:rPr>
        <w:t>р</w:t>
      </w:r>
      <w:proofErr w:type="gramEnd"/>
      <w:r w:rsidRPr="00F71B34">
        <w:rPr>
          <w:rFonts w:ascii="Times New Roman" w:eastAsia="Times New Roman" w:hAnsi="Times New Roman"/>
          <w:bCs/>
          <w:sz w:val="28"/>
          <w:szCs w:val="28"/>
          <w:lang w:eastAsia="ru-RU"/>
        </w:rPr>
        <w:t xml:space="preserve">=0,85). Через 12 месяцев наблюдения статистически значимое увеличение показателя ВАШ относительно исходных данных отмечено в группе больных, получавших комбинированную терапию РТМ и МТХ (58,36±2,25 мм, </w:t>
      </w:r>
      <w:proofErr w:type="gramStart"/>
      <w:r w:rsidRPr="00F71B34">
        <w:rPr>
          <w:rFonts w:ascii="Times New Roman" w:eastAsia="Times New Roman" w:hAnsi="Times New Roman"/>
          <w:bCs/>
          <w:sz w:val="28"/>
          <w:szCs w:val="28"/>
          <w:lang w:eastAsia="ru-RU"/>
        </w:rPr>
        <w:lastRenderedPageBreak/>
        <w:t>р</w:t>
      </w:r>
      <w:proofErr w:type="gramEnd"/>
      <w:r w:rsidRPr="00F71B34">
        <w:rPr>
          <w:rFonts w:ascii="Times New Roman" w:eastAsia="Times New Roman" w:hAnsi="Times New Roman"/>
          <w:bCs/>
          <w:sz w:val="28"/>
          <w:szCs w:val="28"/>
          <w:lang w:eastAsia="ru-RU"/>
        </w:rPr>
        <w:t>=0,000001).  Аналогичные соотношения сохранялись и через 24 месяца терапии</w:t>
      </w:r>
      <w:r w:rsidR="00CD2EDC">
        <w:rPr>
          <w:rFonts w:ascii="Times New Roman" w:eastAsia="Times New Roman" w:hAnsi="Times New Roman"/>
          <w:bCs/>
          <w:sz w:val="28"/>
          <w:szCs w:val="28"/>
          <w:lang w:eastAsia="ru-RU"/>
        </w:rPr>
        <w:t xml:space="preserve"> – </w:t>
      </w:r>
      <w:r w:rsidRPr="00F71B34">
        <w:rPr>
          <w:rFonts w:ascii="Times New Roman" w:eastAsia="Times New Roman" w:hAnsi="Times New Roman"/>
          <w:bCs/>
          <w:sz w:val="28"/>
          <w:szCs w:val="28"/>
          <w:lang w:eastAsia="ru-RU"/>
        </w:rPr>
        <w:t>показатель ВАШ составил 59,52±2,55</w:t>
      </w:r>
      <w:r w:rsidR="00921223">
        <w:rPr>
          <w:rFonts w:ascii="Times New Roman" w:eastAsia="Times New Roman" w:hAnsi="Times New Roman"/>
          <w:bCs/>
          <w:sz w:val="28"/>
          <w:szCs w:val="28"/>
          <w:lang w:eastAsia="ru-RU"/>
        </w:rPr>
        <w:t xml:space="preserve"> </w:t>
      </w:r>
      <w:r w:rsidRPr="00F71B34">
        <w:rPr>
          <w:rFonts w:ascii="Times New Roman" w:eastAsia="Times New Roman" w:hAnsi="Times New Roman"/>
          <w:bCs/>
          <w:sz w:val="28"/>
          <w:szCs w:val="28"/>
          <w:lang w:eastAsia="ru-RU"/>
        </w:rPr>
        <w:t>мм относительно исходных данных (</w:t>
      </w:r>
      <w:proofErr w:type="gramStart"/>
      <w:r w:rsidRPr="00F71B34">
        <w:rPr>
          <w:rFonts w:ascii="Times New Roman" w:eastAsia="Times New Roman" w:hAnsi="Times New Roman"/>
          <w:bCs/>
          <w:sz w:val="28"/>
          <w:szCs w:val="28"/>
          <w:lang w:eastAsia="ru-RU"/>
        </w:rPr>
        <w:t>р</w:t>
      </w:r>
      <w:proofErr w:type="gramEnd"/>
      <w:r w:rsidRPr="00F71B34">
        <w:rPr>
          <w:rFonts w:ascii="Times New Roman" w:eastAsia="Times New Roman" w:hAnsi="Times New Roman"/>
          <w:bCs/>
          <w:sz w:val="28"/>
          <w:szCs w:val="28"/>
          <w:lang w:eastAsia="ru-RU"/>
        </w:rPr>
        <w:t>=0,000008). В группе больных с монотерапией МТХ статистически значимых изменений показателя ВАШ не получено (рис</w:t>
      </w:r>
      <w:r w:rsidR="00237CCF">
        <w:rPr>
          <w:rFonts w:ascii="Times New Roman" w:eastAsia="Times New Roman" w:hAnsi="Times New Roman"/>
          <w:bCs/>
          <w:sz w:val="28"/>
          <w:szCs w:val="28"/>
          <w:lang w:eastAsia="ru-RU"/>
        </w:rPr>
        <w:t>.</w:t>
      </w:r>
      <w:r w:rsidRPr="00F71B34">
        <w:rPr>
          <w:rFonts w:ascii="Times New Roman" w:eastAsia="Times New Roman" w:hAnsi="Times New Roman"/>
          <w:bCs/>
          <w:sz w:val="28"/>
          <w:szCs w:val="28"/>
          <w:lang w:eastAsia="ru-RU"/>
        </w:rPr>
        <w:t xml:space="preserve"> 1</w:t>
      </w:r>
      <w:r w:rsidR="00112E18">
        <w:rPr>
          <w:rFonts w:ascii="Times New Roman" w:eastAsia="Times New Roman" w:hAnsi="Times New Roman"/>
          <w:bCs/>
          <w:sz w:val="28"/>
          <w:szCs w:val="28"/>
          <w:lang w:eastAsia="ru-RU"/>
        </w:rPr>
        <w:t>6</w:t>
      </w:r>
      <w:r w:rsidRPr="00F71B34">
        <w:rPr>
          <w:rFonts w:ascii="Times New Roman" w:eastAsia="Times New Roman" w:hAnsi="Times New Roman"/>
          <w:bCs/>
          <w:sz w:val="28"/>
          <w:szCs w:val="28"/>
          <w:lang w:eastAsia="ru-RU"/>
        </w:rPr>
        <w:t>).</w:t>
      </w:r>
    </w:p>
    <w:p w:rsidR="00030013" w:rsidRPr="00F71B34" w:rsidRDefault="00030013" w:rsidP="00F71B34">
      <w:pPr>
        <w:spacing w:after="0" w:line="360" w:lineRule="auto"/>
        <w:jc w:val="both"/>
        <w:rPr>
          <w:rFonts w:ascii="Times New Roman" w:eastAsia="Times New Roman" w:hAnsi="Times New Roman"/>
          <w:bCs/>
          <w:color w:val="FF0000"/>
          <w:sz w:val="28"/>
          <w:szCs w:val="28"/>
          <w:lang w:eastAsia="ru-RU"/>
        </w:rPr>
      </w:pPr>
    </w:p>
    <w:p w:rsidR="00030013" w:rsidRPr="00F71B34" w:rsidRDefault="001A28E5" w:rsidP="00F71B34">
      <w:pPr>
        <w:spacing w:after="0" w:line="360" w:lineRule="auto"/>
        <w:jc w:val="both"/>
        <w:rPr>
          <w:rFonts w:ascii="Times New Roman" w:eastAsia="Times New Roman" w:hAnsi="Times New Roman"/>
          <w:bCs/>
          <w:color w:val="FF0000"/>
          <w:sz w:val="28"/>
          <w:szCs w:val="28"/>
          <w:lang w:eastAsia="ru-RU"/>
        </w:rPr>
      </w:pPr>
      <w:r>
        <w:rPr>
          <w:rFonts w:ascii="Times New Roman" w:hAnsi="Times New Roman"/>
          <w:noProof/>
          <w:color w:val="FF0000"/>
          <w:sz w:val="28"/>
          <w:szCs w:val="28"/>
          <w:lang w:eastAsia="ru-RU"/>
        </w:rPr>
        <w:drawing>
          <wp:inline distT="0" distB="0" distL="0" distR="0">
            <wp:extent cx="6319520" cy="2885440"/>
            <wp:effectExtent l="0" t="0" r="5080" b="0"/>
            <wp:docPr id="15"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0013" w:rsidRPr="00F71B34" w:rsidRDefault="00237CCF" w:rsidP="00F71B34">
      <w:pPr>
        <w:spacing w:after="0" w:line="360" w:lineRule="auto"/>
        <w:jc w:val="both"/>
        <w:rPr>
          <w:rFonts w:ascii="Times New Roman" w:eastAsia="Times New Roman" w:hAnsi="Times New Roman"/>
          <w:bCs/>
          <w:sz w:val="28"/>
          <w:szCs w:val="28"/>
          <w:lang w:eastAsia="ru-RU"/>
        </w:rPr>
      </w:pPr>
      <w:r w:rsidRPr="002C3B54">
        <w:rPr>
          <w:rFonts w:ascii="Times New Roman" w:eastAsia="Times New Roman" w:hAnsi="Times New Roman"/>
          <w:bCs/>
          <w:spacing w:val="40"/>
          <w:sz w:val="28"/>
          <w:szCs w:val="28"/>
          <w:lang w:eastAsia="ru-RU"/>
        </w:rPr>
        <w:t>Рисунок</w:t>
      </w:r>
      <w:r w:rsidR="00076EDF" w:rsidRPr="00F71B34">
        <w:rPr>
          <w:rFonts w:ascii="Times New Roman" w:eastAsia="Times New Roman" w:hAnsi="Times New Roman"/>
          <w:bCs/>
          <w:sz w:val="28"/>
          <w:szCs w:val="28"/>
          <w:lang w:eastAsia="ru-RU"/>
        </w:rPr>
        <w:t xml:space="preserve"> </w:t>
      </w:r>
      <w:r w:rsidR="00112E18">
        <w:rPr>
          <w:rFonts w:ascii="Times New Roman" w:eastAsia="Times New Roman" w:hAnsi="Times New Roman"/>
          <w:bCs/>
          <w:sz w:val="28"/>
          <w:szCs w:val="28"/>
          <w:lang w:eastAsia="ru-RU"/>
        </w:rPr>
        <w:t>16</w:t>
      </w:r>
      <w:r w:rsidR="00CD2EDC">
        <w:rPr>
          <w:rFonts w:ascii="Times New Roman" w:eastAsia="Times New Roman" w:hAnsi="Times New Roman"/>
          <w:bCs/>
          <w:sz w:val="28"/>
          <w:szCs w:val="28"/>
          <w:lang w:eastAsia="ru-RU"/>
        </w:rPr>
        <w:t xml:space="preserve"> – </w:t>
      </w:r>
      <w:r w:rsidR="00030013" w:rsidRPr="00F71B34">
        <w:rPr>
          <w:rFonts w:ascii="Times New Roman" w:eastAsia="Times New Roman" w:hAnsi="Times New Roman"/>
          <w:bCs/>
          <w:sz w:val="28"/>
          <w:szCs w:val="28"/>
          <w:lang w:eastAsia="ru-RU"/>
        </w:rPr>
        <w:t>Динамика показателя ВАШ у больных РА исходно</w:t>
      </w:r>
      <w:r>
        <w:rPr>
          <w:rFonts w:ascii="Times New Roman" w:eastAsia="Times New Roman" w:hAnsi="Times New Roman"/>
          <w:bCs/>
          <w:sz w:val="28"/>
          <w:szCs w:val="28"/>
          <w:lang w:eastAsia="ru-RU"/>
        </w:rPr>
        <w:t xml:space="preserve"> </w:t>
      </w:r>
      <w:r w:rsidR="00030013" w:rsidRPr="00F71B34">
        <w:rPr>
          <w:rFonts w:ascii="Times New Roman" w:eastAsia="Times New Roman" w:hAnsi="Times New Roman"/>
          <w:bCs/>
          <w:sz w:val="28"/>
          <w:szCs w:val="28"/>
          <w:lang w:eastAsia="ru-RU"/>
        </w:rPr>
        <w:t>и на фоне терапии через 12, 24 месяца</w:t>
      </w:r>
    </w:p>
    <w:p w:rsidR="00030013" w:rsidRPr="00F71B34" w:rsidRDefault="00030013" w:rsidP="00F71B34">
      <w:pPr>
        <w:spacing w:after="0" w:line="360" w:lineRule="auto"/>
        <w:jc w:val="both"/>
        <w:rPr>
          <w:rFonts w:ascii="Times New Roman" w:eastAsia="Times New Roman" w:hAnsi="Times New Roman"/>
          <w:bCs/>
          <w:color w:val="FF0000"/>
          <w:sz w:val="28"/>
          <w:szCs w:val="28"/>
          <w:lang w:eastAsia="ru-RU"/>
        </w:rPr>
      </w:pPr>
    </w:p>
    <w:p w:rsidR="00030013" w:rsidRPr="00F71B34" w:rsidRDefault="00030013" w:rsidP="00F71B34">
      <w:pPr>
        <w:spacing w:after="0" w:line="360" w:lineRule="auto"/>
        <w:ind w:firstLine="708"/>
        <w:jc w:val="both"/>
        <w:rPr>
          <w:rFonts w:ascii="Times New Roman" w:eastAsia="Times New Roman" w:hAnsi="Times New Roman"/>
          <w:bCs/>
          <w:sz w:val="28"/>
          <w:szCs w:val="28"/>
          <w:lang w:eastAsia="ru-RU"/>
        </w:rPr>
      </w:pPr>
      <w:r w:rsidRPr="00F71B34">
        <w:rPr>
          <w:rFonts w:ascii="Times New Roman" w:eastAsia="Times New Roman" w:hAnsi="Times New Roman"/>
          <w:bCs/>
          <w:sz w:val="28"/>
          <w:szCs w:val="28"/>
          <w:lang w:eastAsia="ru-RU"/>
        </w:rPr>
        <w:t xml:space="preserve">Индекс </w:t>
      </w:r>
      <w:r w:rsidRPr="00F71B34">
        <w:rPr>
          <w:rFonts w:ascii="Times New Roman" w:eastAsia="Times New Roman" w:hAnsi="Times New Roman"/>
          <w:bCs/>
          <w:sz w:val="28"/>
          <w:szCs w:val="28"/>
          <w:lang w:val="en-US" w:eastAsia="ru-RU"/>
        </w:rPr>
        <w:t>HAQ</w:t>
      </w:r>
      <w:r w:rsidRPr="00F71B34">
        <w:rPr>
          <w:rFonts w:ascii="Times New Roman" w:eastAsia="Times New Roman" w:hAnsi="Times New Roman"/>
          <w:bCs/>
          <w:sz w:val="28"/>
          <w:szCs w:val="28"/>
          <w:lang w:eastAsia="ru-RU"/>
        </w:rPr>
        <w:t xml:space="preserve"> исходно в группе больных, получавших комбинированную терапию РТМ и МТХ</w:t>
      </w:r>
      <w:r w:rsidR="005B39D1">
        <w:rPr>
          <w:rFonts w:ascii="Times New Roman" w:eastAsia="Times New Roman" w:hAnsi="Times New Roman"/>
          <w:bCs/>
          <w:sz w:val="28"/>
          <w:szCs w:val="28"/>
          <w:lang w:eastAsia="ru-RU"/>
        </w:rPr>
        <w:t>,</w:t>
      </w:r>
      <w:r w:rsidRPr="00F71B34">
        <w:rPr>
          <w:rFonts w:ascii="Times New Roman" w:eastAsia="Times New Roman" w:hAnsi="Times New Roman"/>
          <w:bCs/>
          <w:sz w:val="28"/>
          <w:szCs w:val="28"/>
          <w:lang w:eastAsia="ru-RU"/>
        </w:rPr>
        <w:t xml:space="preserve"> составил 1,86±0,10, в группе пациентов с монотерапией МТХ</w:t>
      </w:r>
      <w:r w:rsidR="00CD2EDC">
        <w:rPr>
          <w:rFonts w:ascii="Times New Roman" w:eastAsia="Times New Roman" w:hAnsi="Times New Roman"/>
          <w:bCs/>
          <w:sz w:val="28"/>
          <w:szCs w:val="28"/>
          <w:lang w:eastAsia="ru-RU"/>
        </w:rPr>
        <w:t xml:space="preserve"> – </w:t>
      </w:r>
      <w:r w:rsidRPr="00F71B34">
        <w:rPr>
          <w:rFonts w:ascii="Times New Roman" w:eastAsia="Times New Roman" w:hAnsi="Times New Roman"/>
          <w:bCs/>
          <w:sz w:val="28"/>
          <w:szCs w:val="28"/>
          <w:lang w:eastAsia="ru-RU"/>
        </w:rPr>
        <w:t>1,78±0,14 (</w:t>
      </w:r>
      <w:proofErr w:type="gramStart"/>
      <w:r w:rsidRPr="00F71B34">
        <w:rPr>
          <w:rFonts w:ascii="Times New Roman" w:eastAsia="Times New Roman" w:hAnsi="Times New Roman"/>
          <w:bCs/>
          <w:sz w:val="28"/>
          <w:szCs w:val="28"/>
          <w:lang w:eastAsia="ru-RU"/>
        </w:rPr>
        <w:t>р</w:t>
      </w:r>
      <w:proofErr w:type="gramEnd"/>
      <w:r w:rsidRPr="00F71B34">
        <w:rPr>
          <w:rFonts w:ascii="Times New Roman" w:eastAsia="Times New Roman" w:hAnsi="Times New Roman"/>
          <w:bCs/>
          <w:sz w:val="28"/>
          <w:szCs w:val="28"/>
          <w:lang w:eastAsia="ru-RU"/>
        </w:rPr>
        <w:t xml:space="preserve">=0,82), что соответствовало умеренным функциональным нарушениям у больных обеих групп. </w:t>
      </w:r>
    </w:p>
    <w:p w:rsidR="00030013" w:rsidRPr="00F71B34" w:rsidRDefault="00030013" w:rsidP="00F71B34">
      <w:pPr>
        <w:spacing w:after="0" w:line="360" w:lineRule="auto"/>
        <w:ind w:firstLine="708"/>
        <w:jc w:val="both"/>
        <w:rPr>
          <w:rFonts w:ascii="Times New Roman" w:eastAsia="Times New Roman" w:hAnsi="Times New Roman"/>
          <w:bCs/>
          <w:sz w:val="28"/>
          <w:szCs w:val="28"/>
          <w:lang w:eastAsia="ru-RU"/>
        </w:rPr>
      </w:pPr>
      <w:r w:rsidRPr="00F71B34">
        <w:rPr>
          <w:rFonts w:ascii="Times New Roman" w:eastAsia="Times New Roman" w:hAnsi="Times New Roman"/>
          <w:bCs/>
          <w:sz w:val="28"/>
          <w:szCs w:val="28"/>
          <w:lang w:eastAsia="ru-RU"/>
        </w:rPr>
        <w:t xml:space="preserve">Через 12 месяцев </w:t>
      </w:r>
      <w:r w:rsidR="005B39D1">
        <w:rPr>
          <w:rFonts w:ascii="Times New Roman" w:eastAsia="Times New Roman" w:hAnsi="Times New Roman"/>
          <w:bCs/>
          <w:sz w:val="28"/>
          <w:szCs w:val="28"/>
          <w:lang w:eastAsia="ru-RU"/>
        </w:rPr>
        <w:t xml:space="preserve">наблюдения </w:t>
      </w:r>
      <w:r w:rsidRPr="00F71B34">
        <w:rPr>
          <w:rFonts w:ascii="Times New Roman" w:eastAsia="Times New Roman" w:hAnsi="Times New Roman"/>
          <w:bCs/>
          <w:sz w:val="28"/>
          <w:szCs w:val="28"/>
          <w:lang w:eastAsia="ru-RU"/>
        </w:rPr>
        <w:t xml:space="preserve">получено статистически значимое уменьшение индекса </w:t>
      </w:r>
      <w:r w:rsidRPr="00F71B34">
        <w:rPr>
          <w:rFonts w:ascii="Times New Roman" w:eastAsia="Times New Roman" w:hAnsi="Times New Roman"/>
          <w:bCs/>
          <w:sz w:val="28"/>
          <w:szCs w:val="28"/>
          <w:lang w:val="en-US" w:eastAsia="ru-RU"/>
        </w:rPr>
        <w:t>HAQ</w:t>
      </w:r>
      <w:r w:rsidRPr="00F71B34">
        <w:rPr>
          <w:rFonts w:ascii="Times New Roman" w:eastAsia="Times New Roman" w:hAnsi="Times New Roman"/>
          <w:bCs/>
          <w:sz w:val="28"/>
          <w:szCs w:val="28"/>
          <w:lang w:eastAsia="ru-RU"/>
        </w:rPr>
        <w:t xml:space="preserve"> в  группе больных</w:t>
      </w:r>
      <w:r w:rsidR="005B39D1">
        <w:rPr>
          <w:rFonts w:ascii="Times New Roman" w:eastAsia="Times New Roman" w:hAnsi="Times New Roman"/>
          <w:bCs/>
          <w:sz w:val="28"/>
          <w:szCs w:val="28"/>
          <w:lang w:eastAsia="ru-RU"/>
        </w:rPr>
        <w:t xml:space="preserve"> с комбинированной терапией РТМ и МТХ</w:t>
      </w:r>
      <w:r w:rsidRPr="00F71B34">
        <w:rPr>
          <w:rFonts w:ascii="Times New Roman" w:eastAsia="Times New Roman" w:hAnsi="Times New Roman"/>
          <w:bCs/>
          <w:sz w:val="28"/>
          <w:szCs w:val="28"/>
          <w:lang w:eastAsia="ru-RU"/>
        </w:rPr>
        <w:t xml:space="preserve"> относительно исходных показателей – 1,50±0,10 г/см</w:t>
      </w:r>
      <w:r w:rsidRPr="00F71B34">
        <w:rPr>
          <w:rFonts w:ascii="Times New Roman" w:eastAsia="Times New Roman" w:hAnsi="Times New Roman"/>
          <w:bCs/>
          <w:sz w:val="28"/>
          <w:szCs w:val="28"/>
          <w:vertAlign w:val="superscript"/>
          <w:lang w:eastAsia="ru-RU"/>
        </w:rPr>
        <w:t>2</w:t>
      </w:r>
      <w:r w:rsidRPr="00F71B34">
        <w:rPr>
          <w:rFonts w:ascii="Times New Roman" w:eastAsia="Times New Roman" w:hAnsi="Times New Roman"/>
          <w:bCs/>
          <w:sz w:val="28"/>
          <w:szCs w:val="28"/>
          <w:lang w:eastAsia="ru-RU"/>
        </w:rPr>
        <w:t xml:space="preserve"> (</w:t>
      </w:r>
      <w:proofErr w:type="gramStart"/>
      <w:r w:rsidRPr="00F71B34">
        <w:rPr>
          <w:rFonts w:ascii="Times New Roman" w:eastAsia="Times New Roman" w:hAnsi="Times New Roman"/>
          <w:bCs/>
          <w:sz w:val="28"/>
          <w:szCs w:val="28"/>
          <w:lang w:eastAsia="ru-RU"/>
        </w:rPr>
        <w:t>р</w:t>
      </w:r>
      <w:proofErr w:type="gramEnd"/>
      <w:r w:rsidRPr="00F71B34">
        <w:rPr>
          <w:rFonts w:ascii="Times New Roman" w:eastAsia="Times New Roman" w:hAnsi="Times New Roman"/>
          <w:bCs/>
          <w:sz w:val="28"/>
          <w:szCs w:val="28"/>
          <w:lang w:eastAsia="ru-RU"/>
        </w:rPr>
        <w:t>=0,012).  В группе больных</w:t>
      </w:r>
      <w:r w:rsidR="005B39D1">
        <w:rPr>
          <w:rFonts w:ascii="Times New Roman" w:eastAsia="Times New Roman" w:hAnsi="Times New Roman"/>
          <w:bCs/>
          <w:sz w:val="28"/>
          <w:szCs w:val="28"/>
          <w:lang w:eastAsia="ru-RU"/>
        </w:rPr>
        <w:t xml:space="preserve"> с </w:t>
      </w:r>
      <w:r w:rsidRPr="00F71B34">
        <w:rPr>
          <w:rFonts w:ascii="Times New Roman" w:eastAsia="Times New Roman" w:hAnsi="Times New Roman"/>
          <w:bCs/>
          <w:sz w:val="28"/>
          <w:szCs w:val="28"/>
          <w:lang w:eastAsia="ru-RU"/>
        </w:rPr>
        <w:t>монотерапи</w:t>
      </w:r>
      <w:r w:rsidR="005B39D1">
        <w:rPr>
          <w:rFonts w:ascii="Times New Roman" w:eastAsia="Times New Roman" w:hAnsi="Times New Roman"/>
          <w:bCs/>
          <w:sz w:val="28"/>
          <w:szCs w:val="28"/>
          <w:lang w:eastAsia="ru-RU"/>
        </w:rPr>
        <w:t>ей</w:t>
      </w:r>
      <w:r w:rsidRPr="00F71B34">
        <w:rPr>
          <w:rFonts w:ascii="Times New Roman" w:eastAsia="Times New Roman" w:hAnsi="Times New Roman"/>
          <w:bCs/>
          <w:sz w:val="28"/>
          <w:szCs w:val="28"/>
          <w:lang w:eastAsia="ru-RU"/>
        </w:rPr>
        <w:t xml:space="preserve"> МТХ статистического значимого изменения индекса </w:t>
      </w:r>
      <w:r w:rsidRPr="00F71B34">
        <w:rPr>
          <w:rFonts w:ascii="Times New Roman" w:eastAsia="Times New Roman" w:hAnsi="Times New Roman"/>
          <w:bCs/>
          <w:sz w:val="28"/>
          <w:szCs w:val="28"/>
          <w:lang w:val="en-US" w:eastAsia="ru-RU"/>
        </w:rPr>
        <w:t>HAQ</w:t>
      </w:r>
      <w:r w:rsidRPr="00F71B34">
        <w:rPr>
          <w:rFonts w:ascii="Times New Roman" w:eastAsia="Times New Roman" w:hAnsi="Times New Roman"/>
          <w:bCs/>
          <w:sz w:val="28"/>
          <w:szCs w:val="28"/>
          <w:lang w:eastAsia="ru-RU"/>
        </w:rPr>
        <w:t xml:space="preserve"> не получено. ∆ HAQ в  группе больных, получавших </w:t>
      </w:r>
      <w:r w:rsidR="00AD0086">
        <w:rPr>
          <w:rFonts w:ascii="Times New Roman" w:eastAsia="Times New Roman" w:hAnsi="Times New Roman"/>
          <w:bCs/>
          <w:sz w:val="28"/>
          <w:szCs w:val="28"/>
          <w:lang w:eastAsia="ru-RU"/>
        </w:rPr>
        <w:t>РТМ</w:t>
      </w:r>
      <w:r w:rsidR="005B39D1">
        <w:rPr>
          <w:rFonts w:ascii="Times New Roman" w:eastAsia="Times New Roman" w:hAnsi="Times New Roman"/>
          <w:bCs/>
          <w:sz w:val="28"/>
          <w:szCs w:val="28"/>
          <w:lang w:eastAsia="ru-RU"/>
        </w:rPr>
        <w:t>, составила</w:t>
      </w:r>
      <w:r w:rsidRPr="00F71B34">
        <w:rPr>
          <w:rFonts w:ascii="Times New Roman" w:eastAsia="Times New Roman" w:hAnsi="Times New Roman"/>
          <w:bCs/>
          <w:sz w:val="28"/>
          <w:szCs w:val="28"/>
          <w:lang w:eastAsia="ru-RU"/>
        </w:rPr>
        <w:t xml:space="preserve"> 0,36, что соответствовало минимальному клиническому эффекту, в то время как в группе пациентов с монотерапией МТХ эффект</w:t>
      </w:r>
      <w:r w:rsidR="005B39D1">
        <w:rPr>
          <w:rFonts w:ascii="Times New Roman" w:eastAsia="Times New Roman" w:hAnsi="Times New Roman"/>
          <w:bCs/>
          <w:sz w:val="28"/>
          <w:szCs w:val="28"/>
          <w:lang w:eastAsia="ru-RU"/>
        </w:rPr>
        <w:t xml:space="preserve"> отсутствовал</w:t>
      </w:r>
      <w:r w:rsidRPr="00F71B34">
        <w:rPr>
          <w:rFonts w:ascii="Times New Roman" w:eastAsia="Times New Roman" w:hAnsi="Times New Roman"/>
          <w:bCs/>
          <w:sz w:val="28"/>
          <w:szCs w:val="28"/>
          <w:lang w:eastAsia="ru-RU"/>
        </w:rPr>
        <w:t xml:space="preserve"> (∆ HAQ – 0,03).</w:t>
      </w:r>
    </w:p>
    <w:p w:rsidR="00030013" w:rsidRPr="00F71B34" w:rsidRDefault="00030013" w:rsidP="00F71B34">
      <w:pPr>
        <w:spacing w:after="0" w:line="360" w:lineRule="auto"/>
        <w:ind w:firstLine="708"/>
        <w:jc w:val="both"/>
        <w:rPr>
          <w:rFonts w:ascii="Times New Roman" w:eastAsia="Times New Roman" w:hAnsi="Times New Roman"/>
          <w:bCs/>
          <w:sz w:val="28"/>
          <w:szCs w:val="28"/>
          <w:lang w:eastAsia="ru-RU"/>
        </w:rPr>
      </w:pPr>
      <w:r w:rsidRPr="00F71B34">
        <w:rPr>
          <w:rFonts w:ascii="Times New Roman" w:eastAsia="Times New Roman" w:hAnsi="Times New Roman"/>
          <w:bCs/>
          <w:sz w:val="28"/>
          <w:szCs w:val="28"/>
          <w:lang w:eastAsia="ru-RU"/>
        </w:rPr>
        <w:lastRenderedPageBreak/>
        <w:t>Аналогичные закономерности сохранялись и через 24 месяца терапии (</w:t>
      </w:r>
      <w:r w:rsidRPr="00F71B34">
        <w:rPr>
          <w:rFonts w:ascii="Times New Roman" w:eastAsia="Times New Roman" w:hAnsi="Times New Roman"/>
          <w:bCs/>
          <w:sz w:val="28"/>
          <w:szCs w:val="28"/>
          <w:lang w:val="en-US" w:eastAsia="ru-RU"/>
        </w:rPr>
        <w:t>HAQ</w:t>
      </w:r>
      <w:r w:rsidRPr="00F71B34">
        <w:rPr>
          <w:rFonts w:ascii="Times New Roman" w:eastAsia="Times New Roman" w:hAnsi="Times New Roman"/>
          <w:bCs/>
          <w:sz w:val="28"/>
          <w:szCs w:val="28"/>
          <w:lang w:eastAsia="ru-RU"/>
        </w:rPr>
        <w:t xml:space="preserve"> группы 1 – 1,16±0,11, </w:t>
      </w:r>
      <w:r w:rsidRPr="00F71B34">
        <w:rPr>
          <w:rFonts w:ascii="Times New Roman" w:eastAsia="Times New Roman" w:hAnsi="Times New Roman"/>
          <w:bCs/>
          <w:sz w:val="28"/>
          <w:szCs w:val="28"/>
          <w:lang w:val="en-US" w:eastAsia="ru-RU"/>
        </w:rPr>
        <w:t>HAQ</w:t>
      </w:r>
      <w:r w:rsidRPr="00F71B34">
        <w:rPr>
          <w:rFonts w:ascii="Times New Roman" w:eastAsia="Times New Roman" w:hAnsi="Times New Roman"/>
          <w:bCs/>
          <w:sz w:val="28"/>
          <w:szCs w:val="28"/>
          <w:lang w:eastAsia="ru-RU"/>
        </w:rPr>
        <w:t xml:space="preserve"> группы 2 – 1,85±0,14, </w:t>
      </w:r>
      <w:proofErr w:type="gramStart"/>
      <w:r w:rsidRPr="00F71B34">
        <w:rPr>
          <w:rFonts w:ascii="Times New Roman" w:eastAsia="Times New Roman" w:hAnsi="Times New Roman"/>
          <w:bCs/>
          <w:sz w:val="28"/>
          <w:szCs w:val="28"/>
          <w:lang w:eastAsia="ru-RU"/>
        </w:rPr>
        <w:t>р</w:t>
      </w:r>
      <w:proofErr w:type="gramEnd"/>
      <w:r w:rsidRPr="00F71B34">
        <w:rPr>
          <w:rFonts w:ascii="Times New Roman" w:eastAsia="Times New Roman" w:hAnsi="Times New Roman"/>
          <w:bCs/>
          <w:sz w:val="28"/>
          <w:szCs w:val="28"/>
          <w:lang w:eastAsia="ru-RU"/>
        </w:rPr>
        <w:t>=0,0001 и p=0,78).         ∆ HAQ в  группе больных, получавших РТМ, составила 0,71, что соответствовало удовлетворительному клиническому эффекту, в то время как в группе пациентов с монотерапией МТХ эффекта не отмечено (∆ HAQ –  0,07) (рис</w:t>
      </w:r>
      <w:r w:rsidR="00237CCF">
        <w:rPr>
          <w:rFonts w:ascii="Times New Roman" w:eastAsia="Times New Roman" w:hAnsi="Times New Roman"/>
          <w:bCs/>
          <w:sz w:val="28"/>
          <w:szCs w:val="28"/>
          <w:lang w:eastAsia="ru-RU"/>
        </w:rPr>
        <w:t>.</w:t>
      </w:r>
      <w:r w:rsidRPr="00F71B34">
        <w:rPr>
          <w:rFonts w:ascii="Times New Roman" w:eastAsia="Times New Roman" w:hAnsi="Times New Roman"/>
          <w:bCs/>
          <w:sz w:val="28"/>
          <w:szCs w:val="28"/>
          <w:lang w:eastAsia="ru-RU"/>
        </w:rPr>
        <w:t xml:space="preserve"> 1</w:t>
      </w:r>
      <w:r w:rsidR="00237CCF">
        <w:rPr>
          <w:rFonts w:ascii="Times New Roman" w:eastAsia="Times New Roman" w:hAnsi="Times New Roman"/>
          <w:bCs/>
          <w:sz w:val="28"/>
          <w:szCs w:val="28"/>
          <w:lang w:eastAsia="ru-RU"/>
        </w:rPr>
        <w:t>9</w:t>
      </w:r>
      <w:r w:rsidRPr="00F71B34">
        <w:rPr>
          <w:rFonts w:ascii="Times New Roman" w:eastAsia="Times New Roman" w:hAnsi="Times New Roman"/>
          <w:bCs/>
          <w:sz w:val="28"/>
          <w:szCs w:val="28"/>
          <w:lang w:eastAsia="ru-RU"/>
        </w:rPr>
        <w:t>).</w:t>
      </w:r>
    </w:p>
    <w:p w:rsidR="00030013" w:rsidRPr="00F71B34" w:rsidRDefault="00030013" w:rsidP="00F71B34">
      <w:pPr>
        <w:spacing w:after="0" w:line="360" w:lineRule="auto"/>
        <w:jc w:val="both"/>
        <w:rPr>
          <w:rFonts w:ascii="Times New Roman" w:eastAsia="Times New Roman" w:hAnsi="Times New Roman"/>
          <w:bCs/>
          <w:color w:val="FF0000"/>
          <w:sz w:val="28"/>
          <w:szCs w:val="28"/>
          <w:lang w:eastAsia="ru-RU"/>
        </w:rPr>
      </w:pPr>
    </w:p>
    <w:p w:rsidR="00030013" w:rsidRPr="00F71B34" w:rsidRDefault="001A28E5" w:rsidP="00F71B34">
      <w:pPr>
        <w:spacing w:after="0" w:line="360" w:lineRule="auto"/>
        <w:jc w:val="both"/>
        <w:rPr>
          <w:rFonts w:ascii="Times New Roman" w:eastAsia="Times New Roman" w:hAnsi="Times New Roman"/>
          <w:bCs/>
          <w:color w:val="FF0000"/>
          <w:sz w:val="28"/>
          <w:szCs w:val="28"/>
          <w:lang w:eastAsia="ru-RU"/>
        </w:rPr>
      </w:pPr>
      <w:r>
        <w:rPr>
          <w:rFonts w:ascii="Times New Roman" w:hAnsi="Times New Roman"/>
          <w:noProof/>
          <w:color w:val="FF0000"/>
          <w:sz w:val="28"/>
          <w:szCs w:val="28"/>
          <w:lang w:eastAsia="ru-RU"/>
        </w:rPr>
        <w:drawing>
          <wp:inline distT="0" distB="0" distL="0" distR="0">
            <wp:extent cx="6339840" cy="2905760"/>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0013" w:rsidRPr="00F71B34" w:rsidRDefault="00237CCF" w:rsidP="00F71B34">
      <w:pPr>
        <w:spacing w:after="0" w:line="360" w:lineRule="auto"/>
        <w:jc w:val="both"/>
        <w:rPr>
          <w:rFonts w:ascii="Times New Roman" w:eastAsia="Times New Roman" w:hAnsi="Times New Roman"/>
          <w:bCs/>
          <w:sz w:val="28"/>
          <w:szCs w:val="28"/>
          <w:lang w:eastAsia="ru-RU"/>
        </w:rPr>
      </w:pPr>
      <w:r w:rsidRPr="002C3B54">
        <w:rPr>
          <w:rFonts w:ascii="Times New Roman" w:eastAsia="Times New Roman" w:hAnsi="Times New Roman"/>
          <w:bCs/>
          <w:spacing w:val="40"/>
          <w:sz w:val="28"/>
          <w:szCs w:val="28"/>
          <w:lang w:eastAsia="ru-RU"/>
        </w:rPr>
        <w:t>Рисунок</w:t>
      </w:r>
      <w:r w:rsidR="003D3FC0">
        <w:rPr>
          <w:rFonts w:ascii="Times New Roman" w:eastAsia="Times New Roman" w:hAnsi="Times New Roman"/>
          <w:bCs/>
          <w:sz w:val="28"/>
          <w:szCs w:val="28"/>
          <w:lang w:eastAsia="ru-RU"/>
        </w:rPr>
        <w:t xml:space="preserve"> </w:t>
      </w:r>
      <w:r w:rsidR="00112E18">
        <w:rPr>
          <w:rFonts w:ascii="Times New Roman" w:eastAsia="Times New Roman" w:hAnsi="Times New Roman"/>
          <w:bCs/>
          <w:sz w:val="28"/>
          <w:szCs w:val="28"/>
          <w:lang w:eastAsia="ru-RU"/>
        </w:rPr>
        <w:t>17</w:t>
      </w:r>
      <w:r w:rsidR="00CD2EDC">
        <w:rPr>
          <w:rFonts w:ascii="Times New Roman" w:eastAsia="Times New Roman" w:hAnsi="Times New Roman"/>
          <w:bCs/>
          <w:sz w:val="28"/>
          <w:szCs w:val="28"/>
          <w:lang w:eastAsia="ru-RU"/>
        </w:rPr>
        <w:t xml:space="preserve"> – </w:t>
      </w:r>
      <w:r w:rsidR="00030013" w:rsidRPr="00F71B34">
        <w:rPr>
          <w:rFonts w:ascii="Times New Roman" w:eastAsia="Times New Roman" w:hAnsi="Times New Roman"/>
          <w:bCs/>
          <w:sz w:val="28"/>
          <w:szCs w:val="28"/>
          <w:lang w:eastAsia="ru-RU"/>
        </w:rPr>
        <w:t>Динамика индекса HAQ у больных РА исходно</w:t>
      </w:r>
      <w:r>
        <w:rPr>
          <w:rFonts w:ascii="Times New Roman" w:eastAsia="Times New Roman" w:hAnsi="Times New Roman"/>
          <w:bCs/>
          <w:sz w:val="28"/>
          <w:szCs w:val="28"/>
          <w:lang w:eastAsia="ru-RU"/>
        </w:rPr>
        <w:t xml:space="preserve"> </w:t>
      </w:r>
      <w:r w:rsidR="00030013" w:rsidRPr="00F71B34">
        <w:rPr>
          <w:rFonts w:ascii="Times New Roman" w:eastAsia="Times New Roman" w:hAnsi="Times New Roman"/>
          <w:bCs/>
          <w:sz w:val="28"/>
          <w:szCs w:val="28"/>
          <w:lang w:eastAsia="ru-RU"/>
        </w:rPr>
        <w:t>и на фоне терапии через 12, 24 месяца</w:t>
      </w:r>
    </w:p>
    <w:p w:rsidR="00030013" w:rsidRPr="00F71B34" w:rsidRDefault="00030013" w:rsidP="00F71B34">
      <w:pPr>
        <w:spacing w:after="0" w:line="360" w:lineRule="auto"/>
        <w:jc w:val="both"/>
        <w:rPr>
          <w:rFonts w:ascii="Times New Roman" w:eastAsia="Times New Roman" w:hAnsi="Times New Roman"/>
          <w:sz w:val="28"/>
          <w:szCs w:val="28"/>
          <w:lang w:eastAsia="ru-RU"/>
        </w:rPr>
      </w:pPr>
    </w:p>
    <w:p w:rsidR="00492771" w:rsidRDefault="00492771" w:rsidP="00F71B34">
      <w:pPr>
        <w:spacing w:after="0" w:line="360" w:lineRule="auto"/>
        <w:jc w:val="both"/>
        <w:rPr>
          <w:rFonts w:ascii="Times New Roman" w:eastAsia="Times New Roman" w:hAnsi="Times New Roman"/>
          <w:sz w:val="28"/>
          <w:szCs w:val="28"/>
          <w:lang w:eastAsia="ru-RU"/>
        </w:rPr>
      </w:pPr>
    </w:p>
    <w:p w:rsidR="002230F3" w:rsidRDefault="002230F3" w:rsidP="00F71B34">
      <w:pPr>
        <w:spacing w:after="0" w:line="360" w:lineRule="auto"/>
        <w:jc w:val="both"/>
        <w:rPr>
          <w:rFonts w:ascii="Times New Roman" w:eastAsia="Times New Roman" w:hAnsi="Times New Roman"/>
          <w:sz w:val="28"/>
          <w:szCs w:val="28"/>
          <w:lang w:eastAsia="ru-RU"/>
        </w:rPr>
      </w:pPr>
    </w:p>
    <w:p w:rsidR="002230F3" w:rsidRDefault="002230F3" w:rsidP="00F71B34">
      <w:pPr>
        <w:spacing w:after="0" w:line="360" w:lineRule="auto"/>
        <w:jc w:val="both"/>
        <w:rPr>
          <w:rFonts w:ascii="Times New Roman" w:eastAsia="Times New Roman" w:hAnsi="Times New Roman"/>
          <w:sz w:val="28"/>
          <w:szCs w:val="28"/>
          <w:lang w:eastAsia="ru-RU"/>
        </w:rPr>
      </w:pPr>
    </w:p>
    <w:p w:rsidR="002230F3" w:rsidRDefault="002230F3" w:rsidP="00F71B34">
      <w:pPr>
        <w:spacing w:after="0" w:line="360" w:lineRule="auto"/>
        <w:jc w:val="both"/>
        <w:rPr>
          <w:rFonts w:ascii="Times New Roman" w:eastAsia="Times New Roman" w:hAnsi="Times New Roman"/>
          <w:sz w:val="28"/>
          <w:szCs w:val="28"/>
          <w:lang w:eastAsia="ru-RU"/>
        </w:rPr>
      </w:pPr>
    </w:p>
    <w:p w:rsidR="002230F3" w:rsidRDefault="002230F3" w:rsidP="00F71B34">
      <w:pPr>
        <w:spacing w:after="0" w:line="360" w:lineRule="auto"/>
        <w:jc w:val="both"/>
        <w:rPr>
          <w:rFonts w:ascii="Times New Roman" w:eastAsia="Times New Roman" w:hAnsi="Times New Roman"/>
          <w:sz w:val="28"/>
          <w:szCs w:val="28"/>
          <w:lang w:eastAsia="ru-RU"/>
        </w:rPr>
      </w:pPr>
    </w:p>
    <w:p w:rsidR="002230F3" w:rsidRDefault="002230F3" w:rsidP="00F71B34">
      <w:pPr>
        <w:spacing w:after="0" w:line="360" w:lineRule="auto"/>
        <w:jc w:val="both"/>
        <w:rPr>
          <w:rFonts w:ascii="Times New Roman" w:eastAsia="Times New Roman" w:hAnsi="Times New Roman"/>
          <w:sz w:val="28"/>
          <w:szCs w:val="28"/>
          <w:lang w:eastAsia="ru-RU"/>
        </w:rPr>
      </w:pPr>
    </w:p>
    <w:p w:rsidR="002230F3" w:rsidRDefault="002230F3" w:rsidP="00F71B34">
      <w:pPr>
        <w:spacing w:after="0" w:line="360" w:lineRule="auto"/>
        <w:jc w:val="both"/>
        <w:rPr>
          <w:rFonts w:ascii="Times New Roman" w:eastAsia="Times New Roman" w:hAnsi="Times New Roman"/>
          <w:sz w:val="28"/>
          <w:szCs w:val="28"/>
          <w:lang w:eastAsia="ru-RU"/>
        </w:rPr>
      </w:pPr>
    </w:p>
    <w:p w:rsidR="002230F3" w:rsidRDefault="002230F3" w:rsidP="00F71B34">
      <w:pPr>
        <w:spacing w:after="0" w:line="360" w:lineRule="auto"/>
        <w:jc w:val="both"/>
        <w:rPr>
          <w:rFonts w:ascii="Times New Roman" w:eastAsia="Times New Roman" w:hAnsi="Times New Roman"/>
          <w:sz w:val="28"/>
          <w:szCs w:val="28"/>
          <w:lang w:eastAsia="ru-RU"/>
        </w:rPr>
      </w:pPr>
    </w:p>
    <w:p w:rsidR="002230F3" w:rsidRDefault="002230F3" w:rsidP="00F71B34">
      <w:pPr>
        <w:spacing w:after="0" w:line="360" w:lineRule="auto"/>
        <w:jc w:val="both"/>
        <w:rPr>
          <w:rFonts w:ascii="Times New Roman" w:eastAsia="Times New Roman" w:hAnsi="Times New Roman"/>
          <w:sz w:val="28"/>
          <w:szCs w:val="28"/>
          <w:lang w:eastAsia="ru-RU"/>
        </w:rPr>
      </w:pPr>
    </w:p>
    <w:p w:rsidR="002230F3" w:rsidRPr="00D15389" w:rsidRDefault="002230F3" w:rsidP="00F71B34">
      <w:pPr>
        <w:spacing w:after="0" w:line="360" w:lineRule="auto"/>
        <w:jc w:val="both"/>
        <w:rPr>
          <w:rFonts w:ascii="Times New Roman" w:eastAsia="Times New Roman" w:hAnsi="Times New Roman"/>
          <w:sz w:val="28"/>
          <w:szCs w:val="28"/>
          <w:lang w:eastAsia="ru-RU"/>
        </w:rPr>
      </w:pPr>
    </w:p>
    <w:p w:rsidR="009A0123" w:rsidRDefault="009A0123" w:rsidP="002230F3">
      <w:pPr>
        <w:tabs>
          <w:tab w:val="left" w:pos="1560"/>
        </w:tabs>
        <w:spacing w:after="0" w:line="360" w:lineRule="auto"/>
        <w:jc w:val="center"/>
        <w:rPr>
          <w:rFonts w:ascii="Times New Roman" w:eastAsia="Times New Roman" w:hAnsi="Times New Roman"/>
          <w:b/>
          <w:sz w:val="28"/>
          <w:szCs w:val="28"/>
          <w:lang w:eastAsia="ru-RU"/>
        </w:rPr>
      </w:pPr>
      <w:r w:rsidRPr="00F71B34">
        <w:rPr>
          <w:rFonts w:ascii="Times New Roman" w:eastAsia="Times New Roman" w:hAnsi="Times New Roman"/>
          <w:b/>
          <w:sz w:val="28"/>
          <w:szCs w:val="28"/>
          <w:lang w:eastAsia="ru-RU"/>
        </w:rPr>
        <w:lastRenderedPageBreak/>
        <w:t>ЗАКЛЮЧЕНИЕ</w:t>
      </w:r>
    </w:p>
    <w:p w:rsidR="002230F3" w:rsidRDefault="002230F3" w:rsidP="002230F3">
      <w:pPr>
        <w:tabs>
          <w:tab w:val="left" w:pos="1560"/>
        </w:tabs>
        <w:spacing w:after="0" w:line="360" w:lineRule="auto"/>
        <w:jc w:val="center"/>
        <w:rPr>
          <w:rFonts w:ascii="Times New Roman" w:eastAsia="Times New Roman" w:hAnsi="Times New Roman"/>
          <w:b/>
          <w:sz w:val="28"/>
          <w:szCs w:val="28"/>
          <w:lang w:eastAsia="ru-RU"/>
        </w:rPr>
      </w:pPr>
    </w:p>
    <w:p w:rsidR="002230F3" w:rsidRPr="00F71B34" w:rsidRDefault="002230F3" w:rsidP="002230F3">
      <w:pPr>
        <w:tabs>
          <w:tab w:val="left" w:pos="1560"/>
        </w:tabs>
        <w:spacing w:after="0" w:line="360" w:lineRule="auto"/>
        <w:jc w:val="center"/>
        <w:rPr>
          <w:rFonts w:ascii="Times New Roman" w:eastAsia="Times New Roman" w:hAnsi="Times New Roman"/>
          <w:b/>
          <w:sz w:val="28"/>
          <w:szCs w:val="28"/>
          <w:lang w:eastAsia="ru-RU"/>
        </w:rPr>
      </w:pPr>
    </w:p>
    <w:p w:rsidR="009A0123" w:rsidRPr="009114DF" w:rsidRDefault="009A0123" w:rsidP="002230F3">
      <w:pPr>
        <w:autoSpaceDE w:val="0"/>
        <w:autoSpaceDN w:val="0"/>
        <w:adjustRightInd w:val="0"/>
        <w:spacing w:after="0" w:line="360" w:lineRule="auto"/>
        <w:ind w:firstLine="708"/>
        <w:jc w:val="both"/>
        <w:rPr>
          <w:rFonts w:ascii="Times New Roman" w:eastAsia="Times-Roman" w:hAnsi="Times New Roman"/>
          <w:sz w:val="28"/>
          <w:szCs w:val="28"/>
        </w:rPr>
      </w:pPr>
      <w:r w:rsidRPr="009114DF">
        <w:rPr>
          <w:rFonts w:ascii="Times New Roman" w:eastAsia="NewtonC" w:hAnsi="Times New Roman"/>
          <w:sz w:val="28"/>
          <w:szCs w:val="28"/>
          <w:lang w:eastAsia="ru-RU"/>
        </w:rPr>
        <w:t>Ревматоидный артрит (РА) относится к числу наиболее тяжелых хронических аутоиммунных заболеваний, характеризующихся развитием системного воспалительного поражения внутренних органов и хр</w:t>
      </w:r>
      <w:r w:rsidR="00AC1E99" w:rsidRPr="009114DF">
        <w:rPr>
          <w:rFonts w:ascii="Times New Roman" w:eastAsia="NewtonC" w:hAnsi="Times New Roman"/>
          <w:sz w:val="28"/>
          <w:szCs w:val="28"/>
          <w:lang w:eastAsia="ru-RU"/>
        </w:rPr>
        <w:t>онического артрита (синовита) [55</w:t>
      </w:r>
      <w:r w:rsidRPr="009114DF">
        <w:rPr>
          <w:rFonts w:ascii="Times New Roman" w:eastAsia="NewtonC" w:hAnsi="Times New Roman"/>
          <w:sz w:val="28"/>
          <w:szCs w:val="28"/>
          <w:lang w:eastAsia="ru-RU"/>
        </w:rPr>
        <w:t xml:space="preserve">]. </w:t>
      </w:r>
      <w:r w:rsidRPr="009114DF">
        <w:rPr>
          <w:rFonts w:ascii="Times New Roman" w:eastAsia="Times-Roman" w:hAnsi="Times New Roman"/>
          <w:sz w:val="28"/>
          <w:szCs w:val="28"/>
        </w:rPr>
        <w:t>РА поражает</w:t>
      </w:r>
      <w:r w:rsidR="00E777A3" w:rsidRPr="009114DF">
        <w:rPr>
          <w:rFonts w:ascii="Times New Roman" w:eastAsia="Times-Roman" w:hAnsi="Times New Roman"/>
          <w:sz w:val="28"/>
          <w:szCs w:val="28"/>
        </w:rPr>
        <w:t xml:space="preserve"> преимущественно</w:t>
      </w:r>
      <w:r w:rsidRPr="009114DF">
        <w:rPr>
          <w:rFonts w:ascii="Times New Roman" w:eastAsia="Times-Roman" w:hAnsi="Times New Roman"/>
          <w:sz w:val="28"/>
          <w:szCs w:val="28"/>
        </w:rPr>
        <w:t xml:space="preserve"> лиц трудоспособного возраста и требует больших затрат на адекватное лечение, способное предотвратить инвалидизацию больных и сохранить качество их жизни. </w:t>
      </w:r>
    </w:p>
    <w:p w:rsidR="009A0123" w:rsidRPr="009114DF" w:rsidRDefault="009A0123" w:rsidP="00F71B34">
      <w:pPr>
        <w:autoSpaceDE w:val="0"/>
        <w:autoSpaceDN w:val="0"/>
        <w:adjustRightInd w:val="0"/>
        <w:spacing w:after="0" w:line="360" w:lineRule="auto"/>
        <w:ind w:firstLine="576"/>
        <w:jc w:val="both"/>
        <w:rPr>
          <w:rFonts w:ascii="Times New Roman" w:eastAsia="Times-Roman" w:hAnsi="Times New Roman"/>
          <w:sz w:val="28"/>
          <w:szCs w:val="28"/>
        </w:rPr>
      </w:pPr>
      <w:r w:rsidRPr="009114DF">
        <w:rPr>
          <w:rFonts w:ascii="Times New Roman" w:eastAsia="NewtonC" w:hAnsi="Times New Roman"/>
          <w:sz w:val="28"/>
          <w:szCs w:val="28"/>
          <w:lang w:eastAsia="ru-RU"/>
        </w:rPr>
        <w:t>Особенностью РА является возникновение эрозий субхондральной кости и периартикулярной остеопении [</w:t>
      </w:r>
      <w:r w:rsidR="00243567" w:rsidRPr="009114DF">
        <w:rPr>
          <w:rFonts w:ascii="Times New Roman" w:eastAsia="NewtonC" w:hAnsi="Times New Roman"/>
          <w:sz w:val="28"/>
          <w:szCs w:val="28"/>
          <w:lang w:eastAsia="ru-RU"/>
        </w:rPr>
        <w:t>123</w:t>
      </w:r>
      <w:r w:rsidRPr="009114DF">
        <w:rPr>
          <w:rFonts w:ascii="Times New Roman" w:eastAsia="NewtonC" w:hAnsi="Times New Roman"/>
          <w:sz w:val="28"/>
          <w:szCs w:val="28"/>
          <w:lang w:eastAsia="ru-RU"/>
        </w:rPr>
        <w:t>]. Под влиянием провоспалительных цитокинов происходит разобщение процессов костного формирования и резорбции, что приводит к развитию остеопороза (ОП)</w:t>
      </w:r>
      <w:r w:rsidR="000B5F79" w:rsidRPr="009114DF">
        <w:rPr>
          <w:rFonts w:ascii="Times New Roman" w:eastAsia="NewtonC" w:hAnsi="Times New Roman"/>
          <w:sz w:val="28"/>
          <w:szCs w:val="28"/>
          <w:lang w:eastAsia="ru-RU"/>
        </w:rPr>
        <w:t xml:space="preserve"> [</w:t>
      </w:r>
      <w:r w:rsidR="00AC1E99" w:rsidRPr="009114DF">
        <w:rPr>
          <w:rFonts w:ascii="Times New Roman" w:eastAsia="NewtonC" w:hAnsi="Times New Roman"/>
          <w:sz w:val="28"/>
          <w:szCs w:val="28"/>
          <w:lang w:eastAsia="ru-RU"/>
        </w:rPr>
        <w:t>46</w:t>
      </w:r>
      <w:r w:rsidRPr="009114DF">
        <w:rPr>
          <w:rFonts w:ascii="Times New Roman" w:eastAsia="NewtonC" w:hAnsi="Times New Roman"/>
          <w:sz w:val="28"/>
          <w:szCs w:val="28"/>
          <w:lang w:eastAsia="ru-RU"/>
        </w:rPr>
        <w:t xml:space="preserve">]. </w:t>
      </w:r>
    </w:p>
    <w:p w:rsidR="009A0123" w:rsidRPr="009114DF" w:rsidRDefault="009A0123" w:rsidP="00F71B34">
      <w:pPr>
        <w:autoSpaceDE w:val="0"/>
        <w:autoSpaceDN w:val="0"/>
        <w:adjustRightInd w:val="0"/>
        <w:spacing w:after="0" w:line="360" w:lineRule="auto"/>
        <w:ind w:firstLine="576"/>
        <w:jc w:val="both"/>
        <w:rPr>
          <w:rFonts w:ascii="Times New Roman" w:eastAsia="Times-Roman" w:hAnsi="Times New Roman"/>
          <w:sz w:val="28"/>
          <w:szCs w:val="28"/>
        </w:rPr>
      </w:pPr>
      <w:r w:rsidRPr="009114DF">
        <w:rPr>
          <w:rFonts w:ascii="Times New Roman" w:eastAsia="Times-Roman" w:hAnsi="Times New Roman"/>
          <w:iCs/>
          <w:sz w:val="28"/>
          <w:szCs w:val="28"/>
        </w:rPr>
        <w:t>Основой современной стратегии лечения РА – «Лечение до достижения цели» (Treat to Target) – является максимально быстрое достижение ремиссии заболевания</w:t>
      </w:r>
      <w:r w:rsidR="000B5F79" w:rsidRPr="009114DF">
        <w:rPr>
          <w:rFonts w:ascii="Times New Roman" w:eastAsia="Times-Roman" w:hAnsi="Times New Roman"/>
          <w:iCs/>
          <w:sz w:val="28"/>
          <w:szCs w:val="28"/>
        </w:rPr>
        <w:t xml:space="preserve"> </w:t>
      </w:r>
      <w:r w:rsidR="000B5F79" w:rsidRPr="009114DF">
        <w:rPr>
          <w:rFonts w:ascii="Times New Roman" w:eastAsia="Times-Roman" w:hAnsi="Times New Roman"/>
          <w:sz w:val="28"/>
          <w:szCs w:val="28"/>
        </w:rPr>
        <w:t>[</w:t>
      </w:r>
      <w:r w:rsidR="00AC1E99" w:rsidRPr="009114DF">
        <w:rPr>
          <w:rFonts w:ascii="Times New Roman" w:eastAsia="Times-Roman" w:hAnsi="Times New Roman"/>
          <w:sz w:val="28"/>
          <w:szCs w:val="28"/>
        </w:rPr>
        <w:t>57</w:t>
      </w:r>
      <w:r w:rsidR="000B5F79" w:rsidRPr="009114DF">
        <w:rPr>
          <w:rFonts w:ascii="Times New Roman" w:eastAsia="Times-Roman" w:hAnsi="Times New Roman"/>
          <w:sz w:val="28"/>
          <w:szCs w:val="28"/>
        </w:rPr>
        <w:t>,</w:t>
      </w:r>
      <w:r w:rsidR="00237CCF" w:rsidRPr="009114DF">
        <w:rPr>
          <w:rFonts w:ascii="Times New Roman" w:eastAsia="Times-Roman" w:hAnsi="Times New Roman"/>
          <w:sz w:val="28"/>
          <w:szCs w:val="28"/>
        </w:rPr>
        <w:t xml:space="preserve"> </w:t>
      </w:r>
      <w:r w:rsidR="0004338D" w:rsidRPr="009114DF">
        <w:rPr>
          <w:rFonts w:ascii="Times New Roman" w:eastAsia="Times-Roman" w:hAnsi="Times New Roman"/>
          <w:sz w:val="28"/>
          <w:szCs w:val="28"/>
        </w:rPr>
        <w:t>186</w:t>
      </w:r>
      <w:r w:rsidR="00AC1E99" w:rsidRPr="009114DF">
        <w:rPr>
          <w:rFonts w:ascii="Times New Roman" w:eastAsia="Times-Roman" w:hAnsi="Times New Roman"/>
          <w:sz w:val="28"/>
          <w:szCs w:val="28"/>
        </w:rPr>
        <w:t>,</w:t>
      </w:r>
      <w:r w:rsidR="00237CCF" w:rsidRPr="009114DF">
        <w:rPr>
          <w:rFonts w:ascii="Times New Roman" w:eastAsia="Times-Roman" w:hAnsi="Times New Roman"/>
          <w:sz w:val="28"/>
          <w:szCs w:val="28"/>
        </w:rPr>
        <w:t xml:space="preserve"> </w:t>
      </w:r>
      <w:r w:rsidR="0004338D" w:rsidRPr="009114DF">
        <w:rPr>
          <w:rFonts w:ascii="Times New Roman" w:eastAsia="Times-Roman" w:hAnsi="Times New Roman"/>
          <w:sz w:val="28"/>
          <w:szCs w:val="28"/>
        </w:rPr>
        <w:t>187</w:t>
      </w:r>
      <w:r w:rsidR="000B5F79" w:rsidRPr="009114DF">
        <w:rPr>
          <w:rFonts w:ascii="Times New Roman" w:eastAsia="Times-Roman" w:hAnsi="Times New Roman"/>
          <w:sz w:val="28"/>
          <w:szCs w:val="28"/>
        </w:rPr>
        <w:t>,</w:t>
      </w:r>
      <w:r w:rsidR="00237CCF" w:rsidRPr="009114DF">
        <w:rPr>
          <w:rFonts w:ascii="Times New Roman" w:eastAsia="Times-Roman" w:hAnsi="Times New Roman"/>
          <w:sz w:val="28"/>
          <w:szCs w:val="28"/>
        </w:rPr>
        <w:t xml:space="preserve"> </w:t>
      </w:r>
      <w:r w:rsidR="00EC4BD2" w:rsidRPr="009114DF">
        <w:rPr>
          <w:rFonts w:ascii="Times New Roman" w:eastAsia="Times-Roman" w:hAnsi="Times New Roman"/>
          <w:sz w:val="28"/>
          <w:szCs w:val="28"/>
        </w:rPr>
        <w:t>188</w:t>
      </w:r>
      <w:r w:rsidR="000B5F79" w:rsidRPr="009114DF">
        <w:rPr>
          <w:rFonts w:ascii="Times New Roman" w:eastAsia="Times-Roman" w:hAnsi="Times New Roman"/>
          <w:sz w:val="28"/>
          <w:szCs w:val="28"/>
        </w:rPr>
        <w:t>]</w:t>
      </w:r>
      <w:r w:rsidRPr="009114DF">
        <w:rPr>
          <w:rFonts w:ascii="Times New Roman" w:eastAsia="Times-Roman" w:hAnsi="Times New Roman"/>
          <w:iCs/>
          <w:sz w:val="28"/>
          <w:szCs w:val="28"/>
        </w:rPr>
        <w:t>. Основн</w:t>
      </w:r>
      <w:r w:rsidR="00237CCF" w:rsidRPr="009114DF">
        <w:rPr>
          <w:rFonts w:ascii="Times New Roman" w:eastAsia="Times-Roman" w:hAnsi="Times New Roman"/>
          <w:iCs/>
          <w:sz w:val="28"/>
          <w:szCs w:val="28"/>
        </w:rPr>
        <w:t>ые</w:t>
      </w:r>
      <w:r w:rsidRPr="009114DF">
        <w:rPr>
          <w:rFonts w:ascii="Times New Roman" w:eastAsia="Times-Roman" w:hAnsi="Times New Roman"/>
          <w:iCs/>
          <w:sz w:val="28"/>
          <w:szCs w:val="28"/>
        </w:rPr>
        <w:t xml:space="preserve"> задач</w:t>
      </w:r>
      <w:r w:rsidR="00237CCF" w:rsidRPr="009114DF">
        <w:rPr>
          <w:rFonts w:ascii="Times New Roman" w:eastAsia="Times-Roman" w:hAnsi="Times New Roman"/>
          <w:iCs/>
          <w:sz w:val="28"/>
          <w:szCs w:val="28"/>
        </w:rPr>
        <w:t>и</w:t>
      </w:r>
      <w:r w:rsidRPr="009114DF">
        <w:rPr>
          <w:rFonts w:ascii="Times New Roman" w:eastAsia="Times-Roman" w:hAnsi="Times New Roman"/>
          <w:iCs/>
          <w:sz w:val="28"/>
          <w:szCs w:val="28"/>
        </w:rPr>
        <w:t xml:space="preserve"> лечения – улучшение качества жизни пациентов путем контроля симптомов заболевания, предотвращение деструкции и нарушения функции суставов, сохранение социальных возможностей. Важнейший путь для достижения этой цели – подавление воспаления. Широкое использование при РА ГИБП в комбинации со стандартными базисными противовоспалительными препаратами позволило существенно повысить эффективность терапии </w:t>
      </w:r>
      <w:r w:rsidR="00AC1E99" w:rsidRPr="009114DF">
        <w:rPr>
          <w:rFonts w:ascii="Times New Roman" w:eastAsia="Times-Roman" w:hAnsi="Times New Roman"/>
          <w:sz w:val="28"/>
          <w:szCs w:val="28"/>
        </w:rPr>
        <w:t>[54</w:t>
      </w:r>
      <w:r w:rsidRPr="009114DF">
        <w:rPr>
          <w:rFonts w:ascii="Times New Roman" w:eastAsia="Times-Roman" w:hAnsi="Times New Roman"/>
          <w:sz w:val="28"/>
          <w:szCs w:val="28"/>
        </w:rPr>
        <w:t>]</w:t>
      </w:r>
      <w:r w:rsidRPr="009114DF">
        <w:rPr>
          <w:rFonts w:ascii="Times New Roman" w:eastAsia="Times-Roman" w:hAnsi="Times New Roman"/>
          <w:iCs/>
          <w:sz w:val="28"/>
          <w:szCs w:val="28"/>
        </w:rPr>
        <w:t>.</w:t>
      </w:r>
      <w:r w:rsidR="00D65EE0" w:rsidRPr="009114DF">
        <w:rPr>
          <w:rFonts w:ascii="Times New Roman" w:eastAsia="Times-Roman" w:hAnsi="Times New Roman"/>
          <w:sz w:val="28"/>
          <w:szCs w:val="28"/>
        </w:rPr>
        <w:t xml:space="preserve"> В настоящее время в ревматологии с успехом применяются ГИБП с различными механизмами действия (ингибиторы фактора некроза опухол</w:t>
      </w:r>
      <w:proofErr w:type="gramStart"/>
      <w:r w:rsidR="00D65EE0" w:rsidRPr="009114DF">
        <w:rPr>
          <w:rFonts w:ascii="Times New Roman" w:eastAsia="Times-Roman" w:hAnsi="Times New Roman"/>
          <w:sz w:val="28"/>
          <w:szCs w:val="28"/>
        </w:rPr>
        <w:t>и</w:t>
      </w:r>
      <w:r w:rsidR="00237CCF" w:rsidRPr="009114DF">
        <w:rPr>
          <w:rFonts w:ascii="Times New Roman" w:eastAsia="Times-Roman" w:hAnsi="Times New Roman"/>
          <w:sz w:val="28"/>
          <w:szCs w:val="28"/>
        </w:rPr>
        <w:t>-</w:t>
      </w:r>
      <w:proofErr w:type="gramEnd"/>
      <w:r w:rsidR="00D65EE0" w:rsidRPr="009114DF">
        <w:rPr>
          <w:rFonts w:ascii="Times New Roman" w:eastAsia="Times-Roman" w:hAnsi="Times New Roman"/>
          <w:sz w:val="28"/>
          <w:szCs w:val="28"/>
          <w:lang w:val="en-US"/>
        </w:rPr>
        <w:t>α</w:t>
      </w:r>
      <w:r w:rsidR="00D65EE0" w:rsidRPr="009114DF">
        <w:rPr>
          <w:rFonts w:ascii="Times New Roman" w:eastAsia="Times-Roman" w:hAnsi="Times New Roman"/>
          <w:sz w:val="28"/>
          <w:szCs w:val="28"/>
        </w:rPr>
        <w:t>, интерлейкина</w:t>
      </w:r>
      <w:r w:rsidR="00237CCF" w:rsidRPr="009114DF">
        <w:rPr>
          <w:rFonts w:ascii="Times New Roman" w:eastAsia="Times-Roman" w:hAnsi="Times New Roman"/>
          <w:sz w:val="28"/>
          <w:szCs w:val="28"/>
        </w:rPr>
        <w:t>-</w:t>
      </w:r>
      <w:r w:rsidR="00D65EE0" w:rsidRPr="009114DF">
        <w:rPr>
          <w:rFonts w:ascii="Times New Roman" w:eastAsia="Times-Roman" w:hAnsi="Times New Roman"/>
          <w:sz w:val="28"/>
          <w:szCs w:val="28"/>
        </w:rPr>
        <w:t>1, костимуляции Т-клеток, опосредованной CD28</w:t>
      </w:r>
      <w:r w:rsidR="00237CCF" w:rsidRPr="009114DF">
        <w:rPr>
          <w:rFonts w:ascii="Times New Roman" w:eastAsia="Times-Roman" w:hAnsi="Times New Roman"/>
          <w:sz w:val="28"/>
          <w:szCs w:val="28"/>
        </w:rPr>
        <w:t>–</w:t>
      </w:r>
      <w:r w:rsidR="00D65EE0" w:rsidRPr="009114DF">
        <w:rPr>
          <w:rFonts w:ascii="Times New Roman" w:eastAsia="Times-Roman" w:hAnsi="Times New Roman"/>
          <w:sz w:val="28"/>
          <w:szCs w:val="28"/>
        </w:rPr>
        <w:t xml:space="preserve">CD80/86, анти-В-клеточные препараты). </w:t>
      </w:r>
      <w:r w:rsidRPr="009114DF">
        <w:rPr>
          <w:rFonts w:ascii="Times New Roman" w:eastAsia="Times New Roman" w:hAnsi="Times New Roman"/>
          <w:sz w:val="28"/>
          <w:szCs w:val="28"/>
          <w:lang w:eastAsia="ru-RU"/>
        </w:rPr>
        <w:t>Одним из представителей ГИБП является анти-В-клеточный препарат ритуксимаб (РТМ) –</w:t>
      </w:r>
      <w:r w:rsidR="00045BB8"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химерные моноклональные антитела, вызывающие деплецию СD20 В-лимфоцитов. </w:t>
      </w:r>
    </w:p>
    <w:p w:rsidR="00E777A3" w:rsidRPr="009114DF" w:rsidRDefault="009A0123" w:rsidP="00F71B34">
      <w:pPr>
        <w:spacing w:after="0" w:line="360" w:lineRule="auto"/>
        <w:ind w:firstLine="708"/>
        <w:jc w:val="both"/>
        <w:rPr>
          <w:rFonts w:ascii="Times New Roman" w:eastAsia="Times New Roman" w:hAnsi="Times New Roman"/>
          <w:sz w:val="28"/>
          <w:szCs w:val="28"/>
          <w:lang w:eastAsia="ru-RU"/>
        </w:rPr>
      </w:pPr>
      <w:proofErr w:type="gramStart"/>
      <w:r w:rsidRPr="009114DF">
        <w:rPr>
          <w:rFonts w:ascii="Times New Roman" w:eastAsia="Times New Roman" w:hAnsi="Times New Roman"/>
          <w:sz w:val="28"/>
          <w:szCs w:val="28"/>
          <w:lang w:eastAsia="ru-RU"/>
        </w:rPr>
        <w:lastRenderedPageBreak/>
        <w:t>В настоящем исследовании для изучения влияния противовоспалительной терапии на МПК у женщин в постменопаузе с диагнозом РА все больные были распределены в две группы в зависимости от варианта базисной терапии: группа 1 (44 человек</w:t>
      </w:r>
      <w:r w:rsidR="00237CCF" w:rsidRPr="009114DF">
        <w:rPr>
          <w:rFonts w:ascii="Times New Roman" w:eastAsia="Times New Roman" w:hAnsi="Times New Roman"/>
          <w:sz w:val="28"/>
          <w:szCs w:val="28"/>
          <w:lang w:eastAsia="ru-RU"/>
        </w:rPr>
        <w:t>а</w:t>
      </w:r>
      <w:r w:rsidRPr="009114DF">
        <w:rPr>
          <w:rFonts w:ascii="Times New Roman" w:eastAsia="Times New Roman" w:hAnsi="Times New Roman"/>
          <w:sz w:val="28"/>
          <w:szCs w:val="28"/>
          <w:lang w:eastAsia="ru-RU"/>
        </w:rPr>
        <w:t>) – больные, получавшие комбинированную терапию МТХ  (средняя доза  13,18 [12,5</w:t>
      </w:r>
      <w:r w:rsidR="00237CCF"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15,0] мг/нед) и РТМ (1000 мг внутривенно капельно дважды с интервалом 14 дней, среднее количество курсов</w:t>
      </w:r>
      <w:proofErr w:type="gramEnd"/>
      <w:r w:rsidRPr="009114DF">
        <w:rPr>
          <w:rFonts w:ascii="Times New Roman" w:eastAsia="Times New Roman" w:hAnsi="Times New Roman"/>
          <w:sz w:val="28"/>
          <w:szCs w:val="28"/>
          <w:lang w:eastAsia="ru-RU"/>
        </w:rPr>
        <w:t xml:space="preserve"> – </w:t>
      </w:r>
      <w:proofErr w:type="gramStart"/>
      <w:r w:rsidRPr="009114DF">
        <w:rPr>
          <w:rFonts w:ascii="Times New Roman" w:eastAsia="Times New Roman" w:hAnsi="Times New Roman"/>
          <w:sz w:val="28"/>
          <w:szCs w:val="28"/>
          <w:lang w:eastAsia="ru-RU"/>
        </w:rPr>
        <w:t>3,43 [3,0–4,0]);  группа 2 (</w:t>
      </w:r>
      <w:r w:rsidRPr="009114DF">
        <w:rPr>
          <w:rFonts w:ascii="Times New Roman" w:eastAsia="Times New Roman" w:hAnsi="Times New Roman"/>
          <w:sz w:val="28"/>
          <w:szCs w:val="28"/>
          <w:lang w:val="en-US" w:eastAsia="ru-RU"/>
        </w:rPr>
        <w:t>n</w:t>
      </w:r>
      <w:r w:rsidRPr="009114DF">
        <w:rPr>
          <w:rFonts w:ascii="Times New Roman" w:eastAsia="Times New Roman" w:hAnsi="Times New Roman"/>
          <w:sz w:val="28"/>
          <w:szCs w:val="28"/>
          <w:lang w:eastAsia="ru-RU"/>
        </w:rPr>
        <w:t>=35) – пациенты с монотерапией МТХ (средняя доза 13,57 [12,5–15,0] мг/нед).</w:t>
      </w:r>
      <w:proofErr w:type="gramEnd"/>
      <w:r w:rsidRPr="009114DF">
        <w:rPr>
          <w:rFonts w:ascii="Times New Roman" w:eastAsia="Times New Roman" w:hAnsi="Times New Roman"/>
          <w:sz w:val="28"/>
          <w:szCs w:val="28"/>
          <w:lang w:eastAsia="ru-RU"/>
        </w:rPr>
        <w:t xml:space="preserve"> Группы больных были сопоставимы по полу, возрасту и длительности заболевания (</w:t>
      </w:r>
      <w:proofErr w:type="gramStart"/>
      <w:r w:rsidRPr="009114DF">
        <w:rPr>
          <w:rFonts w:ascii="Times New Roman" w:eastAsia="Times New Roman" w:hAnsi="Times New Roman"/>
          <w:sz w:val="28"/>
          <w:szCs w:val="28"/>
          <w:lang w:eastAsia="ru-RU"/>
        </w:rPr>
        <w:t>р</w:t>
      </w:r>
      <w:proofErr w:type="gramEnd"/>
      <w:r w:rsidRPr="009114DF">
        <w:rPr>
          <w:rFonts w:ascii="Times New Roman" w:eastAsia="Times New Roman" w:hAnsi="Times New Roman"/>
          <w:sz w:val="28"/>
          <w:szCs w:val="28"/>
          <w:lang w:eastAsia="ru-RU"/>
        </w:rPr>
        <w:t xml:space="preserve">&gt;0,05). </w:t>
      </w:r>
    </w:p>
    <w:p w:rsidR="00D65EE0" w:rsidRPr="009114DF" w:rsidRDefault="00D65EE0" w:rsidP="00F71B34">
      <w:pPr>
        <w:spacing w:after="0" w:line="360" w:lineRule="auto"/>
        <w:ind w:firstLine="708"/>
        <w:jc w:val="both"/>
        <w:rPr>
          <w:rFonts w:ascii="Times New Roman" w:eastAsia="MS Mincho" w:hAnsi="Times New Roman"/>
          <w:sz w:val="28"/>
          <w:szCs w:val="28"/>
          <w:lang w:eastAsia="ru-RU"/>
        </w:rPr>
      </w:pPr>
      <w:r w:rsidRPr="009114DF">
        <w:rPr>
          <w:rFonts w:ascii="Times New Roman" w:eastAsia="MS Mincho" w:hAnsi="Times New Roman"/>
          <w:sz w:val="28"/>
          <w:szCs w:val="28"/>
          <w:lang w:eastAsia="ru-RU"/>
        </w:rPr>
        <w:t xml:space="preserve">Особенностью данной работы стала оценка динамики МПК на фоне различных вариантов противовоспалительной терапии в отдаленные сроки. Денситометрия аксиального (центрального) скелета является </w:t>
      </w:r>
      <w:r w:rsidRPr="009114DF">
        <w:rPr>
          <w:rFonts w:ascii="Times New Roman" w:eastAsia="Times New Roman" w:hAnsi="Times New Roman"/>
          <w:sz w:val="28"/>
          <w:szCs w:val="28"/>
          <w:lang w:eastAsia="ru-RU"/>
        </w:rPr>
        <w:t>золотым стандартом диагностики ОП [</w:t>
      </w:r>
      <w:r w:rsidR="00AC1E99" w:rsidRPr="009114DF">
        <w:rPr>
          <w:rFonts w:ascii="Times New Roman" w:eastAsia="Times New Roman" w:hAnsi="Times New Roman"/>
          <w:sz w:val="28"/>
          <w:szCs w:val="28"/>
          <w:lang w:eastAsia="ru-RU"/>
        </w:rPr>
        <w:t>13,</w:t>
      </w:r>
      <w:r w:rsidR="00237CCF" w:rsidRPr="009114DF">
        <w:rPr>
          <w:rFonts w:ascii="Times New Roman" w:eastAsia="Times New Roman" w:hAnsi="Times New Roman"/>
          <w:sz w:val="28"/>
          <w:szCs w:val="28"/>
          <w:lang w:eastAsia="ru-RU"/>
        </w:rPr>
        <w:t xml:space="preserve"> </w:t>
      </w:r>
      <w:r w:rsidR="007308E8" w:rsidRPr="009114DF">
        <w:rPr>
          <w:rFonts w:ascii="Times New Roman" w:eastAsia="Times New Roman" w:hAnsi="Times New Roman"/>
          <w:sz w:val="28"/>
          <w:szCs w:val="28"/>
          <w:lang w:eastAsia="ru-RU"/>
        </w:rPr>
        <w:t>73</w:t>
      </w:r>
      <w:r w:rsidR="00AC1E99" w:rsidRPr="009114DF">
        <w:rPr>
          <w:rFonts w:ascii="Times New Roman" w:eastAsia="Times New Roman" w:hAnsi="Times New Roman"/>
          <w:sz w:val="28"/>
          <w:szCs w:val="28"/>
          <w:lang w:eastAsia="ru-RU"/>
        </w:rPr>
        <w:t>,</w:t>
      </w:r>
      <w:r w:rsidR="00237CCF" w:rsidRPr="009114DF">
        <w:rPr>
          <w:rFonts w:ascii="Times New Roman" w:eastAsia="Times New Roman" w:hAnsi="Times New Roman"/>
          <w:sz w:val="28"/>
          <w:szCs w:val="28"/>
          <w:lang w:eastAsia="ru-RU"/>
        </w:rPr>
        <w:t xml:space="preserve"> </w:t>
      </w:r>
      <w:r w:rsidR="00AC1E99" w:rsidRPr="009114DF">
        <w:rPr>
          <w:rFonts w:ascii="Times New Roman" w:eastAsia="Times New Roman" w:hAnsi="Times New Roman"/>
          <w:sz w:val="28"/>
          <w:szCs w:val="28"/>
          <w:lang w:eastAsia="ru-RU"/>
        </w:rPr>
        <w:t>76,</w:t>
      </w:r>
      <w:r w:rsidR="00237CCF" w:rsidRPr="009114DF">
        <w:rPr>
          <w:rFonts w:ascii="Times New Roman" w:eastAsia="Times New Roman" w:hAnsi="Times New Roman"/>
          <w:sz w:val="28"/>
          <w:szCs w:val="28"/>
          <w:lang w:eastAsia="ru-RU"/>
        </w:rPr>
        <w:t xml:space="preserve"> </w:t>
      </w:r>
      <w:r w:rsidR="00EC4BD2" w:rsidRPr="009114DF">
        <w:rPr>
          <w:rFonts w:ascii="Times New Roman" w:eastAsia="Times New Roman" w:hAnsi="Times New Roman"/>
          <w:sz w:val="28"/>
          <w:szCs w:val="28"/>
          <w:lang w:eastAsia="ru-RU"/>
        </w:rPr>
        <w:t>196</w:t>
      </w:r>
      <w:r w:rsidRPr="009114DF">
        <w:rPr>
          <w:rFonts w:ascii="Times New Roman" w:eastAsia="Times New Roman" w:hAnsi="Times New Roman"/>
          <w:sz w:val="28"/>
          <w:szCs w:val="28"/>
          <w:lang w:eastAsia="ru-RU"/>
        </w:rPr>
        <w:t>].</w:t>
      </w:r>
      <w:r w:rsidRPr="009114DF">
        <w:rPr>
          <w:rFonts w:ascii="Times New Roman" w:eastAsia="MS Mincho" w:hAnsi="Times New Roman"/>
          <w:sz w:val="28"/>
          <w:szCs w:val="28"/>
          <w:lang w:eastAsia="ru-RU"/>
        </w:rPr>
        <w:t xml:space="preserve"> </w:t>
      </w:r>
      <w:r w:rsidR="004479C5" w:rsidRPr="009114DF">
        <w:rPr>
          <w:rFonts w:ascii="Times New Roman" w:eastAsia="Times New Roman" w:hAnsi="Times New Roman"/>
          <w:sz w:val="28"/>
          <w:szCs w:val="28"/>
          <w:lang w:eastAsia="ru-RU"/>
        </w:rPr>
        <w:t>В данном</w:t>
      </w:r>
      <w:r w:rsidRPr="009114DF">
        <w:rPr>
          <w:rFonts w:ascii="Times New Roman" w:eastAsia="Times New Roman" w:hAnsi="Times New Roman"/>
          <w:sz w:val="28"/>
          <w:szCs w:val="28"/>
          <w:lang w:eastAsia="ru-RU"/>
        </w:rPr>
        <w:t xml:space="preserve"> исследовании для оценки динамики МПК денситометрия проводилась 1 раз в 12 месяцев в течение 48 месяцев наблюдения (стационарный рентгеновский двухэнергетический костный денситометр </w:t>
      </w:r>
      <w:r w:rsidRPr="009114DF">
        <w:rPr>
          <w:rFonts w:ascii="Times New Roman" w:eastAsia="Times New Roman" w:hAnsi="Times New Roman"/>
          <w:sz w:val="28"/>
          <w:szCs w:val="28"/>
          <w:lang w:val="en-US" w:eastAsia="ru-RU"/>
        </w:rPr>
        <w:t>Excell</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XR</w:t>
      </w:r>
      <w:r w:rsidRPr="009114DF">
        <w:rPr>
          <w:rFonts w:ascii="Times New Roman" w:eastAsia="Times New Roman" w:hAnsi="Times New Roman"/>
          <w:sz w:val="28"/>
          <w:szCs w:val="28"/>
          <w:lang w:eastAsia="ru-RU"/>
        </w:rPr>
        <w:t xml:space="preserve">-46 </w:t>
      </w:r>
      <w:r w:rsidRPr="009114DF">
        <w:rPr>
          <w:rFonts w:ascii="Times New Roman" w:eastAsia="Times New Roman" w:hAnsi="Times New Roman"/>
          <w:sz w:val="28"/>
          <w:szCs w:val="28"/>
          <w:lang w:val="en-US" w:eastAsia="ru-RU"/>
        </w:rPr>
        <w:t>Norland</w:t>
      </w: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val="en-US" w:eastAsia="ru-RU"/>
        </w:rPr>
        <w:t>USA</w:t>
      </w:r>
      <w:r w:rsidRPr="009114DF">
        <w:rPr>
          <w:rFonts w:ascii="Times New Roman" w:eastAsia="Times New Roman" w:hAnsi="Times New Roman"/>
          <w:sz w:val="28"/>
          <w:szCs w:val="28"/>
          <w:lang w:eastAsia="ru-RU"/>
        </w:rPr>
        <w:t>). Оценивалась МПК проксимального отдела бедренной кости и поясничного отдела позвоночника.</w:t>
      </w:r>
      <w:r w:rsidRPr="009114DF">
        <w:rPr>
          <w:rFonts w:ascii="Times New Roman" w:eastAsia="MS Mincho" w:hAnsi="Times New Roman"/>
          <w:sz w:val="28"/>
          <w:szCs w:val="28"/>
          <w:lang w:eastAsia="ru-RU"/>
        </w:rPr>
        <w:t xml:space="preserve"> </w:t>
      </w:r>
    </w:p>
    <w:p w:rsidR="00B643FA" w:rsidRPr="009114DF" w:rsidRDefault="00A76FFD" w:rsidP="00266791">
      <w:pPr>
        <w:spacing w:after="0" w:line="360" w:lineRule="auto"/>
        <w:ind w:firstLine="708"/>
        <w:jc w:val="both"/>
        <w:rPr>
          <w:rFonts w:ascii="Times New Roman" w:eastAsia="Times New Roman" w:hAnsi="Times New Roman"/>
          <w:sz w:val="28"/>
          <w:szCs w:val="28"/>
          <w:lang w:eastAsia="ru-RU"/>
        </w:rPr>
      </w:pPr>
      <w:r w:rsidRPr="009114DF">
        <w:rPr>
          <w:rFonts w:ascii="Times New Roman" w:eastAsia="MS Mincho" w:hAnsi="Times New Roman"/>
          <w:sz w:val="28"/>
          <w:szCs w:val="28"/>
          <w:lang w:eastAsia="ru-RU"/>
        </w:rPr>
        <w:t xml:space="preserve">В настоящее время </w:t>
      </w:r>
      <w:r w:rsidR="00B643FA" w:rsidRPr="009114DF">
        <w:rPr>
          <w:rFonts w:ascii="Times New Roman" w:eastAsia="MS Mincho" w:hAnsi="Times New Roman"/>
          <w:sz w:val="28"/>
          <w:szCs w:val="28"/>
          <w:lang w:eastAsia="ru-RU"/>
        </w:rPr>
        <w:t>длительные исследования</w:t>
      </w:r>
      <w:r w:rsidRPr="009114DF">
        <w:rPr>
          <w:rFonts w:ascii="Times New Roman" w:eastAsia="MS Mincho" w:hAnsi="Times New Roman"/>
          <w:sz w:val="28"/>
          <w:szCs w:val="28"/>
          <w:lang w:eastAsia="ru-RU"/>
        </w:rPr>
        <w:t xml:space="preserve">, посвященные изучению влияния комбинированной терапии РТМ и МТХ на </w:t>
      </w:r>
      <w:r w:rsidR="00B643FA" w:rsidRPr="009114DF">
        <w:rPr>
          <w:rFonts w:ascii="Times New Roman" w:eastAsia="MS Mincho" w:hAnsi="Times New Roman"/>
          <w:sz w:val="28"/>
          <w:szCs w:val="28"/>
          <w:lang w:eastAsia="ru-RU"/>
        </w:rPr>
        <w:t>МПК,</w:t>
      </w:r>
      <w:r w:rsidRPr="009114DF">
        <w:rPr>
          <w:rFonts w:ascii="Times New Roman" w:eastAsia="MS Mincho" w:hAnsi="Times New Roman"/>
          <w:sz w:val="28"/>
          <w:szCs w:val="28"/>
          <w:lang w:eastAsia="ru-RU"/>
        </w:rPr>
        <w:t xml:space="preserve"> не проводились. </w:t>
      </w:r>
      <w:r w:rsidR="00B643FA" w:rsidRPr="009114DF">
        <w:rPr>
          <w:rFonts w:ascii="Times New Roman" w:eastAsia="Times New Roman" w:hAnsi="Times New Roman"/>
          <w:sz w:val="28"/>
          <w:szCs w:val="28"/>
          <w:lang w:eastAsia="ru-RU"/>
        </w:rPr>
        <w:t xml:space="preserve">Существуют единичные работы по изучению влияния РТМ на </w:t>
      </w:r>
      <w:proofErr w:type="gramStart"/>
      <w:r w:rsidR="00B643FA" w:rsidRPr="009114DF">
        <w:rPr>
          <w:rFonts w:ascii="Times New Roman" w:eastAsia="Times New Roman" w:hAnsi="Times New Roman"/>
          <w:sz w:val="28"/>
          <w:szCs w:val="28"/>
          <w:lang w:eastAsia="ru-RU"/>
        </w:rPr>
        <w:t>костное</w:t>
      </w:r>
      <w:proofErr w:type="gramEnd"/>
      <w:r w:rsidR="00B643FA" w:rsidRPr="009114DF">
        <w:rPr>
          <w:rFonts w:ascii="Times New Roman" w:eastAsia="Times New Roman" w:hAnsi="Times New Roman"/>
          <w:sz w:val="28"/>
          <w:szCs w:val="28"/>
          <w:lang w:eastAsia="ru-RU"/>
        </w:rPr>
        <w:t xml:space="preserve"> ремоделирование. В исследованиях REFLEX и IMAGE продемонстрирована способность комбинированной терапии РТМ и МТХ </w:t>
      </w:r>
      <w:proofErr w:type="gramStart"/>
      <w:r w:rsidR="00B643FA" w:rsidRPr="009114DF">
        <w:rPr>
          <w:rFonts w:ascii="Times New Roman" w:eastAsia="Times New Roman" w:hAnsi="Times New Roman"/>
          <w:sz w:val="28"/>
          <w:szCs w:val="28"/>
          <w:lang w:eastAsia="ru-RU"/>
        </w:rPr>
        <w:t>замедлять</w:t>
      </w:r>
      <w:proofErr w:type="gramEnd"/>
      <w:r w:rsidR="00B643FA" w:rsidRPr="009114DF">
        <w:rPr>
          <w:rFonts w:ascii="Times New Roman" w:eastAsia="Times New Roman" w:hAnsi="Times New Roman"/>
          <w:sz w:val="28"/>
          <w:szCs w:val="28"/>
          <w:lang w:eastAsia="ru-RU"/>
        </w:rPr>
        <w:t xml:space="preserve"> прогрессирование суставной деструкции при РА [</w:t>
      </w:r>
      <w:r w:rsidR="00AF6A1E" w:rsidRPr="009114DF">
        <w:rPr>
          <w:rFonts w:ascii="Times New Roman" w:eastAsia="Times New Roman" w:hAnsi="Times New Roman"/>
          <w:sz w:val="28"/>
          <w:szCs w:val="28"/>
          <w:lang w:eastAsia="ru-RU"/>
        </w:rPr>
        <w:t>1</w:t>
      </w:r>
      <w:r w:rsidR="006D17D9" w:rsidRPr="009114DF">
        <w:rPr>
          <w:rFonts w:ascii="Times New Roman" w:eastAsia="Times New Roman" w:hAnsi="Times New Roman"/>
          <w:sz w:val="28"/>
          <w:szCs w:val="28"/>
          <w:lang w:eastAsia="ru-RU"/>
        </w:rPr>
        <w:t>06</w:t>
      </w:r>
      <w:r w:rsidR="00EC4BD2" w:rsidRPr="009114DF">
        <w:rPr>
          <w:rFonts w:ascii="Times New Roman" w:eastAsia="Times New Roman" w:hAnsi="Times New Roman"/>
          <w:sz w:val="28"/>
          <w:szCs w:val="28"/>
          <w:lang w:eastAsia="ru-RU"/>
        </w:rPr>
        <w:t>, 194</w:t>
      </w:r>
      <w:r w:rsidR="00B643FA" w:rsidRPr="009114DF">
        <w:rPr>
          <w:rFonts w:ascii="Times New Roman" w:eastAsia="Times New Roman" w:hAnsi="Times New Roman"/>
          <w:sz w:val="28"/>
          <w:szCs w:val="28"/>
          <w:lang w:eastAsia="ru-RU"/>
        </w:rPr>
        <w:t xml:space="preserve">]. В </w:t>
      </w:r>
      <w:r w:rsidR="00237CCF" w:rsidRPr="009114DF">
        <w:rPr>
          <w:rFonts w:ascii="Times New Roman" w:eastAsia="Times New Roman" w:hAnsi="Times New Roman"/>
          <w:sz w:val="28"/>
          <w:szCs w:val="28"/>
          <w:lang w:eastAsia="ru-RU"/>
        </w:rPr>
        <w:t>исследовании</w:t>
      </w:r>
      <w:r w:rsidR="00B643FA" w:rsidRPr="009114DF">
        <w:rPr>
          <w:rFonts w:ascii="Times New Roman" w:eastAsia="Times New Roman" w:hAnsi="Times New Roman"/>
          <w:sz w:val="28"/>
          <w:szCs w:val="28"/>
          <w:lang w:eastAsia="ru-RU"/>
        </w:rPr>
        <w:t xml:space="preserve"> M.</w:t>
      </w:r>
      <w:r w:rsidR="00237CCF" w:rsidRPr="009114DF">
        <w:rPr>
          <w:rFonts w:ascii="Times New Roman" w:eastAsia="Times New Roman" w:hAnsi="Times New Roman"/>
          <w:sz w:val="28"/>
          <w:szCs w:val="28"/>
          <w:lang w:eastAsia="ru-RU"/>
        </w:rPr>
        <w:t xml:space="preserve"> </w:t>
      </w:r>
      <w:r w:rsidR="00B643FA" w:rsidRPr="009114DF">
        <w:rPr>
          <w:rFonts w:ascii="Times New Roman" w:eastAsia="Times New Roman" w:hAnsi="Times New Roman"/>
          <w:sz w:val="28"/>
          <w:szCs w:val="28"/>
          <w:lang w:eastAsia="ru-RU"/>
        </w:rPr>
        <w:t xml:space="preserve">J. </w:t>
      </w:r>
      <w:hyperlink r:id="rId26" w:history="1">
        <w:r w:rsidR="00B643FA" w:rsidRPr="009114DF">
          <w:rPr>
            <w:rFonts w:ascii="Times New Roman" w:eastAsia="Times New Roman" w:hAnsi="Times New Roman"/>
            <w:sz w:val="28"/>
            <w:szCs w:val="28"/>
            <w:lang w:eastAsia="ru-RU"/>
          </w:rPr>
          <w:t xml:space="preserve">Boumans </w:t>
        </w:r>
      </w:hyperlink>
      <w:r w:rsidR="00B643FA" w:rsidRPr="009114DF">
        <w:rPr>
          <w:rFonts w:ascii="Times New Roman" w:eastAsia="Times New Roman" w:hAnsi="Times New Roman"/>
          <w:sz w:val="28"/>
          <w:szCs w:val="28"/>
          <w:lang w:eastAsia="ru-RU"/>
        </w:rPr>
        <w:t>и соавт., включавшем 38 пациентов с активным РА, на фоне 12-месячной терапии РТМ зарегистрировано снижение на 99% RANKL-позитивных предшественников остеокластов (</w:t>
      </w:r>
      <w:proofErr w:type="gramStart"/>
      <w:r w:rsidR="00B643FA" w:rsidRPr="009114DF">
        <w:rPr>
          <w:rFonts w:ascii="Times New Roman" w:eastAsia="Times New Roman" w:hAnsi="Times New Roman"/>
          <w:sz w:val="28"/>
          <w:szCs w:val="28"/>
          <w:lang w:eastAsia="ru-RU"/>
        </w:rPr>
        <w:t>р</w:t>
      </w:r>
      <w:proofErr w:type="gramEnd"/>
      <w:r w:rsidR="00B643FA" w:rsidRPr="009114DF">
        <w:rPr>
          <w:rFonts w:ascii="Times New Roman" w:eastAsia="Times New Roman" w:hAnsi="Times New Roman"/>
          <w:sz w:val="28"/>
          <w:szCs w:val="28"/>
          <w:lang w:eastAsia="ru-RU"/>
        </w:rPr>
        <w:t>&lt;0,02), снижение на  37% экспрессии RANKL в синовии (р&lt;0,016), увеличение отношения OPG/RANKL в сыворотке (157%, p&lt;0,006), что, по мнению авторов, объясняет протективый эффект РТМ на прогрессировани</w:t>
      </w:r>
      <w:r w:rsidR="00FD458E" w:rsidRPr="009114DF">
        <w:rPr>
          <w:rFonts w:ascii="Times New Roman" w:eastAsia="Times New Roman" w:hAnsi="Times New Roman"/>
          <w:sz w:val="28"/>
          <w:szCs w:val="28"/>
          <w:lang w:eastAsia="ru-RU"/>
        </w:rPr>
        <w:t>е суставной деструкции при РА [</w:t>
      </w:r>
      <w:r w:rsidR="00041E69" w:rsidRPr="009114DF">
        <w:rPr>
          <w:rFonts w:ascii="Times New Roman" w:eastAsia="Times New Roman" w:hAnsi="Times New Roman"/>
          <w:sz w:val="28"/>
          <w:szCs w:val="28"/>
          <w:lang w:eastAsia="ru-RU"/>
        </w:rPr>
        <w:t>95</w:t>
      </w:r>
      <w:r w:rsidR="00B643FA" w:rsidRPr="009114DF">
        <w:rPr>
          <w:rFonts w:ascii="Times New Roman" w:eastAsia="Times New Roman" w:hAnsi="Times New Roman"/>
          <w:sz w:val="28"/>
          <w:szCs w:val="28"/>
          <w:lang w:eastAsia="ru-RU"/>
        </w:rPr>
        <w:t>].  G. Wheater и соа</w:t>
      </w:r>
      <w:r w:rsidR="00FD458E" w:rsidRPr="009114DF">
        <w:rPr>
          <w:rFonts w:ascii="Times New Roman" w:eastAsia="Times New Roman" w:hAnsi="Times New Roman"/>
          <w:sz w:val="28"/>
          <w:szCs w:val="28"/>
          <w:lang w:eastAsia="ru-RU"/>
        </w:rPr>
        <w:t>вт. [</w:t>
      </w:r>
      <w:r w:rsidR="00EC4BD2" w:rsidRPr="009114DF">
        <w:rPr>
          <w:rFonts w:ascii="Times New Roman" w:eastAsia="Times New Roman" w:hAnsi="Times New Roman"/>
          <w:sz w:val="28"/>
          <w:szCs w:val="28"/>
          <w:lang w:eastAsia="ru-RU"/>
        </w:rPr>
        <w:t>209</w:t>
      </w:r>
      <w:r w:rsidR="00761031" w:rsidRPr="009114DF">
        <w:rPr>
          <w:rFonts w:ascii="Times New Roman" w:eastAsia="Times New Roman" w:hAnsi="Times New Roman"/>
          <w:sz w:val="28"/>
          <w:szCs w:val="28"/>
          <w:lang w:eastAsia="ru-RU"/>
        </w:rPr>
        <w:t>], изучавшие влияние</w:t>
      </w:r>
      <w:r w:rsidR="00B14E16" w:rsidRPr="009114DF">
        <w:rPr>
          <w:rFonts w:ascii="Times New Roman" w:eastAsia="Times New Roman" w:hAnsi="Times New Roman"/>
          <w:sz w:val="28"/>
          <w:szCs w:val="28"/>
          <w:lang w:eastAsia="ru-RU"/>
        </w:rPr>
        <w:t xml:space="preserve"> </w:t>
      </w:r>
      <w:r w:rsidR="00B643FA" w:rsidRPr="009114DF">
        <w:rPr>
          <w:rFonts w:ascii="Times New Roman" w:eastAsia="Times New Roman" w:hAnsi="Times New Roman"/>
          <w:sz w:val="28"/>
          <w:szCs w:val="28"/>
          <w:lang w:eastAsia="ru-RU"/>
        </w:rPr>
        <w:lastRenderedPageBreak/>
        <w:t>B-клеток в формировании кости и ее резорбции при воспалении у</w:t>
      </w:r>
      <w:r w:rsidR="00237CCF" w:rsidRPr="009114DF">
        <w:rPr>
          <w:rFonts w:ascii="Times New Roman" w:eastAsia="Times New Roman" w:hAnsi="Times New Roman"/>
          <w:sz w:val="28"/>
          <w:szCs w:val="28"/>
          <w:lang w:eastAsia="ru-RU"/>
        </w:rPr>
        <w:br/>
      </w:r>
      <w:r w:rsidR="00B643FA" w:rsidRPr="009114DF">
        <w:rPr>
          <w:rFonts w:ascii="Times New Roman" w:eastAsia="Times New Roman" w:hAnsi="Times New Roman"/>
          <w:sz w:val="28"/>
          <w:szCs w:val="28"/>
          <w:lang w:eastAsia="ru-RU"/>
        </w:rPr>
        <w:t>45 пациентов с активным Р</w:t>
      </w:r>
      <w:proofErr w:type="gramStart"/>
      <w:r w:rsidR="00B643FA" w:rsidRPr="009114DF">
        <w:rPr>
          <w:rFonts w:ascii="Times New Roman" w:eastAsia="Times New Roman" w:hAnsi="Times New Roman"/>
          <w:sz w:val="28"/>
          <w:szCs w:val="28"/>
          <w:lang w:eastAsia="ru-RU"/>
        </w:rPr>
        <w:t>A</w:t>
      </w:r>
      <w:proofErr w:type="gramEnd"/>
      <w:r w:rsidR="00B643FA" w:rsidRPr="009114DF">
        <w:rPr>
          <w:rFonts w:ascii="Times New Roman" w:eastAsia="Times New Roman" w:hAnsi="Times New Roman"/>
          <w:sz w:val="28"/>
          <w:szCs w:val="28"/>
          <w:lang w:eastAsia="ru-RU"/>
        </w:rPr>
        <w:t>, отмечают, что на фоне терапии РТМ снизилась клиническая активность заболевания и замедлилось костное ремоделирование.</w:t>
      </w:r>
      <w:r w:rsidR="00B643FA" w:rsidRPr="009114DF">
        <w:rPr>
          <w:rFonts w:ascii="Times New Roman" w:hAnsi="Times New Roman"/>
          <w:sz w:val="28"/>
          <w:szCs w:val="28"/>
        </w:rPr>
        <w:t xml:space="preserve"> </w:t>
      </w:r>
      <w:r w:rsidR="00B643FA" w:rsidRPr="009114DF">
        <w:rPr>
          <w:rFonts w:ascii="Times New Roman" w:eastAsia="Times New Roman" w:hAnsi="Times New Roman"/>
          <w:sz w:val="28"/>
          <w:szCs w:val="28"/>
          <w:lang w:eastAsia="ru-RU"/>
        </w:rPr>
        <w:t xml:space="preserve">В исследовании </w:t>
      </w:r>
      <w:hyperlink r:id="rId27" w:history="1">
        <w:r w:rsidR="00B643FA" w:rsidRPr="009114DF">
          <w:rPr>
            <w:rFonts w:ascii="Times New Roman" w:eastAsia="Times New Roman" w:hAnsi="Times New Roman"/>
            <w:sz w:val="28"/>
            <w:szCs w:val="28"/>
            <w:lang w:eastAsia="ru-RU"/>
          </w:rPr>
          <w:t xml:space="preserve">G. </w:t>
        </w:r>
        <w:proofErr w:type="gramStart"/>
        <w:r w:rsidR="00B643FA" w:rsidRPr="009114DF">
          <w:rPr>
            <w:rFonts w:ascii="Times New Roman" w:eastAsia="Times New Roman" w:hAnsi="Times New Roman"/>
            <w:sz w:val="28"/>
            <w:szCs w:val="28"/>
            <w:lang w:eastAsia="ru-RU"/>
          </w:rPr>
          <w:t>Hein</w:t>
        </w:r>
      </w:hyperlink>
      <w:r w:rsidR="00B643FA" w:rsidRPr="009114DF">
        <w:rPr>
          <w:rFonts w:ascii="Times New Roman" w:eastAsia="Times New Roman" w:hAnsi="Times New Roman"/>
          <w:sz w:val="28"/>
          <w:szCs w:val="28"/>
          <w:lang w:eastAsia="ru-RU"/>
        </w:rPr>
        <w:t xml:space="preserve"> и соавт., включавшем 13 больных активным РА, </w:t>
      </w:r>
      <w:r w:rsidR="00D65EE0" w:rsidRPr="009114DF">
        <w:rPr>
          <w:rFonts w:ascii="Times New Roman" w:eastAsia="Times New Roman" w:hAnsi="Times New Roman"/>
          <w:sz w:val="28"/>
          <w:szCs w:val="28"/>
          <w:lang w:eastAsia="ru-RU"/>
        </w:rPr>
        <w:t>зарегистрированы</w:t>
      </w:r>
      <w:r w:rsidR="00B643FA" w:rsidRPr="009114DF">
        <w:rPr>
          <w:rFonts w:ascii="Times New Roman" w:eastAsia="Times New Roman" w:hAnsi="Times New Roman"/>
          <w:sz w:val="28"/>
          <w:szCs w:val="28"/>
          <w:lang w:eastAsia="ru-RU"/>
        </w:rPr>
        <w:t xml:space="preserve"> незначительная тенденция к снижению RANKL </w:t>
      </w:r>
      <w:r w:rsidR="00D65EE0" w:rsidRPr="009114DF">
        <w:rPr>
          <w:rFonts w:ascii="Times New Roman" w:eastAsia="Times New Roman" w:hAnsi="Times New Roman"/>
          <w:sz w:val="28"/>
          <w:szCs w:val="28"/>
          <w:lang w:eastAsia="ru-RU"/>
        </w:rPr>
        <w:t>после 15 месяцев терапии РТМ</w:t>
      </w:r>
      <w:r w:rsidR="00B643FA" w:rsidRPr="009114DF">
        <w:rPr>
          <w:rFonts w:ascii="Times New Roman" w:eastAsia="Times New Roman" w:hAnsi="Times New Roman"/>
          <w:sz w:val="28"/>
          <w:szCs w:val="28"/>
          <w:lang w:eastAsia="ru-RU"/>
        </w:rPr>
        <w:t xml:space="preserve"> и достоверное снижение маркера костной резорбции коллагена дезоксипиридинолина, что, возможно, доказывает снижение активности остеокластов и, как следствие, замедление костной резорбции [</w:t>
      </w:r>
      <w:r w:rsidR="00266791" w:rsidRPr="009114DF">
        <w:rPr>
          <w:rFonts w:ascii="Times New Roman" w:eastAsia="Times New Roman" w:hAnsi="Times New Roman"/>
          <w:sz w:val="28"/>
          <w:szCs w:val="28"/>
          <w:lang w:eastAsia="ru-RU"/>
        </w:rPr>
        <w:t>132</w:t>
      </w:r>
      <w:r w:rsidR="00B643FA" w:rsidRPr="009114DF">
        <w:rPr>
          <w:rFonts w:ascii="Times New Roman" w:eastAsia="Times New Roman" w:hAnsi="Times New Roman"/>
          <w:sz w:val="28"/>
          <w:szCs w:val="28"/>
          <w:lang w:eastAsia="ru-RU"/>
        </w:rPr>
        <w:t>].</w:t>
      </w:r>
      <w:proofErr w:type="gramEnd"/>
    </w:p>
    <w:p w:rsidR="009A0123" w:rsidRPr="009114DF" w:rsidRDefault="007A2A17" w:rsidP="00F71B34">
      <w:pPr>
        <w:spacing w:after="0" w:line="360" w:lineRule="auto"/>
        <w:ind w:firstLine="354"/>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Установлено, что через 12 месяцев терапии статистически значимых различий уровня МПК и Т-критерия в шейке бедра относительно исходных данных как в группе больных, получавших комбинированную терапию РТМ и МТХ, так и в группе с монотерапией МТХ не отмечено. Аналогичные результаты получены и через 24 месяца наблюдения. Положительная динамика</w:t>
      </w:r>
      <w:r w:rsidR="00237CCF" w:rsidRPr="009114DF">
        <w:rPr>
          <w:rFonts w:ascii="Times New Roman" w:eastAsia="Times New Roman" w:hAnsi="Times New Roman"/>
          <w:sz w:val="28"/>
          <w:szCs w:val="28"/>
          <w:lang w:eastAsia="ru-RU"/>
        </w:rPr>
        <w:t xml:space="preserve"> показателей </w:t>
      </w:r>
      <w:r w:rsidRPr="009114DF">
        <w:rPr>
          <w:rFonts w:ascii="Times New Roman" w:eastAsia="Times New Roman" w:hAnsi="Times New Roman"/>
          <w:sz w:val="28"/>
          <w:szCs w:val="28"/>
          <w:lang w:eastAsia="ru-RU"/>
        </w:rPr>
        <w:t>МПК и Т-критерия шейки бедра наблюдалась</w:t>
      </w:r>
      <w:r w:rsidR="009A0123" w:rsidRPr="009114DF">
        <w:rPr>
          <w:rFonts w:ascii="Times New Roman" w:eastAsia="Times New Roman" w:hAnsi="Times New Roman"/>
          <w:sz w:val="28"/>
          <w:szCs w:val="28"/>
          <w:lang w:eastAsia="ru-RU"/>
        </w:rPr>
        <w:t xml:space="preserve"> у пациентов с  комбинированной терапией РТМ и МТХ через 36 месяцев лечения. В интервале 36–48 месяцев данные показатели оставались стабильными. </w:t>
      </w:r>
      <w:r w:rsidRPr="009114DF">
        <w:rPr>
          <w:rFonts w:ascii="Times New Roman" w:eastAsia="Times New Roman" w:hAnsi="Times New Roman"/>
          <w:sz w:val="28"/>
          <w:szCs w:val="28"/>
          <w:lang w:eastAsia="ru-RU"/>
        </w:rPr>
        <w:t>В отличие от больных с комбинированной терапией РТМ и МТХ, в группе пациентов с монотерапией МТХ отмечалось снижение абсолютных значений денситометрических показателей относительно исходных данных, не достигшее уровня статистической значимости.</w:t>
      </w:r>
    </w:p>
    <w:p w:rsidR="00EB51DE" w:rsidRPr="009114DF" w:rsidRDefault="009A0123" w:rsidP="00F71B34">
      <w:pPr>
        <w:spacing w:after="0" w:line="360" w:lineRule="auto"/>
        <w:ind w:firstLine="354"/>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В поясничном отделе позвоночника у больных с монотерапией МТХ зарегистрировано достоверное снижение МПК и Т-критерия относительно исходных данных</w:t>
      </w:r>
      <w:r w:rsidR="00EB51DE" w:rsidRPr="009114DF">
        <w:rPr>
          <w:rFonts w:ascii="Times New Roman" w:eastAsia="Times New Roman" w:hAnsi="Times New Roman"/>
          <w:sz w:val="28"/>
          <w:szCs w:val="28"/>
          <w:lang w:eastAsia="ru-RU"/>
        </w:rPr>
        <w:t xml:space="preserve"> через 48 месяцев наблюдения</w:t>
      </w:r>
      <w:r w:rsidRPr="009114DF">
        <w:rPr>
          <w:rFonts w:ascii="Times New Roman" w:eastAsia="Times New Roman" w:hAnsi="Times New Roman"/>
          <w:sz w:val="28"/>
          <w:szCs w:val="28"/>
          <w:lang w:eastAsia="ru-RU"/>
        </w:rPr>
        <w:t>, в то время как в группе больных, получавших комбинированную терапию РТМ и МТХ,</w:t>
      </w:r>
      <w:r w:rsidR="007A2A17" w:rsidRPr="009114DF">
        <w:rPr>
          <w:rFonts w:ascii="Times New Roman" w:eastAsia="Times New Roman" w:hAnsi="Times New Roman"/>
          <w:sz w:val="28"/>
          <w:szCs w:val="28"/>
          <w:lang w:eastAsia="ru-RU"/>
        </w:rPr>
        <w:t xml:space="preserve"> вышеуказанные показатели оставались стабильными на протя</w:t>
      </w:r>
      <w:r w:rsidR="00EB51DE" w:rsidRPr="009114DF">
        <w:rPr>
          <w:rFonts w:ascii="Times New Roman" w:eastAsia="Times New Roman" w:hAnsi="Times New Roman"/>
          <w:sz w:val="28"/>
          <w:szCs w:val="28"/>
          <w:lang w:eastAsia="ru-RU"/>
        </w:rPr>
        <w:t xml:space="preserve">жении всего периода наблюдения. </w:t>
      </w:r>
    </w:p>
    <w:p w:rsidR="009D1C95" w:rsidRPr="009114DF" w:rsidRDefault="009A0123" w:rsidP="00F71B34">
      <w:pPr>
        <w:spacing w:after="0" w:line="360" w:lineRule="auto"/>
        <w:ind w:firstLine="354"/>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Таким образом, полученные данные свидетельствуют об отсутствии негативного влияния терапии РТМ на МПК как шейки бедра, так и </w:t>
      </w:r>
      <w:r w:rsidR="00EB51DE" w:rsidRPr="009114DF">
        <w:rPr>
          <w:rFonts w:ascii="Times New Roman" w:eastAsia="Times New Roman" w:hAnsi="Times New Roman"/>
          <w:sz w:val="28"/>
          <w:szCs w:val="28"/>
          <w:lang w:eastAsia="ru-RU"/>
        </w:rPr>
        <w:t>поясничного отдела позвоночника. П</w:t>
      </w:r>
      <w:r w:rsidRPr="009114DF">
        <w:rPr>
          <w:rFonts w:ascii="Times New Roman" w:eastAsia="Times New Roman" w:hAnsi="Times New Roman"/>
          <w:sz w:val="28"/>
          <w:szCs w:val="28"/>
          <w:lang w:eastAsia="ru-RU"/>
        </w:rPr>
        <w:t xml:space="preserve">рименение </w:t>
      </w:r>
      <w:r w:rsidR="00EB51DE" w:rsidRPr="009114DF">
        <w:rPr>
          <w:rFonts w:ascii="Times New Roman" w:eastAsia="Times New Roman" w:hAnsi="Times New Roman"/>
          <w:sz w:val="28"/>
          <w:szCs w:val="28"/>
          <w:lang w:eastAsia="ru-RU"/>
        </w:rPr>
        <w:t xml:space="preserve">комбинированной терапии </w:t>
      </w:r>
      <w:r w:rsidRPr="009114DF">
        <w:rPr>
          <w:rFonts w:ascii="Times New Roman" w:eastAsia="Times New Roman" w:hAnsi="Times New Roman"/>
          <w:sz w:val="28"/>
          <w:szCs w:val="28"/>
          <w:lang w:eastAsia="ru-RU"/>
        </w:rPr>
        <w:t>РТМ</w:t>
      </w:r>
      <w:r w:rsidR="00EB51DE" w:rsidRPr="009114DF">
        <w:rPr>
          <w:rFonts w:ascii="Times New Roman" w:eastAsia="Times New Roman" w:hAnsi="Times New Roman"/>
          <w:sz w:val="28"/>
          <w:szCs w:val="28"/>
          <w:lang w:eastAsia="ru-RU"/>
        </w:rPr>
        <w:t xml:space="preserve"> и МТХ</w:t>
      </w:r>
      <w:r w:rsidRPr="009114DF">
        <w:rPr>
          <w:rFonts w:ascii="Times New Roman" w:eastAsia="Times New Roman" w:hAnsi="Times New Roman"/>
          <w:sz w:val="28"/>
          <w:szCs w:val="28"/>
          <w:lang w:eastAsia="ru-RU"/>
        </w:rPr>
        <w:t xml:space="preserve"> у больных РА приводит к достоверн</w:t>
      </w:r>
      <w:r w:rsidR="00934EE0" w:rsidRPr="009114DF">
        <w:rPr>
          <w:rFonts w:ascii="Times New Roman" w:eastAsia="Times New Roman" w:hAnsi="Times New Roman"/>
          <w:sz w:val="28"/>
          <w:szCs w:val="28"/>
          <w:lang w:eastAsia="ru-RU"/>
        </w:rPr>
        <w:t xml:space="preserve">ому повышению показателей МПК </w:t>
      </w:r>
      <w:r w:rsidR="00EB51DE" w:rsidRPr="009114DF">
        <w:rPr>
          <w:rFonts w:ascii="Times New Roman" w:eastAsia="Times New Roman" w:hAnsi="Times New Roman"/>
          <w:sz w:val="28"/>
          <w:szCs w:val="28"/>
          <w:lang w:eastAsia="ru-RU"/>
        </w:rPr>
        <w:t>шейки</w:t>
      </w:r>
      <w:r w:rsidR="00B643FA" w:rsidRPr="009114DF">
        <w:rPr>
          <w:rFonts w:ascii="Times New Roman" w:eastAsia="Times New Roman" w:hAnsi="Times New Roman"/>
          <w:sz w:val="28"/>
          <w:szCs w:val="28"/>
          <w:lang w:eastAsia="ru-RU"/>
        </w:rPr>
        <w:t xml:space="preserve"> бедра.</w:t>
      </w:r>
    </w:p>
    <w:p w:rsidR="005469A8" w:rsidRPr="009114DF" w:rsidRDefault="00B643FA"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lastRenderedPageBreak/>
        <w:t xml:space="preserve">Важной целью настоящей работы </w:t>
      </w:r>
      <w:r w:rsidR="00761031" w:rsidRPr="009114DF">
        <w:rPr>
          <w:rFonts w:ascii="Times New Roman" w:eastAsia="Times New Roman" w:hAnsi="Times New Roman"/>
          <w:sz w:val="28"/>
          <w:szCs w:val="28"/>
          <w:lang w:eastAsia="ru-RU"/>
        </w:rPr>
        <w:t>явило</w:t>
      </w:r>
      <w:r w:rsidR="00D65EE0" w:rsidRPr="009114DF">
        <w:rPr>
          <w:rFonts w:ascii="Times New Roman" w:eastAsia="Times New Roman" w:hAnsi="Times New Roman"/>
          <w:sz w:val="28"/>
          <w:szCs w:val="28"/>
          <w:lang w:eastAsia="ru-RU"/>
        </w:rPr>
        <w:t xml:space="preserve">сь </w:t>
      </w:r>
      <w:r w:rsidR="00761031" w:rsidRPr="009114DF">
        <w:rPr>
          <w:rFonts w:ascii="Times New Roman" w:eastAsia="Times New Roman" w:hAnsi="Times New Roman"/>
          <w:sz w:val="28"/>
          <w:szCs w:val="28"/>
          <w:lang w:eastAsia="ru-RU"/>
        </w:rPr>
        <w:t>изучение в динамике</w:t>
      </w:r>
      <w:r w:rsidRPr="009114DF">
        <w:rPr>
          <w:rFonts w:ascii="Times New Roman" w:eastAsia="Times New Roman" w:hAnsi="Times New Roman"/>
          <w:sz w:val="28"/>
          <w:szCs w:val="28"/>
          <w:lang w:eastAsia="ru-RU"/>
        </w:rPr>
        <w:t xml:space="preserve"> </w:t>
      </w:r>
      <w:proofErr w:type="gramStart"/>
      <w:r w:rsidR="00D65EE0" w:rsidRPr="009114DF">
        <w:rPr>
          <w:rFonts w:ascii="Times New Roman" w:eastAsia="Times New Roman" w:hAnsi="Times New Roman"/>
          <w:sz w:val="28"/>
          <w:szCs w:val="28"/>
          <w:lang w:eastAsia="ru-RU"/>
        </w:rPr>
        <w:t>ФР</w:t>
      </w:r>
      <w:proofErr w:type="gramEnd"/>
      <w:r w:rsidR="00D65EE0" w:rsidRPr="009114DF">
        <w:rPr>
          <w:rFonts w:ascii="Times New Roman" w:eastAsia="Times New Roman" w:hAnsi="Times New Roman"/>
          <w:sz w:val="28"/>
          <w:szCs w:val="28"/>
          <w:lang w:eastAsia="ru-RU"/>
        </w:rPr>
        <w:t xml:space="preserve"> ОП</w:t>
      </w:r>
      <w:r w:rsidRPr="009114DF">
        <w:rPr>
          <w:rFonts w:ascii="Times New Roman" w:eastAsia="Times New Roman" w:hAnsi="Times New Roman"/>
          <w:sz w:val="28"/>
          <w:szCs w:val="28"/>
          <w:lang w:eastAsia="ru-RU"/>
        </w:rPr>
        <w:t>, а</w:t>
      </w:r>
      <w:r w:rsidR="00D65EE0" w:rsidRPr="009114DF">
        <w:rPr>
          <w:rFonts w:ascii="Times New Roman" w:eastAsia="Times New Roman" w:hAnsi="Times New Roman"/>
          <w:sz w:val="28"/>
          <w:szCs w:val="28"/>
          <w:lang w:eastAsia="ru-RU"/>
        </w:rPr>
        <w:t>ссоциированных</w:t>
      </w:r>
      <w:r w:rsidR="005469A8" w:rsidRPr="009114DF">
        <w:rPr>
          <w:rFonts w:ascii="Times New Roman" w:eastAsia="Times New Roman" w:hAnsi="Times New Roman"/>
          <w:sz w:val="28"/>
          <w:szCs w:val="28"/>
          <w:lang w:eastAsia="ru-RU"/>
        </w:rPr>
        <w:t xml:space="preserve"> с заболеванием</w:t>
      </w:r>
      <w:r w:rsidR="00D65EE0" w:rsidRPr="009114DF">
        <w:rPr>
          <w:rFonts w:ascii="Times New Roman" w:eastAsia="Times New Roman" w:hAnsi="Times New Roman"/>
          <w:sz w:val="28"/>
          <w:szCs w:val="28"/>
          <w:lang w:eastAsia="ru-RU"/>
        </w:rPr>
        <w:t xml:space="preserve"> (</w:t>
      </w:r>
      <w:r w:rsidR="00540C2E" w:rsidRPr="009114DF">
        <w:rPr>
          <w:rFonts w:ascii="Times New Roman" w:eastAsia="Times New Roman" w:hAnsi="Times New Roman"/>
          <w:sz w:val="28"/>
          <w:szCs w:val="28"/>
          <w:lang w:eastAsia="ru-RU"/>
        </w:rPr>
        <w:t>длительность</w:t>
      </w:r>
      <w:r w:rsidR="00D65EE0" w:rsidRPr="009114DF">
        <w:rPr>
          <w:rFonts w:ascii="Times New Roman" w:eastAsia="Times New Roman" w:hAnsi="Times New Roman"/>
          <w:sz w:val="28"/>
          <w:szCs w:val="28"/>
          <w:lang w:eastAsia="ru-RU"/>
        </w:rPr>
        <w:t xml:space="preserve"> болезни</w:t>
      </w:r>
      <w:r w:rsidR="005469A8" w:rsidRPr="009114DF">
        <w:rPr>
          <w:rFonts w:ascii="Times New Roman" w:eastAsia="Times New Roman" w:hAnsi="Times New Roman"/>
          <w:sz w:val="28"/>
          <w:szCs w:val="28"/>
          <w:lang w:eastAsia="ru-RU"/>
        </w:rPr>
        <w:t xml:space="preserve">, </w:t>
      </w:r>
      <w:r w:rsidR="00540C2E" w:rsidRPr="009114DF">
        <w:rPr>
          <w:rFonts w:ascii="Times New Roman" w:eastAsia="Times New Roman" w:hAnsi="Times New Roman"/>
          <w:sz w:val="28"/>
          <w:szCs w:val="28"/>
          <w:lang w:eastAsia="ru-RU"/>
        </w:rPr>
        <w:t>степень активности РА</w:t>
      </w:r>
      <w:r w:rsidR="005469A8" w:rsidRPr="009114DF">
        <w:rPr>
          <w:rFonts w:ascii="Times New Roman" w:eastAsia="Times New Roman" w:hAnsi="Times New Roman"/>
          <w:sz w:val="28"/>
          <w:szCs w:val="28"/>
          <w:lang w:eastAsia="ru-RU"/>
        </w:rPr>
        <w:t xml:space="preserve">, </w:t>
      </w:r>
      <w:r w:rsidR="003F0D96" w:rsidRPr="009114DF">
        <w:rPr>
          <w:rFonts w:ascii="Times New Roman" w:eastAsia="Times New Roman" w:hAnsi="Times New Roman"/>
          <w:sz w:val="28"/>
          <w:szCs w:val="28"/>
          <w:lang w:eastAsia="ru-RU"/>
        </w:rPr>
        <w:t xml:space="preserve">рентгенологическая стадия, наличие РФ, </w:t>
      </w:r>
      <w:r w:rsidR="005469A8" w:rsidRPr="009114DF">
        <w:rPr>
          <w:rFonts w:ascii="Times New Roman" w:eastAsia="Times New Roman" w:hAnsi="Times New Roman"/>
          <w:sz w:val="28"/>
          <w:szCs w:val="28"/>
          <w:lang w:eastAsia="ru-RU"/>
        </w:rPr>
        <w:t>функциональный статус</w:t>
      </w:r>
      <w:r w:rsidR="00D65EE0" w:rsidRPr="009114DF">
        <w:rPr>
          <w:rFonts w:ascii="Times New Roman" w:eastAsia="Times New Roman" w:hAnsi="Times New Roman"/>
          <w:sz w:val="28"/>
          <w:szCs w:val="28"/>
          <w:lang w:eastAsia="ru-RU"/>
        </w:rPr>
        <w:t>)</w:t>
      </w:r>
      <w:r w:rsidR="003F0D96"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w:t>
      </w:r>
    </w:p>
    <w:p w:rsidR="00B643FA" w:rsidRPr="009114DF" w:rsidRDefault="00FD458E" w:rsidP="00237CCF">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В </w:t>
      </w:r>
      <w:r w:rsidR="00B643FA" w:rsidRPr="009114DF">
        <w:rPr>
          <w:rFonts w:ascii="Times New Roman" w:eastAsia="Times New Roman" w:hAnsi="Times New Roman"/>
          <w:sz w:val="28"/>
          <w:szCs w:val="28"/>
          <w:lang w:eastAsia="ru-RU"/>
        </w:rPr>
        <w:t xml:space="preserve">литературе имеются противоречивые данные о влиянии длительности РА на МПК. </w:t>
      </w:r>
      <w:r w:rsidR="00926D76" w:rsidRPr="009114DF">
        <w:rPr>
          <w:rFonts w:ascii="Times New Roman" w:eastAsia="Times New Roman" w:hAnsi="Times New Roman"/>
          <w:sz w:val="28"/>
          <w:szCs w:val="28"/>
          <w:lang w:eastAsia="ru-RU"/>
        </w:rPr>
        <w:t xml:space="preserve">Отмечено, что </w:t>
      </w:r>
      <w:r w:rsidR="00D65EE0" w:rsidRPr="009114DF">
        <w:rPr>
          <w:rFonts w:ascii="Times New Roman" w:eastAsia="Times New Roman" w:hAnsi="Times New Roman"/>
          <w:sz w:val="28"/>
          <w:szCs w:val="28"/>
          <w:lang w:eastAsia="ru-RU"/>
        </w:rPr>
        <w:t>плотностные показатели кости коррелирую</w:t>
      </w:r>
      <w:r w:rsidR="00926D76" w:rsidRPr="009114DF">
        <w:rPr>
          <w:rFonts w:ascii="Times New Roman" w:eastAsia="Times New Roman" w:hAnsi="Times New Roman"/>
          <w:sz w:val="28"/>
          <w:szCs w:val="28"/>
          <w:lang w:eastAsia="ru-RU"/>
        </w:rPr>
        <w:t xml:space="preserve">т с длительностью </w:t>
      </w:r>
      <w:r w:rsidR="00D65EE0" w:rsidRPr="009114DF">
        <w:rPr>
          <w:rFonts w:ascii="Times New Roman" w:eastAsia="Times New Roman" w:hAnsi="Times New Roman"/>
          <w:sz w:val="28"/>
          <w:szCs w:val="28"/>
          <w:lang w:eastAsia="ru-RU"/>
        </w:rPr>
        <w:t>болезни</w:t>
      </w:r>
      <w:r w:rsidR="00926D76" w:rsidRPr="009114DF">
        <w:rPr>
          <w:rFonts w:ascii="Times New Roman" w:eastAsia="Times New Roman" w:hAnsi="Times New Roman"/>
          <w:sz w:val="28"/>
          <w:szCs w:val="28"/>
          <w:lang w:eastAsia="ru-RU"/>
        </w:rPr>
        <w:t>, а наибольшая скорость снижения костной массы разви</w:t>
      </w:r>
      <w:r w:rsidR="00AB4499" w:rsidRPr="009114DF">
        <w:rPr>
          <w:rFonts w:ascii="Times New Roman" w:eastAsia="Times New Roman" w:hAnsi="Times New Roman"/>
          <w:sz w:val="28"/>
          <w:szCs w:val="28"/>
          <w:lang w:eastAsia="ru-RU"/>
        </w:rPr>
        <w:t>вается в первые годы болезни [</w:t>
      </w:r>
      <w:r w:rsidR="00DB4CFA" w:rsidRPr="009114DF">
        <w:rPr>
          <w:rFonts w:ascii="Times New Roman" w:eastAsia="Times New Roman" w:hAnsi="Times New Roman"/>
          <w:sz w:val="28"/>
          <w:szCs w:val="28"/>
          <w:lang w:eastAsia="ru-RU"/>
        </w:rPr>
        <w:t>18</w:t>
      </w:r>
      <w:r w:rsidR="004A4301" w:rsidRPr="009114DF">
        <w:rPr>
          <w:rFonts w:ascii="Times New Roman" w:eastAsia="Times New Roman" w:hAnsi="Times New Roman"/>
          <w:sz w:val="28"/>
          <w:szCs w:val="28"/>
          <w:lang w:eastAsia="ru-RU"/>
        </w:rPr>
        <w:t xml:space="preserve">, </w:t>
      </w:r>
      <w:r w:rsidR="00266791" w:rsidRPr="009114DF">
        <w:rPr>
          <w:rFonts w:ascii="Times New Roman" w:eastAsia="Times New Roman" w:hAnsi="Times New Roman"/>
          <w:sz w:val="28"/>
          <w:szCs w:val="28"/>
          <w:lang w:eastAsia="ru-RU"/>
        </w:rPr>
        <w:t>130</w:t>
      </w:r>
      <w:r w:rsidR="00926D76" w:rsidRPr="009114DF">
        <w:rPr>
          <w:rFonts w:ascii="Times New Roman" w:eastAsia="Times New Roman" w:hAnsi="Times New Roman"/>
          <w:sz w:val="28"/>
          <w:szCs w:val="28"/>
          <w:lang w:eastAsia="ru-RU"/>
        </w:rPr>
        <w:t>]. H. Forsblad d’Elia и соавт.</w:t>
      </w:r>
      <w:r w:rsidR="003D15E2" w:rsidRPr="009114DF">
        <w:rPr>
          <w:rFonts w:ascii="Times New Roman" w:eastAsia="Times New Roman" w:hAnsi="Times New Roman"/>
          <w:sz w:val="28"/>
          <w:szCs w:val="28"/>
          <w:lang w:eastAsia="ru-RU"/>
        </w:rPr>
        <w:t xml:space="preserve"> указываю</w:t>
      </w:r>
      <w:r w:rsidR="00926C58" w:rsidRPr="009114DF">
        <w:rPr>
          <w:rFonts w:ascii="Times New Roman" w:eastAsia="Times New Roman" w:hAnsi="Times New Roman"/>
          <w:sz w:val="28"/>
          <w:szCs w:val="28"/>
          <w:lang w:eastAsia="ru-RU"/>
        </w:rPr>
        <w:t>т</w:t>
      </w:r>
      <w:r w:rsidR="00926D76" w:rsidRPr="009114DF">
        <w:rPr>
          <w:rFonts w:ascii="Times New Roman" w:eastAsia="Times New Roman" w:hAnsi="Times New Roman"/>
          <w:sz w:val="28"/>
          <w:szCs w:val="28"/>
          <w:lang w:eastAsia="ru-RU"/>
        </w:rPr>
        <w:t xml:space="preserve"> на преимущественно локальный характер развития остеопороза у больных на ранней стадии РА, тогда как генерализованное снижение плотности кости отмечается лишь на поздних стадиях болезни. Согласно</w:t>
      </w:r>
      <w:r w:rsidR="00926C58" w:rsidRPr="009114DF">
        <w:rPr>
          <w:rFonts w:ascii="Times New Roman" w:eastAsia="Times New Roman" w:hAnsi="Times New Roman"/>
          <w:sz w:val="28"/>
          <w:szCs w:val="28"/>
          <w:lang w:eastAsia="ru-RU"/>
        </w:rPr>
        <w:t xml:space="preserve"> исследованию </w:t>
      </w:r>
      <w:r w:rsidR="00761031" w:rsidRPr="009114DF">
        <w:rPr>
          <w:rFonts w:ascii="Times New Roman" w:eastAsia="Times New Roman" w:hAnsi="Times New Roman"/>
          <w:sz w:val="28"/>
          <w:szCs w:val="28"/>
          <w:lang w:eastAsia="ru-RU"/>
        </w:rPr>
        <w:t>A.</w:t>
      </w:r>
      <w:r w:rsidR="00237CCF" w:rsidRPr="009114DF">
        <w:rPr>
          <w:rFonts w:ascii="Times New Roman" w:eastAsia="Times New Roman" w:hAnsi="Times New Roman"/>
          <w:sz w:val="28"/>
          <w:szCs w:val="28"/>
          <w:lang w:eastAsia="ru-RU"/>
        </w:rPr>
        <w:t xml:space="preserve"> </w:t>
      </w:r>
      <w:r w:rsidR="00761031" w:rsidRPr="009114DF">
        <w:rPr>
          <w:rFonts w:ascii="Times New Roman" w:eastAsia="Times New Roman" w:hAnsi="Times New Roman"/>
          <w:sz w:val="28"/>
          <w:szCs w:val="28"/>
          <w:lang w:eastAsia="ru-RU"/>
        </w:rPr>
        <w:t xml:space="preserve">K. </w:t>
      </w:r>
      <w:r w:rsidR="00926C58" w:rsidRPr="009114DF">
        <w:rPr>
          <w:rFonts w:ascii="Times New Roman" w:eastAsia="Times New Roman" w:hAnsi="Times New Roman"/>
          <w:sz w:val="28"/>
          <w:szCs w:val="28"/>
          <w:lang w:eastAsia="ru-RU"/>
        </w:rPr>
        <w:t>Gough,</w:t>
      </w:r>
      <w:r w:rsidR="00926D76" w:rsidRPr="009114DF">
        <w:rPr>
          <w:rFonts w:ascii="Times New Roman" w:eastAsia="Times New Roman" w:hAnsi="Times New Roman"/>
          <w:sz w:val="28"/>
          <w:szCs w:val="28"/>
          <w:lang w:eastAsia="ru-RU"/>
        </w:rPr>
        <w:t xml:space="preserve"> генерализованный остеопороз быстрее прогрессирует в первые годы болезни и является индикатором тяжести системного воспалительного процесса [</w:t>
      </w:r>
      <w:r w:rsidR="00243567" w:rsidRPr="009114DF">
        <w:rPr>
          <w:rFonts w:ascii="Times New Roman" w:eastAsia="Times New Roman" w:hAnsi="Times New Roman"/>
          <w:sz w:val="28"/>
          <w:szCs w:val="28"/>
          <w:lang w:eastAsia="ru-RU"/>
        </w:rPr>
        <w:t>118, 126</w:t>
      </w:r>
      <w:r w:rsidR="00926D76" w:rsidRPr="009114DF">
        <w:rPr>
          <w:rFonts w:ascii="Times New Roman" w:eastAsia="Times New Roman" w:hAnsi="Times New Roman"/>
          <w:sz w:val="28"/>
          <w:szCs w:val="28"/>
          <w:lang w:eastAsia="ru-RU"/>
        </w:rPr>
        <w:t xml:space="preserve">]. </w:t>
      </w:r>
      <w:r w:rsidR="00D65EE0" w:rsidRPr="009114DF">
        <w:rPr>
          <w:rFonts w:ascii="Times New Roman" w:eastAsia="Times New Roman" w:hAnsi="Times New Roman"/>
          <w:sz w:val="28"/>
          <w:szCs w:val="28"/>
          <w:lang w:eastAsia="ru-RU"/>
        </w:rPr>
        <w:t>Е.</w:t>
      </w:r>
      <w:r w:rsidR="00237CCF" w:rsidRPr="009114DF">
        <w:rPr>
          <w:rFonts w:ascii="Times New Roman" w:eastAsia="Times New Roman" w:hAnsi="Times New Roman"/>
          <w:sz w:val="28"/>
          <w:szCs w:val="28"/>
          <w:lang w:eastAsia="ru-RU"/>
        </w:rPr>
        <w:t xml:space="preserve"> </w:t>
      </w:r>
      <w:r w:rsidR="00D65EE0" w:rsidRPr="009114DF">
        <w:rPr>
          <w:rFonts w:ascii="Times New Roman" w:eastAsia="Times New Roman" w:hAnsi="Times New Roman"/>
          <w:sz w:val="28"/>
          <w:szCs w:val="28"/>
          <w:lang w:eastAsia="ru-RU"/>
        </w:rPr>
        <w:t>В. Бе</w:t>
      </w:r>
      <w:r w:rsidR="00D65EE0" w:rsidRPr="009114DF">
        <w:rPr>
          <w:rFonts w:ascii="Times New Roman" w:eastAsia="Times New Roman" w:hAnsi="Times New Roman"/>
          <w:sz w:val="28"/>
          <w:szCs w:val="28"/>
          <w:lang w:eastAsia="ru-RU"/>
        </w:rPr>
        <w:softHyphen/>
        <w:t>лых и</w:t>
      </w:r>
      <w:r w:rsidR="00926C58" w:rsidRPr="009114DF">
        <w:rPr>
          <w:rFonts w:ascii="Times New Roman" w:eastAsia="Times New Roman" w:hAnsi="Times New Roman"/>
          <w:sz w:val="28"/>
          <w:szCs w:val="28"/>
          <w:lang w:eastAsia="ru-RU"/>
        </w:rPr>
        <w:t xml:space="preserve"> Л.</w:t>
      </w:r>
      <w:r w:rsidR="00237CCF" w:rsidRPr="009114DF">
        <w:rPr>
          <w:rFonts w:ascii="Times New Roman" w:eastAsia="Times New Roman" w:hAnsi="Times New Roman"/>
          <w:sz w:val="28"/>
          <w:szCs w:val="28"/>
          <w:lang w:eastAsia="ru-RU"/>
        </w:rPr>
        <w:t xml:space="preserve"> </w:t>
      </w:r>
      <w:r w:rsidR="00926C58" w:rsidRPr="009114DF">
        <w:rPr>
          <w:rFonts w:ascii="Times New Roman" w:eastAsia="Times New Roman" w:hAnsi="Times New Roman"/>
          <w:sz w:val="28"/>
          <w:szCs w:val="28"/>
          <w:lang w:eastAsia="ru-RU"/>
        </w:rPr>
        <w:t>В. Меньшикова относят дли</w:t>
      </w:r>
      <w:r w:rsidR="00926C58" w:rsidRPr="009114DF">
        <w:rPr>
          <w:rFonts w:ascii="Times New Roman" w:eastAsia="Times New Roman" w:hAnsi="Times New Roman"/>
          <w:sz w:val="28"/>
          <w:szCs w:val="28"/>
          <w:lang w:eastAsia="ru-RU"/>
        </w:rPr>
        <w:softHyphen/>
        <w:t>тельность РА более 10 лет к наиболее з</w:t>
      </w:r>
      <w:r w:rsidR="00107EDC" w:rsidRPr="009114DF">
        <w:rPr>
          <w:rFonts w:ascii="Times New Roman" w:eastAsia="Times New Roman" w:hAnsi="Times New Roman"/>
          <w:sz w:val="28"/>
          <w:szCs w:val="28"/>
          <w:lang w:eastAsia="ru-RU"/>
        </w:rPr>
        <w:t>н</w:t>
      </w:r>
      <w:r w:rsidR="00AF6A1E" w:rsidRPr="009114DF">
        <w:rPr>
          <w:rFonts w:ascii="Times New Roman" w:eastAsia="Times New Roman" w:hAnsi="Times New Roman"/>
          <w:sz w:val="28"/>
          <w:szCs w:val="28"/>
          <w:lang w:eastAsia="ru-RU"/>
        </w:rPr>
        <w:t xml:space="preserve">ачимым </w:t>
      </w:r>
      <w:proofErr w:type="gramStart"/>
      <w:r w:rsidR="00AF6A1E" w:rsidRPr="009114DF">
        <w:rPr>
          <w:rFonts w:ascii="Times New Roman" w:eastAsia="Times New Roman" w:hAnsi="Times New Roman"/>
          <w:sz w:val="28"/>
          <w:szCs w:val="28"/>
          <w:lang w:eastAsia="ru-RU"/>
        </w:rPr>
        <w:t>ФР</w:t>
      </w:r>
      <w:proofErr w:type="gramEnd"/>
      <w:r w:rsidR="00AF6A1E" w:rsidRPr="009114DF">
        <w:rPr>
          <w:rFonts w:ascii="Times New Roman" w:eastAsia="Times New Roman" w:hAnsi="Times New Roman"/>
          <w:sz w:val="28"/>
          <w:szCs w:val="28"/>
          <w:lang w:eastAsia="ru-RU"/>
        </w:rPr>
        <w:t xml:space="preserve"> развития ОП при РА [16</w:t>
      </w:r>
      <w:r w:rsidR="00926C58" w:rsidRPr="009114DF">
        <w:rPr>
          <w:rFonts w:ascii="Times New Roman" w:eastAsia="Times New Roman" w:hAnsi="Times New Roman"/>
          <w:sz w:val="28"/>
          <w:szCs w:val="28"/>
          <w:lang w:eastAsia="ru-RU"/>
        </w:rPr>
        <w:t xml:space="preserve">]. </w:t>
      </w:r>
      <w:r w:rsidR="00926D76" w:rsidRPr="009114DF">
        <w:rPr>
          <w:rFonts w:ascii="Times New Roman" w:eastAsia="Times New Roman" w:hAnsi="Times New Roman"/>
          <w:sz w:val="28"/>
          <w:szCs w:val="28"/>
          <w:lang w:eastAsia="ru-RU"/>
        </w:rPr>
        <w:t>В исследовании А.</w:t>
      </w:r>
      <w:r w:rsidR="00237CCF" w:rsidRPr="009114DF">
        <w:rPr>
          <w:rFonts w:ascii="Times New Roman" w:eastAsia="Times New Roman" w:hAnsi="Times New Roman"/>
          <w:sz w:val="28"/>
          <w:szCs w:val="28"/>
          <w:lang w:eastAsia="ru-RU"/>
        </w:rPr>
        <w:t xml:space="preserve"> </w:t>
      </w:r>
      <w:r w:rsidR="00926D76" w:rsidRPr="009114DF">
        <w:rPr>
          <w:rFonts w:ascii="Times New Roman" w:eastAsia="Times New Roman" w:hAnsi="Times New Roman"/>
          <w:sz w:val="28"/>
          <w:szCs w:val="28"/>
          <w:lang w:eastAsia="ru-RU"/>
        </w:rPr>
        <w:t>А. Герасимова</w:t>
      </w:r>
      <w:r w:rsidR="00B643FA" w:rsidRPr="009114DF">
        <w:rPr>
          <w:rFonts w:ascii="Times New Roman" w:eastAsia="Times New Roman" w:hAnsi="Times New Roman"/>
          <w:sz w:val="28"/>
          <w:szCs w:val="28"/>
          <w:lang w:eastAsia="ru-RU"/>
        </w:rPr>
        <w:t xml:space="preserve"> и соавт. установлена статистически значимая зависимость МПК от продолжительности заболевания</w:t>
      </w:r>
      <w:r w:rsidR="00926D76" w:rsidRPr="009114DF">
        <w:rPr>
          <w:rFonts w:ascii="Times New Roman" w:eastAsia="Times New Roman" w:hAnsi="Times New Roman"/>
          <w:sz w:val="28"/>
          <w:szCs w:val="28"/>
          <w:lang w:eastAsia="ru-RU"/>
        </w:rPr>
        <w:t xml:space="preserve"> </w:t>
      </w:r>
      <w:r w:rsidR="00AF6A1E" w:rsidRPr="009114DF">
        <w:rPr>
          <w:rFonts w:ascii="Times New Roman" w:eastAsia="Times New Roman" w:hAnsi="Times New Roman"/>
          <w:sz w:val="28"/>
          <w:szCs w:val="28"/>
          <w:lang w:eastAsia="ru-RU"/>
        </w:rPr>
        <w:t>[2</w:t>
      </w:r>
      <w:r w:rsidR="00007E92" w:rsidRPr="009114DF">
        <w:rPr>
          <w:rFonts w:ascii="Times New Roman" w:eastAsia="Times New Roman" w:hAnsi="Times New Roman"/>
          <w:sz w:val="28"/>
          <w:szCs w:val="28"/>
          <w:lang w:eastAsia="ru-RU"/>
        </w:rPr>
        <w:t>0</w:t>
      </w:r>
      <w:r w:rsidR="00B643FA" w:rsidRPr="009114DF">
        <w:rPr>
          <w:rFonts w:ascii="Times New Roman" w:eastAsia="Times New Roman" w:hAnsi="Times New Roman"/>
          <w:sz w:val="28"/>
          <w:szCs w:val="28"/>
          <w:lang w:eastAsia="ru-RU"/>
        </w:rPr>
        <w:t>].</w:t>
      </w:r>
      <w:r w:rsidR="003D15E2" w:rsidRPr="009114DF">
        <w:rPr>
          <w:rFonts w:ascii="Times New Roman" w:hAnsi="Times New Roman"/>
          <w:sz w:val="28"/>
          <w:szCs w:val="28"/>
        </w:rPr>
        <w:t xml:space="preserve"> </w:t>
      </w:r>
      <w:r w:rsidR="003D15E2" w:rsidRPr="009114DF">
        <w:rPr>
          <w:rFonts w:ascii="Times New Roman" w:eastAsia="Times New Roman" w:hAnsi="Times New Roman"/>
          <w:sz w:val="28"/>
          <w:szCs w:val="28"/>
          <w:lang w:eastAsia="ru-RU"/>
        </w:rPr>
        <w:t>Е. В. Петрова и соавт. отмечают,  что независимо от возраста больных РА по мере увеличения длительности заболевания снижается МПК всех отделов скелета</w:t>
      </w:r>
      <w:r w:rsidR="00107EDC" w:rsidRPr="009114DF">
        <w:rPr>
          <w:rFonts w:ascii="Times New Roman" w:eastAsia="Times New Roman" w:hAnsi="Times New Roman"/>
          <w:sz w:val="28"/>
          <w:szCs w:val="28"/>
          <w:lang w:eastAsia="ru-RU"/>
        </w:rPr>
        <w:t xml:space="preserve"> [</w:t>
      </w:r>
      <w:r w:rsidR="009829CB" w:rsidRPr="009114DF">
        <w:rPr>
          <w:rFonts w:ascii="Times New Roman" w:eastAsia="Times New Roman" w:hAnsi="Times New Roman"/>
          <w:sz w:val="28"/>
          <w:szCs w:val="28"/>
          <w:lang w:eastAsia="ru-RU"/>
        </w:rPr>
        <w:t>10</w:t>
      </w:r>
      <w:r w:rsidR="00107EDC" w:rsidRPr="009114DF">
        <w:rPr>
          <w:rFonts w:ascii="Times New Roman" w:eastAsia="Times New Roman" w:hAnsi="Times New Roman"/>
          <w:sz w:val="28"/>
          <w:szCs w:val="28"/>
          <w:lang w:eastAsia="ru-RU"/>
        </w:rPr>
        <w:t>].</w:t>
      </w:r>
      <w:r w:rsidR="003D15E2" w:rsidRPr="009114DF">
        <w:rPr>
          <w:rFonts w:ascii="Times New Roman" w:eastAsia="Times New Roman" w:hAnsi="Times New Roman"/>
          <w:sz w:val="28"/>
          <w:szCs w:val="28"/>
          <w:lang w:eastAsia="ru-RU"/>
        </w:rPr>
        <w:t xml:space="preserve"> </w:t>
      </w:r>
      <w:r w:rsidR="00B643FA" w:rsidRPr="009114DF">
        <w:rPr>
          <w:rFonts w:ascii="Times New Roman" w:eastAsia="Times New Roman" w:hAnsi="Times New Roman"/>
          <w:sz w:val="28"/>
          <w:szCs w:val="28"/>
          <w:lang w:eastAsia="ru-RU"/>
        </w:rPr>
        <w:t xml:space="preserve">По  результатам, представленным в исследовании Д.А. Гукасян, установлено, что у женщин с сохраненным менструальным циклом МПК в шейке бедра и костях предплечья достоверно уменьшалась по мере увеличения длительности РА. У женщин в постменопаузе отмечено </w:t>
      </w:r>
      <w:r w:rsidR="00D94A48" w:rsidRPr="009114DF">
        <w:rPr>
          <w:rFonts w:ascii="Times New Roman" w:eastAsia="Times New Roman" w:hAnsi="Times New Roman"/>
          <w:sz w:val="28"/>
          <w:szCs w:val="28"/>
          <w:lang w:eastAsia="ru-RU"/>
        </w:rPr>
        <w:t xml:space="preserve">статистически значимое </w:t>
      </w:r>
      <w:r w:rsidR="00B643FA" w:rsidRPr="009114DF">
        <w:rPr>
          <w:rFonts w:ascii="Times New Roman" w:eastAsia="Times New Roman" w:hAnsi="Times New Roman"/>
          <w:sz w:val="28"/>
          <w:szCs w:val="28"/>
          <w:lang w:eastAsia="ru-RU"/>
        </w:rPr>
        <w:t xml:space="preserve">различие </w:t>
      </w:r>
      <w:r w:rsidR="00D94A48" w:rsidRPr="009114DF">
        <w:rPr>
          <w:rFonts w:ascii="Times New Roman" w:eastAsia="Times New Roman" w:hAnsi="Times New Roman"/>
          <w:sz w:val="28"/>
          <w:szCs w:val="28"/>
          <w:lang w:eastAsia="ru-RU"/>
        </w:rPr>
        <w:t xml:space="preserve">плотностных значений кости </w:t>
      </w:r>
      <w:r w:rsidR="00B643FA" w:rsidRPr="009114DF">
        <w:rPr>
          <w:rFonts w:ascii="Times New Roman" w:eastAsia="Times New Roman" w:hAnsi="Times New Roman"/>
          <w:sz w:val="28"/>
          <w:szCs w:val="28"/>
          <w:lang w:eastAsia="ru-RU"/>
        </w:rPr>
        <w:t>только в поясничном отделе позвоночника, в то время как существенных различий в шейке бедра и костях предплечья в зависимости от</w:t>
      </w:r>
      <w:r w:rsidR="00AF6A1E" w:rsidRPr="009114DF">
        <w:rPr>
          <w:rFonts w:ascii="Times New Roman" w:eastAsia="Times New Roman" w:hAnsi="Times New Roman"/>
          <w:sz w:val="28"/>
          <w:szCs w:val="28"/>
          <w:lang w:eastAsia="ru-RU"/>
        </w:rPr>
        <w:t xml:space="preserve"> длительности РА не выявлено [</w:t>
      </w:r>
      <w:r w:rsidR="00007E92" w:rsidRPr="009114DF">
        <w:rPr>
          <w:rFonts w:ascii="Times New Roman" w:eastAsia="Times New Roman" w:hAnsi="Times New Roman"/>
          <w:sz w:val="28"/>
          <w:szCs w:val="28"/>
          <w:lang w:eastAsia="ru-RU"/>
        </w:rPr>
        <w:t>24</w:t>
      </w:r>
      <w:r w:rsidR="00B643FA" w:rsidRPr="009114DF">
        <w:rPr>
          <w:rFonts w:ascii="Times New Roman" w:eastAsia="Times New Roman" w:hAnsi="Times New Roman"/>
          <w:sz w:val="28"/>
          <w:szCs w:val="28"/>
          <w:lang w:eastAsia="ru-RU"/>
        </w:rPr>
        <w:t xml:space="preserve">]. </w:t>
      </w:r>
      <w:r w:rsidR="00A57094" w:rsidRPr="009114DF">
        <w:rPr>
          <w:rFonts w:ascii="Times New Roman" w:eastAsia="Times New Roman" w:hAnsi="Times New Roman"/>
          <w:sz w:val="28"/>
          <w:szCs w:val="28"/>
          <w:lang w:eastAsia="ru-RU"/>
        </w:rPr>
        <w:t>По данным</w:t>
      </w:r>
      <w:r w:rsidR="00B14E16" w:rsidRPr="009114DF">
        <w:rPr>
          <w:rFonts w:ascii="Times New Roman" w:eastAsia="Times New Roman" w:hAnsi="Times New Roman"/>
          <w:sz w:val="28"/>
          <w:szCs w:val="28"/>
          <w:lang w:eastAsia="ru-RU"/>
        </w:rPr>
        <w:t xml:space="preserve"> </w:t>
      </w:r>
      <w:r w:rsidR="00A57094" w:rsidRPr="009114DF">
        <w:rPr>
          <w:rFonts w:ascii="Times New Roman" w:eastAsia="Times New Roman" w:hAnsi="Times New Roman"/>
          <w:sz w:val="28"/>
          <w:szCs w:val="28"/>
          <w:lang w:eastAsia="ru-RU"/>
        </w:rPr>
        <w:t>А.</w:t>
      </w:r>
      <w:r w:rsidR="00237CCF" w:rsidRPr="009114DF">
        <w:rPr>
          <w:rFonts w:ascii="Times New Roman" w:eastAsia="Times New Roman" w:hAnsi="Times New Roman"/>
          <w:sz w:val="28"/>
          <w:szCs w:val="28"/>
          <w:lang w:eastAsia="ru-RU"/>
        </w:rPr>
        <w:t xml:space="preserve"> </w:t>
      </w:r>
      <w:r w:rsidR="00A57094" w:rsidRPr="009114DF">
        <w:rPr>
          <w:rFonts w:ascii="Times New Roman" w:eastAsia="Times New Roman" w:hAnsi="Times New Roman"/>
          <w:sz w:val="28"/>
          <w:szCs w:val="28"/>
          <w:lang w:eastAsia="ru-RU"/>
        </w:rPr>
        <w:t>В. Смирнова, у</w:t>
      </w:r>
      <w:r w:rsidR="00B643FA" w:rsidRPr="009114DF">
        <w:rPr>
          <w:rFonts w:ascii="Times New Roman" w:eastAsia="Times New Roman" w:hAnsi="Times New Roman"/>
          <w:sz w:val="28"/>
          <w:szCs w:val="28"/>
          <w:lang w:eastAsia="ru-RU"/>
        </w:rPr>
        <w:t xml:space="preserve"> больных РА с ОП длительность РА коррелировала толь</w:t>
      </w:r>
      <w:r w:rsidR="00B643FA" w:rsidRPr="009114DF">
        <w:rPr>
          <w:rFonts w:ascii="Times New Roman" w:eastAsia="Times New Roman" w:hAnsi="Times New Roman"/>
          <w:sz w:val="28"/>
          <w:szCs w:val="28"/>
          <w:lang w:eastAsia="ru-RU"/>
        </w:rPr>
        <w:softHyphen/>
        <w:t xml:space="preserve">ко с </w:t>
      </w:r>
      <w:r w:rsidR="006E2634" w:rsidRPr="009114DF">
        <w:rPr>
          <w:rFonts w:ascii="Times New Roman" w:eastAsia="Times New Roman" w:hAnsi="Times New Roman"/>
          <w:sz w:val="28"/>
          <w:szCs w:val="28"/>
          <w:lang w:eastAsia="ru-RU"/>
        </w:rPr>
        <w:t>МПК в шейке бедра [</w:t>
      </w:r>
      <w:r w:rsidR="00AF6A1E" w:rsidRPr="009114DF">
        <w:rPr>
          <w:rFonts w:ascii="Times New Roman" w:eastAsia="Times New Roman" w:hAnsi="Times New Roman"/>
          <w:sz w:val="28"/>
          <w:szCs w:val="28"/>
          <w:lang w:eastAsia="ru-RU"/>
        </w:rPr>
        <w:t>77</w:t>
      </w:r>
      <w:r w:rsidR="00B643FA" w:rsidRPr="009114DF">
        <w:rPr>
          <w:rFonts w:ascii="Times New Roman" w:eastAsia="Times New Roman" w:hAnsi="Times New Roman"/>
          <w:sz w:val="28"/>
          <w:szCs w:val="28"/>
          <w:lang w:eastAsia="ru-RU"/>
        </w:rPr>
        <w:t xml:space="preserve">], в то время как в поясничном отделе позвоночника зависимость </w:t>
      </w:r>
      <w:r w:rsidR="00D94A48" w:rsidRPr="009114DF">
        <w:rPr>
          <w:rFonts w:ascii="Times New Roman" w:eastAsia="Times New Roman" w:hAnsi="Times New Roman"/>
          <w:sz w:val="28"/>
          <w:szCs w:val="28"/>
          <w:lang w:eastAsia="ru-RU"/>
        </w:rPr>
        <w:t xml:space="preserve">вышеуказанных показателей </w:t>
      </w:r>
      <w:r w:rsidR="00B643FA" w:rsidRPr="009114DF">
        <w:rPr>
          <w:rFonts w:ascii="Times New Roman" w:eastAsia="Times New Roman" w:hAnsi="Times New Roman"/>
          <w:sz w:val="28"/>
          <w:szCs w:val="28"/>
          <w:lang w:eastAsia="ru-RU"/>
        </w:rPr>
        <w:t>отсутствовала. Аналогичные результаты получены и в исследовани</w:t>
      </w:r>
      <w:r w:rsidR="001E5B6B" w:rsidRPr="009114DF">
        <w:rPr>
          <w:rFonts w:ascii="Times New Roman" w:eastAsia="Times New Roman" w:hAnsi="Times New Roman"/>
          <w:sz w:val="28"/>
          <w:szCs w:val="28"/>
          <w:lang w:eastAsia="ru-RU"/>
        </w:rPr>
        <w:t>и J.</w:t>
      </w:r>
      <w:r w:rsidR="00237CCF" w:rsidRPr="009114DF">
        <w:rPr>
          <w:rFonts w:ascii="Times New Roman" w:eastAsia="Times New Roman" w:hAnsi="Times New Roman"/>
          <w:sz w:val="28"/>
          <w:szCs w:val="28"/>
          <w:lang w:eastAsia="ru-RU"/>
        </w:rPr>
        <w:t xml:space="preserve"> </w:t>
      </w:r>
      <w:r w:rsidR="001E5B6B" w:rsidRPr="009114DF">
        <w:rPr>
          <w:rFonts w:ascii="Times New Roman" w:eastAsia="Times New Roman" w:hAnsi="Times New Roman"/>
          <w:sz w:val="28"/>
          <w:szCs w:val="28"/>
          <w:lang w:eastAsia="ru-RU"/>
        </w:rPr>
        <w:t>C</w:t>
      </w:r>
      <w:r w:rsidR="00237CCF" w:rsidRPr="009114DF">
        <w:rPr>
          <w:rFonts w:ascii="Times New Roman" w:eastAsia="Times New Roman" w:hAnsi="Times New Roman"/>
          <w:sz w:val="28"/>
          <w:szCs w:val="28"/>
          <w:lang w:eastAsia="ru-RU"/>
        </w:rPr>
        <w:t>.</w:t>
      </w:r>
      <w:r w:rsidR="001E5B6B" w:rsidRPr="009114DF">
        <w:rPr>
          <w:rFonts w:ascii="Times New Roman" w:eastAsia="Times New Roman" w:hAnsi="Times New Roman"/>
          <w:sz w:val="28"/>
          <w:szCs w:val="28"/>
          <w:lang w:eastAsia="ru-RU"/>
        </w:rPr>
        <w:t xml:space="preserve"> Martin и соавт. [</w:t>
      </w:r>
      <w:r w:rsidR="00957C16" w:rsidRPr="009114DF">
        <w:rPr>
          <w:rFonts w:ascii="Times New Roman" w:eastAsia="Times New Roman" w:hAnsi="Times New Roman"/>
          <w:sz w:val="28"/>
          <w:szCs w:val="28"/>
          <w:lang w:eastAsia="ru-RU"/>
        </w:rPr>
        <w:t>163</w:t>
      </w:r>
      <w:r w:rsidR="002D4081" w:rsidRPr="009114DF">
        <w:rPr>
          <w:rFonts w:ascii="Times New Roman" w:eastAsia="Times New Roman" w:hAnsi="Times New Roman"/>
          <w:sz w:val="28"/>
          <w:szCs w:val="28"/>
          <w:lang w:eastAsia="ru-RU"/>
        </w:rPr>
        <w:t>].</w:t>
      </w:r>
      <w:r w:rsidR="00B643FA" w:rsidRPr="009114DF">
        <w:rPr>
          <w:rFonts w:ascii="Times New Roman" w:eastAsia="Times New Roman" w:hAnsi="Times New Roman"/>
          <w:sz w:val="28"/>
          <w:szCs w:val="28"/>
          <w:lang w:eastAsia="ru-RU"/>
        </w:rPr>
        <w:t xml:space="preserve"> N. </w:t>
      </w:r>
      <w:r w:rsidR="00B643FA" w:rsidRPr="009114DF">
        <w:rPr>
          <w:rFonts w:ascii="Times New Roman" w:eastAsia="Times New Roman" w:hAnsi="Times New Roman"/>
          <w:sz w:val="28"/>
          <w:szCs w:val="28"/>
          <w:lang w:eastAsia="ru-RU"/>
        </w:rPr>
        <w:lastRenderedPageBreak/>
        <w:t>F. Peel</w:t>
      </w:r>
      <w:r w:rsidR="00B14E16" w:rsidRPr="009114DF">
        <w:rPr>
          <w:rFonts w:ascii="Times New Roman" w:eastAsia="Times New Roman" w:hAnsi="Times New Roman"/>
          <w:sz w:val="28"/>
          <w:szCs w:val="28"/>
          <w:lang w:eastAsia="ru-RU"/>
        </w:rPr>
        <w:t xml:space="preserve"> </w:t>
      </w:r>
      <w:r w:rsidR="00B643FA" w:rsidRPr="009114DF">
        <w:rPr>
          <w:rFonts w:ascii="Times New Roman" w:eastAsia="Times New Roman" w:hAnsi="Times New Roman"/>
          <w:sz w:val="28"/>
          <w:szCs w:val="28"/>
          <w:lang w:eastAsia="ru-RU"/>
        </w:rPr>
        <w:t>и соав</w:t>
      </w:r>
      <w:r w:rsidR="00237CCF" w:rsidRPr="009114DF">
        <w:rPr>
          <w:rFonts w:ascii="Times New Roman" w:eastAsia="Times New Roman" w:hAnsi="Times New Roman"/>
          <w:sz w:val="28"/>
          <w:szCs w:val="28"/>
          <w:lang w:eastAsia="ru-RU"/>
        </w:rPr>
        <w:t>т</w:t>
      </w:r>
      <w:r w:rsidR="00B643FA" w:rsidRPr="009114DF">
        <w:rPr>
          <w:rFonts w:ascii="Times New Roman" w:eastAsia="Times New Roman" w:hAnsi="Times New Roman"/>
          <w:sz w:val="28"/>
          <w:szCs w:val="28"/>
          <w:lang w:eastAsia="ru-RU"/>
        </w:rPr>
        <w:t xml:space="preserve">. </w:t>
      </w:r>
      <w:r w:rsidR="00761031" w:rsidRPr="009114DF">
        <w:rPr>
          <w:rFonts w:ascii="Times New Roman" w:eastAsia="Times New Roman" w:hAnsi="Times New Roman"/>
          <w:sz w:val="28"/>
          <w:szCs w:val="28"/>
          <w:lang w:eastAsia="ru-RU"/>
        </w:rPr>
        <w:t>о</w:t>
      </w:r>
      <w:r w:rsidR="002D4081" w:rsidRPr="009114DF">
        <w:rPr>
          <w:rFonts w:ascii="Times New Roman" w:eastAsia="Times New Roman" w:hAnsi="Times New Roman"/>
          <w:sz w:val="28"/>
          <w:szCs w:val="28"/>
          <w:lang w:eastAsia="ru-RU"/>
        </w:rPr>
        <w:t>тмечают</w:t>
      </w:r>
      <w:r w:rsidR="00B643FA" w:rsidRPr="009114DF">
        <w:rPr>
          <w:rFonts w:ascii="Times New Roman" w:eastAsia="Times New Roman" w:hAnsi="Times New Roman"/>
          <w:sz w:val="28"/>
          <w:szCs w:val="28"/>
          <w:lang w:eastAsia="ru-RU"/>
        </w:rPr>
        <w:t xml:space="preserve"> отсутствие связи между значениями МПК позвоночника, шейки бе</w:t>
      </w:r>
      <w:r w:rsidR="001E5B6B" w:rsidRPr="009114DF">
        <w:rPr>
          <w:rFonts w:ascii="Times New Roman" w:eastAsia="Times New Roman" w:hAnsi="Times New Roman"/>
          <w:sz w:val="28"/>
          <w:szCs w:val="28"/>
          <w:lang w:eastAsia="ru-RU"/>
        </w:rPr>
        <w:t>дра и продолжительностью РА [</w:t>
      </w:r>
      <w:r w:rsidR="00957C16" w:rsidRPr="009114DF">
        <w:rPr>
          <w:rFonts w:ascii="Times New Roman" w:eastAsia="Times New Roman" w:hAnsi="Times New Roman"/>
          <w:sz w:val="28"/>
          <w:szCs w:val="28"/>
          <w:lang w:eastAsia="ru-RU"/>
        </w:rPr>
        <w:t>170</w:t>
      </w:r>
      <w:r w:rsidR="00B643FA" w:rsidRPr="009114DF">
        <w:rPr>
          <w:rFonts w:ascii="Times New Roman" w:eastAsia="Times New Roman" w:hAnsi="Times New Roman"/>
          <w:sz w:val="28"/>
          <w:szCs w:val="28"/>
          <w:lang w:eastAsia="ru-RU"/>
        </w:rPr>
        <w:t xml:space="preserve">]. </w:t>
      </w:r>
    </w:p>
    <w:p w:rsidR="009A0123" w:rsidRPr="009114DF" w:rsidRDefault="009A0123" w:rsidP="00237CCF">
      <w:pPr>
        <w:spacing w:after="0" w:line="360" w:lineRule="auto"/>
        <w:ind w:firstLine="709"/>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В </w:t>
      </w:r>
      <w:r w:rsidR="0003079F" w:rsidRPr="009114DF">
        <w:rPr>
          <w:rFonts w:ascii="Times New Roman" w:eastAsia="Times New Roman" w:hAnsi="Times New Roman"/>
          <w:sz w:val="28"/>
          <w:szCs w:val="28"/>
          <w:lang w:eastAsia="ru-RU"/>
        </w:rPr>
        <w:t>настоящем исследовании</w:t>
      </w:r>
      <w:r w:rsidRPr="009114DF">
        <w:rPr>
          <w:rFonts w:ascii="Times New Roman" w:eastAsia="Times New Roman" w:hAnsi="Times New Roman"/>
          <w:sz w:val="28"/>
          <w:szCs w:val="28"/>
          <w:lang w:eastAsia="ru-RU"/>
        </w:rPr>
        <w:t xml:space="preserve"> показано, что длительность заболевания не оказывает существенного влияния на МПК как шейки бедра, так и поясничного отдела позвоночника. Установлено, что средние значения МПК и Т-критерия в шейке бедра у больных при давности РА ≥10 лет исходно были сопоставимы с данными показателями у больных с длительностью заболевания &lt;10 лет как в группе </w:t>
      </w:r>
      <w:r w:rsidR="00971F94" w:rsidRPr="009114DF">
        <w:rPr>
          <w:rFonts w:ascii="Times New Roman" w:eastAsia="Times New Roman" w:hAnsi="Times New Roman"/>
          <w:sz w:val="28"/>
          <w:szCs w:val="28"/>
          <w:lang w:eastAsia="ru-RU"/>
        </w:rPr>
        <w:t xml:space="preserve">пациентов, получавших комбинированную терапию РТМ и МТХ, </w:t>
      </w:r>
      <w:r w:rsidRPr="009114DF">
        <w:rPr>
          <w:rFonts w:ascii="Times New Roman" w:eastAsia="Times New Roman" w:hAnsi="Times New Roman"/>
          <w:sz w:val="28"/>
          <w:szCs w:val="28"/>
          <w:lang w:eastAsia="ru-RU"/>
        </w:rPr>
        <w:t>так и в группе</w:t>
      </w:r>
      <w:r w:rsidR="00971F94" w:rsidRPr="009114DF">
        <w:rPr>
          <w:rFonts w:ascii="Times New Roman" w:eastAsia="Times New Roman" w:hAnsi="Times New Roman"/>
          <w:sz w:val="28"/>
          <w:szCs w:val="28"/>
          <w:lang w:eastAsia="ru-RU"/>
        </w:rPr>
        <w:t xml:space="preserve"> с монотерапией МТХ</w:t>
      </w:r>
      <w:r w:rsidRPr="009114DF">
        <w:rPr>
          <w:rFonts w:ascii="Times New Roman" w:eastAsia="Times New Roman" w:hAnsi="Times New Roman"/>
          <w:sz w:val="28"/>
          <w:szCs w:val="28"/>
          <w:lang w:eastAsia="ru-RU"/>
        </w:rPr>
        <w:t>. Аналогичная закономерность прослеживается и через 48 месяцев наблюдения.</w:t>
      </w:r>
    </w:p>
    <w:p w:rsidR="009A0123"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Плотностные значения кости у больных группы 1 и группы 2  с длительностью заболевания &lt;10 лет не различались как исходно, так и через 4</w:t>
      </w:r>
      <w:r w:rsidR="00971F94" w:rsidRPr="009114DF">
        <w:rPr>
          <w:rFonts w:ascii="Times New Roman" w:eastAsia="Times New Roman" w:hAnsi="Times New Roman"/>
          <w:sz w:val="28"/>
          <w:szCs w:val="28"/>
          <w:lang w:eastAsia="ru-RU"/>
        </w:rPr>
        <w:t>8</w:t>
      </w:r>
      <w:r w:rsidRPr="009114DF">
        <w:rPr>
          <w:rFonts w:ascii="Times New Roman" w:eastAsia="Times New Roman" w:hAnsi="Times New Roman"/>
          <w:sz w:val="28"/>
          <w:szCs w:val="28"/>
          <w:lang w:eastAsia="ru-RU"/>
        </w:rPr>
        <w:t xml:space="preserve"> </w:t>
      </w:r>
      <w:r w:rsidR="00971F94" w:rsidRPr="009114DF">
        <w:rPr>
          <w:rFonts w:ascii="Times New Roman" w:eastAsia="Times New Roman" w:hAnsi="Times New Roman"/>
          <w:sz w:val="28"/>
          <w:szCs w:val="28"/>
          <w:lang w:eastAsia="ru-RU"/>
        </w:rPr>
        <w:t>месяцев</w:t>
      </w:r>
      <w:r w:rsidRPr="009114DF">
        <w:rPr>
          <w:rFonts w:ascii="Times New Roman" w:eastAsia="Times New Roman" w:hAnsi="Times New Roman"/>
          <w:sz w:val="28"/>
          <w:szCs w:val="28"/>
          <w:lang w:eastAsia="ru-RU"/>
        </w:rPr>
        <w:t xml:space="preserve"> наблюдения. У пациентов группы 1 с длительностью заболевания  РА ≥10 лет исходно и через 48 месяцев терапии МПК и Т-критерий шейки бедра были сопоставимы с показателями пациентов группы 2 с аналогичной давностью заболевания. </w:t>
      </w:r>
    </w:p>
    <w:p w:rsidR="009A0123"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При анализе влияния четырехлетней терапии на денситометрические показатели шейки бедра установлено, что у больных, получавших РТМ и МТХ, независимо от длительности заболевания МПК и Т-критерий шейки бедра статистически значимо повышались относительно исходных данных, в то время как в поясничном отделе позвоночника данные показатели оставались стабильными.</w:t>
      </w:r>
    </w:p>
    <w:p w:rsidR="001403A1" w:rsidRPr="009114DF" w:rsidRDefault="00237CCF"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С учетом</w:t>
      </w:r>
      <w:r w:rsidR="009A0123" w:rsidRPr="009114DF">
        <w:rPr>
          <w:rFonts w:ascii="Times New Roman" w:eastAsia="Times New Roman" w:hAnsi="Times New Roman"/>
          <w:sz w:val="28"/>
          <w:szCs w:val="28"/>
          <w:lang w:eastAsia="ru-RU"/>
        </w:rPr>
        <w:t xml:space="preserve"> влияни</w:t>
      </w:r>
      <w:r w:rsidRPr="009114DF">
        <w:rPr>
          <w:rFonts w:ascii="Times New Roman" w:eastAsia="Times New Roman" w:hAnsi="Times New Roman"/>
          <w:sz w:val="28"/>
          <w:szCs w:val="28"/>
          <w:lang w:eastAsia="ru-RU"/>
        </w:rPr>
        <w:t>я</w:t>
      </w:r>
      <w:r w:rsidR="009A0123" w:rsidRPr="009114DF">
        <w:rPr>
          <w:rFonts w:ascii="Times New Roman" w:eastAsia="Times New Roman" w:hAnsi="Times New Roman"/>
          <w:sz w:val="28"/>
          <w:szCs w:val="28"/>
          <w:lang w:eastAsia="ru-RU"/>
        </w:rPr>
        <w:t xml:space="preserve"> иммуновоспалительных нарушений на ремоделирование костной ткани «резорбтивный» эффект провоспалительных цитокинов представляется бесспорной взаимосвязь активности воспаления и снижения костной массы у больных РА. </w:t>
      </w:r>
      <w:r w:rsidR="00536C41" w:rsidRPr="009114DF">
        <w:rPr>
          <w:rFonts w:ascii="Times New Roman" w:eastAsia="Times New Roman" w:hAnsi="Times New Roman"/>
          <w:sz w:val="28"/>
          <w:szCs w:val="28"/>
          <w:lang w:eastAsia="ru-RU"/>
        </w:rPr>
        <w:t>Од</w:t>
      </w:r>
      <w:r w:rsidR="002D4081" w:rsidRPr="009114DF">
        <w:rPr>
          <w:rFonts w:ascii="Times New Roman" w:eastAsia="Times New Roman" w:hAnsi="Times New Roman"/>
          <w:sz w:val="28"/>
          <w:szCs w:val="28"/>
          <w:lang w:eastAsia="ru-RU"/>
        </w:rPr>
        <w:t>ним</w:t>
      </w:r>
      <w:r w:rsidR="00536C41" w:rsidRPr="009114DF">
        <w:rPr>
          <w:rFonts w:ascii="Times New Roman" w:eastAsia="Times New Roman" w:hAnsi="Times New Roman"/>
          <w:sz w:val="28"/>
          <w:szCs w:val="28"/>
          <w:lang w:eastAsia="ru-RU"/>
        </w:rPr>
        <w:t xml:space="preserve"> из медиаторов, участвующих в нарушении ремоделирования костной ткани и потере костной массы в позвоночнике и бедренной кости является ИЛ-6</w:t>
      </w:r>
      <w:r w:rsidR="00362FFA" w:rsidRPr="009114DF">
        <w:rPr>
          <w:rFonts w:ascii="Times New Roman" w:eastAsia="Times New Roman" w:hAnsi="Times New Roman"/>
          <w:sz w:val="28"/>
          <w:szCs w:val="28"/>
          <w:lang w:eastAsia="ru-RU"/>
        </w:rPr>
        <w:t>.</w:t>
      </w:r>
      <w:r w:rsidR="00536C41" w:rsidRPr="009114DF">
        <w:rPr>
          <w:rFonts w:ascii="Times New Roman" w:eastAsia="Times New Roman" w:hAnsi="Times New Roman"/>
          <w:sz w:val="28"/>
          <w:szCs w:val="28"/>
          <w:lang w:eastAsia="ru-RU"/>
        </w:rPr>
        <w:t xml:space="preserve">   </w:t>
      </w:r>
      <w:r w:rsidR="00F86509" w:rsidRPr="009114DF">
        <w:rPr>
          <w:rFonts w:ascii="Times New Roman" w:eastAsia="Times New Roman" w:hAnsi="Times New Roman"/>
          <w:sz w:val="28"/>
          <w:szCs w:val="28"/>
          <w:lang w:eastAsia="ru-RU"/>
        </w:rPr>
        <w:t xml:space="preserve">При РА наблюдается корреляция между </w:t>
      </w:r>
      <w:r w:rsidR="00D65EE0" w:rsidRPr="009114DF">
        <w:rPr>
          <w:rFonts w:ascii="Times New Roman" w:eastAsia="Times New Roman" w:hAnsi="Times New Roman"/>
          <w:sz w:val="28"/>
          <w:szCs w:val="28"/>
          <w:lang w:eastAsia="ru-RU"/>
        </w:rPr>
        <w:t xml:space="preserve">концентрацией СРБ и </w:t>
      </w:r>
      <w:r w:rsidR="00536C41" w:rsidRPr="009114DF">
        <w:rPr>
          <w:rFonts w:ascii="Times New Roman" w:eastAsia="Times New Roman" w:hAnsi="Times New Roman"/>
          <w:sz w:val="28"/>
          <w:szCs w:val="28"/>
          <w:lang w:eastAsia="ru-RU"/>
        </w:rPr>
        <w:t xml:space="preserve">ИЛ-6 </w:t>
      </w:r>
      <w:r w:rsidR="00F86509" w:rsidRPr="009114DF">
        <w:rPr>
          <w:rFonts w:ascii="Times New Roman" w:eastAsia="Times New Roman" w:hAnsi="Times New Roman"/>
          <w:sz w:val="28"/>
          <w:szCs w:val="28"/>
          <w:lang w:eastAsia="ru-RU"/>
        </w:rPr>
        <w:t>в сино</w:t>
      </w:r>
      <w:r w:rsidR="00536C41" w:rsidRPr="009114DF">
        <w:rPr>
          <w:rFonts w:ascii="Times New Roman" w:eastAsia="Times New Roman" w:hAnsi="Times New Roman"/>
          <w:sz w:val="28"/>
          <w:szCs w:val="28"/>
          <w:lang w:eastAsia="ru-RU"/>
        </w:rPr>
        <w:t>виальной жидкости и сыворотке</w:t>
      </w:r>
      <w:r w:rsidR="00362FFA" w:rsidRPr="009114DF">
        <w:rPr>
          <w:rFonts w:ascii="Times New Roman" w:eastAsia="Times New Roman" w:hAnsi="Times New Roman"/>
          <w:sz w:val="28"/>
          <w:szCs w:val="28"/>
          <w:lang w:eastAsia="ru-RU"/>
        </w:rPr>
        <w:t xml:space="preserve"> [</w:t>
      </w:r>
      <w:r w:rsidR="00AF6A1E" w:rsidRPr="009114DF">
        <w:rPr>
          <w:rFonts w:ascii="Times New Roman" w:eastAsia="Times New Roman" w:hAnsi="Times New Roman"/>
          <w:sz w:val="28"/>
          <w:szCs w:val="28"/>
          <w:lang w:eastAsia="ru-RU"/>
        </w:rPr>
        <w:t>46,</w:t>
      </w:r>
      <w:r w:rsidRPr="009114DF">
        <w:rPr>
          <w:rFonts w:ascii="Times New Roman" w:eastAsia="Times New Roman" w:hAnsi="Times New Roman"/>
          <w:sz w:val="28"/>
          <w:szCs w:val="28"/>
          <w:lang w:eastAsia="ru-RU"/>
        </w:rPr>
        <w:t xml:space="preserve"> </w:t>
      </w:r>
      <w:r w:rsidR="00AF6A1E" w:rsidRPr="009114DF">
        <w:rPr>
          <w:rFonts w:ascii="Times New Roman" w:eastAsia="Times New Roman" w:hAnsi="Times New Roman"/>
          <w:sz w:val="28"/>
          <w:szCs w:val="28"/>
          <w:lang w:eastAsia="ru-RU"/>
        </w:rPr>
        <w:t>82</w:t>
      </w:r>
      <w:r w:rsidR="00362FFA" w:rsidRPr="009114DF">
        <w:rPr>
          <w:rFonts w:ascii="Times New Roman" w:eastAsia="Times New Roman" w:hAnsi="Times New Roman"/>
          <w:sz w:val="28"/>
          <w:szCs w:val="28"/>
          <w:lang w:eastAsia="ru-RU"/>
        </w:rPr>
        <w:t>]</w:t>
      </w:r>
      <w:r w:rsidR="00536C41" w:rsidRPr="009114DF">
        <w:rPr>
          <w:rFonts w:ascii="Times New Roman" w:eastAsia="Times New Roman" w:hAnsi="Times New Roman"/>
          <w:sz w:val="28"/>
          <w:szCs w:val="28"/>
          <w:lang w:eastAsia="ru-RU"/>
        </w:rPr>
        <w:t>.</w:t>
      </w:r>
      <w:r w:rsidR="00F86509" w:rsidRPr="009114DF">
        <w:rPr>
          <w:rFonts w:ascii="Times New Roman" w:eastAsia="Times New Roman" w:hAnsi="Times New Roman"/>
          <w:sz w:val="28"/>
          <w:szCs w:val="28"/>
          <w:lang w:eastAsia="ru-RU"/>
        </w:rPr>
        <w:t xml:space="preserve"> </w:t>
      </w:r>
      <w:r w:rsidR="009A0123" w:rsidRPr="009114DF">
        <w:rPr>
          <w:rFonts w:ascii="Times New Roman" w:eastAsia="Times New Roman" w:hAnsi="Times New Roman"/>
          <w:sz w:val="28"/>
          <w:szCs w:val="28"/>
          <w:lang w:eastAsia="ru-RU"/>
        </w:rPr>
        <w:t xml:space="preserve">В </w:t>
      </w:r>
      <w:r w:rsidR="009A0123" w:rsidRPr="009114DF">
        <w:rPr>
          <w:rFonts w:ascii="Times New Roman" w:eastAsia="Times New Roman" w:hAnsi="Times New Roman"/>
          <w:sz w:val="28"/>
          <w:szCs w:val="28"/>
          <w:lang w:eastAsia="ru-RU"/>
        </w:rPr>
        <w:lastRenderedPageBreak/>
        <w:t xml:space="preserve">настоящее время проведено много </w:t>
      </w:r>
      <w:r w:rsidR="001403A1" w:rsidRPr="009114DF">
        <w:rPr>
          <w:rFonts w:ascii="Times New Roman" w:eastAsia="Times New Roman" w:hAnsi="Times New Roman"/>
          <w:sz w:val="28"/>
          <w:szCs w:val="28"/>
          <w:lang w:eastAsia="ru-RU"/>
        </w:rPr>
        <w:t>метаанализов и систематических обзоров</w:t>
      </w:r>
      <w:r w:rsidR="009A0123" w:rsidRPr="009114DF">
        <w:rPr>
          <w:rFonts w:ascii="Times New Roman" w:eastAsia="Times New Roman" w:hAnsi="Times New Roman"/>
          <w:sz w:val="28"/>
          <w:szCs w:val="28"/>
          <w:lang w:eastAsia="ru-RU"/>
        </w:rPr>
        <w:t>, посвященных изучению связи между развитием воспаления при РА и ОП [</w:t>
      </w:r>
      <w:r w:rsidR="00243567" w:rsidRPr="009114DF">
        <w:rPr>
          <w:rFonts w:ascii="Times New Roman" w:eastAsia="Times New Roman" w:hAnsi="Times New Roman"/>
          <w:sz w:val="28"/>
          <w:szCs w:val="28"/>
          <w:lang w:eastAsia="ru-RU"/>
        </w:rPr>
        <w:t>121, 126</w:t>
      </w:r>
      <w:r w:rsidR="009A0123" w:rsidRPr="009114DF">
        <w:rPr>
          <w:rFonts w:ascii="Times New Roman" w:eastAsia="Times New Roman" w:hAnsi="Times New Roman"/>
          <w:sz w:val="28"/>
          <w:szCs w:val="28"/>
          <w:lang w:eastAsia="ru-RU"/>
        </w:rPr>
        <w:t>].</w:t>
      </w:r>
      <w:r w:rsidR="00F86509" w:rsidRPr="009114DF">
        <w:rPr>
          <w:rFonts w:ascii="Times New Roman" w:eastAsia="Times New Roman" w:hAnsi="Times New Roman"/>
          <w:sz w:val="28"/>
          <w:szCs w:val="28"/>
          <w:lang w:eastAsia="ru-RU"/>
        </w:rPr>
        <w:t xml:space="preserve"> </w:t>
      </w:r>
      <w:r w:rsidR="000C4893" w:rsidRPr="009114DF">
        <w:rPr>
          <w:rFonts w:ascii="Times New Roman" w:eastAsia="Times New Roman" w:hAnsi="Times New Roman"/>
          <w:sz w:val="28"/>
          <w:szCs w:val="28"/>
          <w:lang w:eastAsia="ru-RU"/>
        </w:rPr>
        <w:t>Абсолютное большинство авторов</w:t>
      </w:r>
      <w:r w:rsidR="00B94996" w:rsidRPr="009114DF">
        <w:rPr>
          <w:rFonts w:ascii="Times New Roman" w:eastAsia="Times New Roman" w:hAnsi="Times New Roman"/>
          <w:sz w:val="28"/>
          <w:szCs w:val="28"/>
          <w:lang w:eastAsia="ru-RU"/>
        </w:rPr>
        <w:t xml:space="preserve"> отмечают отрицательную</w:t>
      </w:r>
      <w:r w:rsidR="00F86509" w:rsidRPr="009114DF">
        <w:rPr>
          <w:rFonts w:ascii="Times New Roman" w:eastAsia="Times New Roman" w:hAnsi="Times New Roman"/>
          <w:sz w:val="28"/>
          <w:szCs w:val="28"/>
          <w:lang w:eastAsia="ru-RU"/>
        </w:rPr>
        <w:t xml:space="preserve"> зависимость </w:t>
      </w:r>
      <w:r w:rsidR="00147BDC" w:rsidRPr="009114DF">
        <w:rPr>
          <w:rFonts w:ascii="Times New Roman" w:eastAsia="Times New Roman" w:hAnsi="Times New Roman"/>
          <w:sz w:val="28"/>
          <w:szCs w:val="28"/>
          <w:lang w:eastAsia="ru-RU"/>
        </w:rPr>
        <w:t xml:space="preserve">минеральной плотности кости и активности заболевания </w:t>
      </w:r>
      <w:r w:rsidR="000C4893" w:rsidRPr="009114DF">
        <w:rPr>
          <w:rFonts w:ascii="Times New Roman" w:eastAsia="Times New Roman" w:hAnsi="Times New Roman"/>
          <w:sz w:val="28"/>
          <w:szCs w:val="28"/>
          <w:lang w:eastAsia="ru-RU"/>
        </w:rPr>
        <w:t>[</w:t>
      </w:r>
      <w:r w:rsidR="00007E92" w:rsidRPr="009114DF">
        <w:rPr>
          <w:rFonts w:ascii="Times New Roman" w:eastAsia="Times New Roman" w:hAnsi="Times New Roman"/>
          <w:sz w:val="28"/>
          <w:szCs w:val="28"/>
          <w:lang w:eastAsia="ru-RU"/>
        </w:rPr>
        <w:t>21</w:t>
      </w:r>
      <w:r w:rsidR="009829CB"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w:t>
      </w:r>
      <w:r w:rsidR="00AF6A1E" w:rsidRPr="009114DF">
        <w:rPr>
          <w:rFonts w:ascii="Times New Roman" w:eastAsia="Times New Roman" w:hAnsi="Times New Roman"/>
          <w:sz w:val="28"/>
          <w:szCs w:val="28"/>
          <w:lang w:eastAsia="ru-RU"/>
        </w:rPr>
        <w:t>46</w:t>
      </w:r>
      <w:r w:rsidR="000C4893" w:rsidRPr="009114DF">
        <w:rPr>
          <w:rFonts w:ascii="Times New Roman" w:eastAsia="Times New Roman" w:hAnsi="Times New Roman"/>
          <w:sz w:val="28"/>
          <w:szCs w:val="28"/>
          <w:lang w:eastAsia="ru-RU"/>
        </w:rPr>
        <w:t>]. Так, исследование 43 женщин с РА, проведенное И.</w:t>
      </w:r>
      <w:r w:rsidRPr="009114DF">
        <w:rPr>
          <w:rFonts w:ascii="Times New Roman" w:eastAsia="Times New Roman" w:hAnsi="Times New Roman"/>
          <w:sz w:val="28"/>
          <w:szCs w:val="28"/>
          <w:lang w:eastAsia="ru-RU"/>
        </w:rPr>
        <w:t xml:space="preserve"> </w:t>
      </w:r>
      <w:r w:rsidR="000C4893" w:rsidRPr="009114DF">
        <w:rPr>
          <w:rFonts w:ascii="Times New Roman" w:eastAsia="Times New Roman" w:hAnsi="Times New Roman"/>
          <w:sz w:val="28"/>
          <w:szCs w:val="28"/>
          <w:lang w:eastAsia="ru-RU"/>
        </w:rPr>
        <w:t>С. Дыдыкиной и соавт., показало, что выраженность снижения МПК поясничного отдела позвоночника и проксимального отдела бедренной кости коррелирова</w:t>
      </w:r>
      <w:r w:rsidR="00ED063E" w:rsidRPr="009114DF">
        <w:rPr>
          <w:rFonts w:ascii="Times New Roman" w:eastAsia="Times New Roman" w:hAnsi="Times New Roman"/>
          <w:sz w:val="28"/>
          <w:szCs w:val="28"/>
          <w:lang w:eastAsia="ru-RU"/>
        </w:rPr>
        <w:t>ла с активностью заболевания [</w:t>
      </w:r>
      <w:r w:rsidR="009829CB" w:rsidRPr="009114DF">
        <w:rPr>
          <w:rFonts w:ascii="Times New Roman" w:eastAsia="Times New Roman" w:hAnsi="Times New Roman"/>
          <w:sz w:val="28"/>
          <w:szCs w:val="28"/>
          <w:lang w:eastAsia="ru-RU"/>
        </w:rPr>
        <w:t>2</w:t>
      </w:r>
      <w:r w:rsidR="00007E92" w:rsidRPr="009114DF">
        <w:rPr>
          <w:rFonts w:ascii="Times New Roman" w:eastAsia="Times New Roman" w:hAnsi="Times New Roman"/>
          <w:sz w:val="28"/>
          <w:szCs w:val="28"/>
          <w:lang w:eastAsia="ru-RU"/>
        </w:rPr>
        <w:t>5</w:t>
      </w:r>
      <w:r w:rsidR="000C4893" w:rsidRPr="009114DF">
        <w:rPr>
          <w:rFonts w:ascii="Times New Roman" w:eastAsia="Times New Roman" w:hAnsi="Times New Roman"/>
          <w:sz w:val="28"/>
          <w:szCs w:val="28"/>
          <w:lang w:eastAsia="ru-RU"/>
        </w:rPr>
        <w:t>]. В работе</w:t>
      </w:r>
      <w:r w:rsidR="00B14E16" w:rsidRPr="009114DF">
        <w:rPr>
          <w:rFonts w:ascii="Times New Roman" w:eastAsia="Times New Roman" w:hAnsi="Times New Roman"/>
          <w:sz w:val="28"/>
          <w:szCs w:val="28"/>
          <w:lang w:eastAsia="ru-RU"/>
        </w:rPr>
        <w:t xml:space="preserve"> </w:t>
      </w:r>
      <w:r w:rsidR="000C4893" w:rsidRPr="009114DF">
        <w:rPr>
          <w:rFonts w:ascii="Times New Roman" w:eastAsia="Times New Roman" w:hAnsi="Times New Roman"/>
          <w:sz w:val="28"/>
          <w:szCs w:val="28"/>
          <w:lang w:eastAsia="ru-RU"/>
        </w:rPr>
        <w:t>B. Combe et al. установлено, что выраженность и степень прогрессирования периарт</w:t>
      </w:r>
      <w:r w:rsidR="00B94996" w:rsidRPr="009114DF">
        <w:rPr>
          <w:rFonts w:ascii="Times New Roman" w:eastAsia="Times New Roman" w:hAnsi="Times New Roman"/>
          <w:sz w:val="28"/>
          <w:szCs w:val="28"/>
          <w:lang w:eastAsia="ru-RU"/>
        </w:rPr>
        <w:t>икулярного ОП при РА коррелировала</w:t>
      </w:r>
      <w:r w:rsidR="000C4893" w:rsidRPr="009114DF">
        <w:rPr>
          <w:rFonts w:ascii="Times New Roman" w:eastAsia="Times New Roman" w:hAnsi="Times New Roman"/>
          <w:sz w:val="28"/>
          <w:szCs w:val="28"/>
          <w:lang w:eastAsia="ru-RU"/>
        </w:rPr>
        <w:t xml:space="preserve"> с персистир</w:t>
      </w:r>
      <w:r w:rsidR="00ED063E" w:rsidRPr="009114DF">
        <w:rPr>
          <w:rFonts w:ascii="Times New Roman" w:eastAsia="Times New Roman" w:hAnsi="Times New Roman"/>
          <w:sz w:val="28"/>
          <w:szCs w:val="28"/>
          <w:lang w:eastAsia="ru-RU"/>
        </w:rPr>
        <w:t>ующим увеличением СОЭ и СРБ [</w:t>
      </w:r>
      <w:r w:rsidR="00A05647" w:rsidRPr="009114DF">
        <w:rPr>
          <w:rFonts w:ascii="Times New Roman" w:eastAsia="Times New Roman" w:hAnsi="Times New Roman"/>
          <w:sz w:val="28"/>
          <w:szCs w:val="28"/>
          <w:lang w:eastAsia="ru-RU"/>
        </w:rPr>
        <w:t>105</w:t>
      </w:r>
      <w:r w:rsidR="000C4893" w:rsidRPr="009114DF">
        <w:rPr>
          <w:rFonts w:ascii="Times New Roman" w:eastAsia="Times New Roman" w:hAnsi="Times New Roman"/>
          <w:sz w:val="28"/>
          <w:szCs w:val="28"/>
          <w:lang w:eastAsia="ru-RU"/>
        </w:rPr>
        <w:t xml:space="preserve">]. В исследовании </w:t>
      </w:r>
      <w:r w:rsidR="001230D8" w:rsidRPr="009114DF">
        <w:rPr>
          <w:rFonts w:ascii="Times New Roman" w:eastAsia="Times New Roman" w:hAnsi="Times New Roman"/>
          <w:sz w:val="28"/>
          <w:szCs w:val="28"/>
          <w:lang w:eastAsia="ru-RU"/>
        </w:rPr>
        <w:t>М.</w:t>
      </w:r>
      <w:r w:rsidRPr="009114DF">
        <w:rPr>
          <w:rFonts w:ascii="Times New Roman" w:eastAsia="Times New Roman" w:hAnsi="Times New Roman"/>
          <w:sz w:val="28"/>
          <w:szCs w:val="28"/>
          <w:lang w:eastAsia="ru-RU"/>
        </w:rPr>
        <w:t xml:space="preserve"> </w:t>
      </w:r>
      <w:r w:rsidR="001230D8" w:rsidRPr="009114DF">
        <w:rPr>
          <w:rFonts w:ascii="Times New Roman" w:eastAsia="Times New Roman" w:hAnsi="Times New Roman"/>
          <w:sz w:val="28"/>
          <w:szCs w:val="28"/>
          <w:lang w:eastAsia="ru-RU"/>
        </w:rPr>
        <w:t>В. Летаевой</w:t>
      </w:r>
      <w:r w:rsidR="000C4893" w:rsidRPr="009114DF">
        <w:rPr>
          <w:rFonts w:ascii="Times New Roman" w:eastAsia="Times New Roman" w:hAnsi="Times New Roman"/>
          <w:sz w:val="28"/>
          <w:szCs w:val="28"/>
          <w:lang w:eastAsia="ru-RU"/>
        </w:rPr>
        <w:t xml:space="preserve"> установлена статист</w:t>
      </w:r>
      <w:r w:rsidR="007935D9" w:rsidRPr="009114DF">
        <w:rPr>
          <w:rFonts w:ascii="Times New Roman" w:eastAsia="Times New Roman" w:hAnsi="Times New Roman"/>
          <w:sz w:val="28"/>
          <w:szCs w:val="28"/>
          <w:lang w:eastAsia="ru-RU"/>
        </w:rPr>
        <w:t>ически значимая зависимость МПК</w:t>
      </w:r>
      <w:r w:rsidR="00ED063E" w:rsidRPr="009114DF">
        <w:rPr>
          <w:rFonts w:ascii="Times New Roman" w:eastAsia="Times New Roman" w:hAnsi="Times New Roman"/>
          <w:sz w:val="28"/>
          <w:szCs w:val="28"/>
          <w:lang w:eastAsia="ru-RU"/>
        </w:rPr>
        <w:t xml:space="preserve"> от степени активности РА  [</w:t>
      </w:r>
      <w:r w:rsidR="00F94DB5" w:rsidRPr="009114DF">
        <w:rPr>
          <w:rFonts w:ascii="Times New Roman" w:eastAsia="Times New Roman" w:hAnsi="Times New Roman"/>
          <w:sz w:val="28"/>
          <w:szCs w:val="28"/>
          <w:lang w:eastAsia="ru-RU"/>
        </w:rPr>
        <w:t>38</w:t>
      </w:r>
      <w:r w:rsidR="000C4893" w:rsidRPr="009114DF">
        <w:rPr>
          <w:rFonts w:ascii="Times New Roman" w:eastAsia="Times New Roman" w:hAnsi="Times New Roman"/>
          <w:sz w:val="28"/>
          <w:szCs w:val="28"/>
          <w:lang w:eastAsia="ru-RU"/>
        </w:rPr>
        <w:t xml:space="preserve">]. </w:t>
      </w:r>
      <w:r w:rsidR="001230D8" w:rsidRPr="009114DF">
        <w:rPr>
          <w:rFonts w:ascii="Times New Roman" w:eastAsia="Times New Roman" w:hAnsi="Times New Roman"/>
          <w:sz w:val="28"/>
          <w:szCs w:val="28"/>
          <w:lang w:eastAsia="ru-RU"/>
        </w:rPr>
        <w:t>Аналогичные результаты получены в работе А.</w:t>
      </w:r>
      <w:r w:rsidRPr="009114DF">
        <w:rPr>
          <w:rFonts w:ascii="Times New Roman" w:eastAsia="Times New Roman" w:hAnsi="Times New Roman"/>
          <w:sz w:val="28"/>
          <w:szCs w:val="28"/>
          <w:lang w:eastAsia="ru-RU"/>
        </w:rPr>
        <w:t xml:space="preserve"> </w:t>
      </w:r>
      <w:r w:rsidR="001230D8" w:rsidRPr="009114DF">
        <w:rPr>
          <w:rFonts w:ascii="Times New Roman" w:eastAsia="Times New Roman" w:hAnsi="Times New Roman"/>
          <w:sz w:val="28"/>
          <w:szCs w:val="28"/>
          <w:lang w:eastAsia="ru-RU"/>
        </w:rPr>
        <w:t>А. Герасимова</w:t>
      </w:r>
      <w:r w:rsidR="00ED063E" w:rsidRPr="009114DF">
        <w:rPr>
          <w:rFonts w:ascii="Times New Roman" w:eastAsia="Times New Roman" w:hAnsi="Times New Roman"/>
          <w:sz w:val="28"/>
          <w:szCs w:val="28"/>
          <w:lang w:eastAsia="ru-RU"/>
        </w:rPr>
        <w:t xml:space="preserve"> [</w:t>
      </w:r>
      <w:r w:rsidR="009829CB" w:rsidRPr="009114DF">
        <w:rPr>
          <w:rFonts w:ascii="Times New Roman" w:eastAsia="Times New Roman" w:hAnsi="Times New Roman"/>
          <w:sz w:val="28"/>
          <w:szCs w:val="28"/>
          <w:lang w:eastAsia="ru-RU"/>
        </w:rPr>
        <w:t>20</w:t>
      </w:r>
      <w:r w:rsidR="00ED063E" w:rsidRPr="009114DF">
        <w:rPr>
          <w:rFonts w:ascii="Times New Roman" w:eastAsia="Times New Roman" w:hAnsi="Times New Roman"/>
          <w:sz w:val="28"/>
          <w:szCs w:val="28"/>
          <w:lang w:eastAsia="ru-RU"/>
        </w:rPr>
        <w:t>]</w:t>
      </w:r>
      <w:r w:rsidR="001230D8" w:rsidRPr="009114DF">
        <w:rPr>
          <w:rFonts w:ascii="Times New Roman" w:eastAsia="Times New Roman" w:hAnsi="Times New Roman"/>
          <w:sz w:val="28"/>
          <w:szCs w:val="28"/>
          <w:lang w:eastAsia="ru-RU"/>
        </w:rPr>
        <w:t xml:space="preserve">. </w:t>
      </w:r>
      <w:r w:rsidR="000C4893" w:rsidRPr="009114DF">
        <w:rPr>
          <w:rFonts w:ascii="Times New Roman" w:eastAsia="Times New Roman" w:hAnsi="Times New Roman"/>
          <w:sz w:val="28"/>
          <w:szCs w:val="28"/>
          <w:lang w:eastAsia="ru-RU"/>
        </w:rPr>
        <w:t>По данным А.</w:t>
      </w:r>
      <w:r w:rsidRPr="009114DF">
        <w:rPr>
          <w:rFonts w:ascii="Times New Roman" w:eastAsia="Times New Roman" w:hAnsi="Times New Roman"/>
          <w:sz w:val="28"/>
          <w:szCs w:val="28"/>
          <w:lang w:eastAsia="ru-RU"/>
        </w:rPr>
        <w:t xml:space="preserve"> </w:t>
      </w:r>
      <w:r w:rsidR="000C4893" w:rsidRPr="009114DF">
        <w:rPr>
          <w:rFonts w:ascii="Times New Roman" w:eastAsia="Times New Roman" w:hAnsi="Times New Roman"/>
          <w:sz w:val="28"/>
          <w:szCs w:val="28"/>
          <w:lang w:eastAsia="ru-RU"/>
        </w:rPr>
        <w:t>Г. Васильева</w:t>
      </w:r>
      <w:r w:rsidRPr="009114DF">
        <w:rPr>
          <w:rFonts w:ascii="Times New Roman" w:eastAsia="Times New Roman" w:hAnsi="Times New Roman"/>
          <w:sz w:val="28"/>
          <w:szCs w:val="28"/>
          <w:lang w:eastAsia="ru-RU"/>
        </w:rPr>
        <w:t>,</w:t>
      </w:r>
      <w:r w:rsidR="000C4893" w:rsidRPr="009114DF">
        <w:rPr>
          <w:rFonts w:ascii="Times New Roman" w:eastAsia="Times New Roman" w:hAnsi="Times New Roman"/>
          <w:sz w:val="28"/>
          <w:szCs w:val="28"/>
          <w:lang w:eastAsia="ru-RU"/>
        </w:rPr>
        <w:t xml:space="preserve"> пациенты с высокой и умеренной клиник</w:t>
      </w:r>
      <w:r w:rsidR="00B94996" w:rsidRPr="009114DF">
        <w:rPr>
          <w:rFonts w:ascii="Times New Roman" w:eastAsia="Times New Roman" w:hAnsi="Times New Roman"/>
          <w:sz w:val="28"/>
          <w:szCs w:val="28"/>
          <w:lang w:eastAsia="ru-RU"/>
        </w:rPr>
        <w:t>о-лабораторной активностью имели</w:t>
      </w:r>
      <w:r w:rsidR="000C4893" w:rsidRPr="009114DF">
        <w:rPr>
          <w:rFonts w:ascii="Times New Roman" w:eastAsia="Times New Roman" w:hAnsi="Times New Roman"/>
          <w:sz w:val="28"/>
          <w:szCs w:val="28"/>
          <w:lang w:eastAsia="ru-RU"/>
        </w:rPr>
        <w:t xml:space="preserve"> достоверно более </w:t>
      </w:r>
      <w:proofErr w:type="gramStart"/>
      <w:r w:rsidR="000C4893" w:rsidRPr="009114DF">
        <w:rPr>
          <w:rFonts w:ascii="Times New Roman" w:eastAsia="Times New Roman" w:hAnsi="Times New Roman"/>
          <w:sz w:val="28"/>
          <w:szCs w:val="28"/>
          <w:lang w:eastAsia="ru-RU"/>
        </w:rPr>
        <w:t>низкую</w:t>
      </w:r>
      <w:proofErr w:type="gramEnd"/>
      <w:r w:rsidR="000C4893" w:rsidRPr="009114DF">
        <w:rPr>
          <w:rFonts w:ascii="Times New Roman" w:eastAsia="Times New Roman" w:hAnsi="Times New Roman"/>
          <w:sz w:val="28"/>
          <w:szCs w:val="28"/>
          <w:lang w:eastAsia="ru-RU"/>
        </w:rPr>
        <w:t xml:space="preserve"> МПК в поясничном отделе поз</w:t>
      </w:r>
      <w:r w:rsidR="0002183E" w:rsidRPr="009114DF">
        <w:rPr>
          <w:rFonts w:ascii="Times New Roman" w:eastAsia="Times New Roman" w:hAnsi="Times New Roman"/>
          <w:sz w:val="28"/>
          <w:szCs w:val="28"/>
          <w:lang w:eastAsia="ru-RU"/>
        </w:rPr>
        <w:t xml:space="preserve">воночника, в то время как снижение МПК в проксимальном отделе бедра носило недостоверный характер </w:t>
      </w:r>
      <w:r w:rsidR="000F05F2" w:rsidRPr="009114DF">
        <w:rPr>
          <w:rFonts w:ascii="Times New Roman" w:eastAsia="Times New Roman" w:hAnsi="Times New Roman"/>
          <w:sz w:val="28"/>
          <w:szCs w:val="28"/>
          <w:lang w:eastAsia="ru-RU"/>
        </w:rPr>
        <w:t>[</w:t>
      </w:r>
      <w:r w:rsidR="00DB4CFA" w:rsidRPr="009114DF">
        <w:rPr>
          <w:rFonts w:ascii="Times New Roman" w:eastAsia="Times New Roman" w:hAnsi="Times New Roman"/>
          <w:sz w:val="28"/>
          <w:szCs w:val="28"/>
          <w:lang w:eastAsia="ru-RU"/>
        </w:rPr>
        <w:t>17</w:t>
      </w:r>
      <w:r w:rsidR="000C4893" w:rsidRPr="009114DF">
        <w:rPr>
          <w:rFonts w:ascii="Times New Roman" w:eastAsia="Times New Roman" w:hAnsi="Times New Roman"/>
          <w:sz w:val="28"/>
          <w:szCs w:val="28"/>
          <w:lang w:eastAsia="ru-RU"/>
        </w:rPr>
        <w:t>].</w:t>
      </w:r>
    </w:p>
    <w:p w:rsidR="00EE7F03" w:rsidRPr="009114DF" w:rsidRDefault="001403A1"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В настоящем исследовании </w:t>
      </w:r>
      <w:r w:rsidR="009A0123" w:rsidRPr="009114DF">
        <w:rPr>
          <w:rFonts w:ascii="Times New Roman" w:eastAsia="Times New Roman" w:hAnsi="Times New Roman"/>
          <w:sz w:val="28"/>
          <w:szCs w:val="28"/>
          <w:lang w:eastAsia="ru-RU"/>
        </w:rPr>
        <w:t xml:space="preserve">установлено, что исходно большей активности  заболевания соответствуют более низкие исходные показатели МПК в шейке бедра. Так, средние значения МПК и Т-критерия шейки бедра у больных с </w:t>
      </w:r>
      <w:r w:rsidR="00237CCF" w:rsidRPr="009114DF">
        <w:rPr>
          <w:rFonts w:ascii="Times New Roman" w:eastAsia="Times New Roman" w:hAnsi="Times New Roman"/>
          <w:sz w:val="28"/>
          <w:szCs w:val="28"/>
          <w:lang w:eastAsia="ru-RU"/>
        </w:rPr>
        <w:t>третье</w:t>
      </w:r>
      <w:r w:rsidR="009A0123" w:rsidRPr="009114DF">
        <w:rPr>
          <w:rFonts w:ascii="Times New Roman" w:eastAsia="Times New Roman" w:hAnsi="Times New Roman"/>
          <w:sz w:val="28"/>
          <w:szCs w:val="28"/>
          <w:lang w:eastAsia="ru-RU"/>
        </w:rPr>
        <w:t xml:space="preserve">й степенью активности </w:t>
      </w:r>
      <w:r w:rsidR="00EE7F03" w:rsidRPr="009114DF">
        <w:rPr>
          <w:rFonts w:ascii="Times New Roman" w:eastAsia="Times New Roman" w:hAnsi="Times New Roman"/>
          <w:sz w:val="28"/>
          <w:szCs w:val="28"/>
          <w:lang w:eastAsia="ru-RU"/>
        </w:rPr>
        <w:t xml:space="preserve">РА </w:t>
      </w:r>
      <w:r w:rsidR="009A0123" w:rsidRPr="009114DF">
        <w:rPr>
          <w:rFonts w:ascii="Times New Roman" w:eastAsia="Times New Roman" w:hAnsi="Times New Roman"/>
          <w:sz w:val="28"/>
          <w:szCs w:val="28"/>
          <w:lang w:eastAsia="ru-RU"/>
        </w:rPr>
        <w:t xml:space="preserve">были достоверно ниже, чем у больных с </w:t>
      </w:r>
      <w:r w:rsidR="00237CCF" w:rsidRPr="009114DF">
        <w:rPr>
          <w:rFonts w:ascii="Times New Roman" w:eastAsia="Times New Roman" w:hAnsi="Times New Roman"/>
          <w:sz w:val="28"/>
          <w:szCs w:val="28"/>
          <w:lang w:eastAsia="ru-RU"/>
        </w:rPr>
        <w:t>перво</w:t>
      </w:r>
      <w:r w:rsidR="009A0123" w:rsidRPr="009114DF">
        <w:rPr>
          <w:rFonts w:ascii="Times New Roman" w:eastAsia="Times New Roman" w:hAnsi="Times New Roman"/>
          <w:sz w:val="28"/>
          <w:szCs w:val="28"/>
          <w:lang w:eastAsia="ru-RU"/>
        </w:rPr>
        <w:t xml:space="preserve">й и </w:t>
      </w:r>
      <w:r w:rsidR="00237CCF" w:rsidRPr="009114DF">
        <w:rPr>
          <w:rFonts w:ascii="Times New Roman" w:eastAsia="Times New Roman" w:hAnsi="Times New Roman"/>
          <w:sz w:val="28"/>
          <w:szCs w:val="28"/>
          <w:lang w:eastAsia="ru-RU"/>
        </w:rPr>
        <w:t>второ</w:t>
      </w:r>
      <w:r w:rsidR="009A0123" w:rsidRPr="009114DF">
        <w:rPr>
          <w:rFonts w:ascii="Times New Roman" w:eastAsia="Times New Roman" w:hAnsi="Times New Roman"/>
          <w:sz w:val="28"/>
          <w:szCs w:val="28"/>
          <w:lang w:eastAsia="ru-RU"/>
        </w:rPr>
        <w:t>й степенью, как в группе 1, так и в группе 2.</w:t>
      </w:r>
      <w:r w:rsidR="0031459F" w:rsidRPr="009114DF">
        <w:rPr>
          <w:rFonts w:ascii="Times New Roman" w:eastAsia="Times New Roman" w:hAnsi="Times New Roman"/>
          <w:sz w:val="28"/>
          <w:szCs w:val="28"/>
          <w:lang w:eastAsia="ru-RU"/>
        </w:rPr>
        <w:t xml:space="preserve"> Через 48 месяцев наблюдения статистически значимых различий между показателями не отмечено. Возможно,  применение базисной противовоспалительной терапии</w:t>
      </w:r>
      <w:r w:rsidR="001230D8" w:rsidRPr="009114DF">
        <w:rPr>
          <w:rFonts w:ascii="Times New Roman" w:eastAsia="Times New Roman" w:hAnsi="Times New Roman"/>
          <w:sz w:val="28"/>
          <w:szCs w:val="28"/>
          <w:lang w:eastAsia="ru-RU"/>
        </w:rPr>
        <w:t>, снижая активность заболевания,</w:t>
      </w:r>
      <w:r w:rsidR="0031459F" w:rsidRPr="009114DF">
        <w:rPr>
          <w:rFonts w:ascii="Times New Roman" w:eastAsia="Times New Roman" w:hAnsi="Times New Roman"/>
          <w:sz w:val="28"/>
          <w:szCs w:val="28"/>
          <w:lang w:eastAsia="ru-RU"/>
        </w:rPr>
        <w:t xml:space="preserve"> оказывает протективное действие на МПК.</w:t>
      </w:r>
    </w:p>
    <w:p w:rsidR="007D5172"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У больных РА, получавших РТМ, независимо от степени активности на фоне четырехлетней терапии отмечено увеличение МПК и Т-критерия шейки бедра относительно исходных данных, в то время как у пациентов с монотерапией МТХ статистически значимого изменения денситометрических показателей не зарегистрировано. </w:t>
      </w:r>
      <w:r w:rsidR="00CE2EA3" w:rsidRPr="009114DF">
        <w:rPr>
          <w:rFonts w:ascii="Times New Roman" w:eastAsia="Times New Roman" w:hAnsi="Times New Roman"/>
          <w:sz w:val="28"/>
          <w:szCs w:val="28"/>
          <w:lang w:eastAsia="ru-RU"/>
        </w:rPr>
        <w:t xml:space="preserve">Прирост МПК и Т-критерия </w:t>
      </w:r>
      <w:r w:rsidR="005811C6" w:rsidRPr="009114DF">
        <w:rPr>
          <w:rFonts w:ascii="Times New Roman" w:eastAsia="Times New Roman" w:hAnsi="Times New Roman"/>
          <w:sz w:val="28"/>
          <w:szCs w:val="28"/>
          <w:lang w:eastAsia="ru-RU"/>
        </w:rPr>
        <w:t>на фоне</w:t>
      </w:r>
      <w:r w:rsidR="00CE2EA3" w:rsidRPr="009114DF">
        <w:rPr>
          <w:rFonts w:ascii="Times New Roman" w:eastAsia="Times New Roman" w:hAnsi="Times New Roman"/>
          <w:sz w:val="28"/>
          <w:szCs w:val="28"/>
          <w:lang w:eastAsia="ru-RU"/>
        </w:rPr>
        <w:t xml:space="preserve"> комбинированной </w:t>
      </w:r>
      <w:r w:rsidR="00CE2EA3" w:rsidRPr="009114DF">
        <w:rPr>
          <w:rFonts w:ascii="Times New Roman" w:eastAsia="Times New Roman" w:hAnsi="Times New Roman"/>
          <w:sz w:val="28"/>
          <w:szCs w:val="28"/>
          <w:lang w:eastAsia="ru-RU"/>
        </w:rPr>
        <w:lastRenderedPageBreak/>
        <w:t>терапией РТМ и МТХ наиболее выражен у пациентов с высокой степенью активности.</w:t>
      </w:r>
    </w:p>
    <w:p w:rsidR="003D15E2"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По данным некоторых авторов, наличие РФ не оказывает существенного влияния на МПК независимо от базисной терапии </w:t>
      </w:r>
      <w:proofErr w:type="gramStart"/>
      <w:r w:rsidRPr="009114DF">
        <w:rPr>
          <w:rFonts w:ascii="Times New Roman" w:eastAsia="Times New Roman" w:hAnsi="Times New Roman"/>
          <w:sz w:val="28"/>
          <w:szCs w:val="28"/>
          <w:lang w:eastAsia="ru-RU"/>
        </w:rPr>
        <w:t>РА</w:t>
      </w:r>
      <w:proofErr w:type="gramEnd"/>
      <w:r w:rsidRPr="009114DF">
        <w:rPr>
          <w:rFonts w:ascii="Times New Roman" w:eastAsia="Times New Roman" w:hAnsi="Times New Roman"/>
          <w:sz w:val="28"/>
          <w:szCs w:val="28"/>
          <w:lang w:eastAsia="ru-RU"/>
        </w:rPr>
        <w:t xml:space="preserve"> как в шейке бедра, так и в поясничном отделе позвоночника. Так, в исследовании Т.</w:t>
      </w:r>
      <w:r w:rsidR="00237CCF"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А. Раскиной, включавшем 122 пациента (94  женщины и 28 мужчин), показа</w:t>
      </w:r>
      <w:r w:rsidR="00FA002B" w:rsidRPr="009114DF">
        <w:rPr>
          <w:rFonts w:ascii="Times New Roman" w:eastAsia="Times New Roman" w:hAnsi="Times New Roman"/>
          <w:sz w:val="28"/>
          <w:szCs w:val="28"/>
          <w:lang w:eastAsia="ru-RU"/>
        </w:rPr>
        <w:t>но</w:t>
      </w:r>
      <w:r w:rsidRPr="009114DF">
        <w:rPr>
          <w:rFonts w:ascii="Times New Roman" w:eastAsia="Times New Roman" w:hAnsi="Times New Roman"/>
          <w:sz w:val="28"/>
          <w:szCs w:val="28"/>
          <w:lang w:eastAsia="ru-RU"/>
        </w:rPr>
        <w:t>, что плотностные показатели кости</w:t>
      </w:r>
      <w:r w:rsidR="00D00F4A"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w:t>
      </w:r>
      <w:r w:rsidR="00D00F4A" w:rsidRPr="009114DF">
        <w:rPr>
          <w:rFonts w:ascii="Times New Roman" w:eastAsia="Times New Roman" w:hAnsi="Times New Roman"/>
          <w:sz w:val="28"/>
          <w:szCs w:val="28"/>
          <w:lang w:eastAsia="ru-RU"/>
        </w:rPr>
        <w:t xml:space="preserve">определенные методом компьютерной томографии </w:t>
      </w:r>
      <w:r w:rsidRPr="009114DF">
        <w:rPr>
          <w:rFonts w:ascii="Times New Roman" w:eastAsia="Times New Roman" w:hAnsi="Times New Roman"/>
          <w:sz w:val="28"/>
          <w:szCs w:val="28"/>
          <w:lang w:eastAsia="ru-RU"/>
        </w:rPr>
        <w:t>у серопозитивных и серонегативных больных</w:t>
      </w:r>
      <w:r w:rsidR="00D00F4A"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статистически достоверно не </w:t>
      </w:r>
      <w:r w:rsidR="00B821CB" w:rsidRPr="009114DF">
        <w:rPr>
          <w:rFonts w:ascii="Times New Roman" w:eastAsia="Times New Roman" w:hAnsi="Times New Roman"/>
          <w:sz w:val="28"/>
          <w:szCs w:val="28"/>
          <w:lang w:eastAsia="ru-RU"/>
        </w:rPr>
        <w:t>раз</w:t>
      </w:r>
      <w:r w:rsidRPr="009114DF">
        <w:rPr>
          <w:rFonts w:ascii="Times New Roman" w:eastAsia="Times New Roman" w:hAnsi="Times New Roman"/>
          <w:sz w:val="28"/>
          <w:szCs w:val="28"/>
          <w:lang w:eastAsia="ru-RU"/>
        </w:rPr>
        <w:t xml:space="preserve">личались </w:t>
      </w:r>
      <w:r w:rsidR="009829CB" w:rsidRPr="009114DF">
        <w:rPr>
          <w:rFonts w:ascii="Times New Roman" w:eastAsia="Times New Roman" w:hAnsi="Times New Roman"/>
          <w:sz w:val="28"/>
          <w:szCs w:val="28"/>
          <w:lang w:eastAsia="ru-RU"/>
        </w:rPr>
        <w:t>[</w:t>
      </w:r>
      <w:r w:rsidR="007308E8" w:rsidRPr="009114DF">
        <w:rPr>
          <w:rFonts w:ascii="Times New Roman" w:eastAsia="Times New Roman" w:hAnsi="Times New Roman"/>
          <w:sz w:val="28"/>
          <w:szCs w:val="28"/>
          <w:lang w:eastAsia="ru-RU"/>
        </w:rPr>
        <w:t>70</w:t>
      </w:r>
      <w:r w:rsidR="003D15E2" w:rsidRPr="009114DF">
        <w:rPr>
          <w:rFonts w:ascii="Times New Roman" w:eastAsia="Times New Roman" w:hAnsi="Times New Roman"/>
          <w:sz w:val="28"/>
          <w:szCs w:val="28"/>
          <w:lang w:eastAsia="ru-RU"/>
        </w:rPr>
        <w:t xml:space="preserve">]. </w:t>
      </w:r>
      <w:r w:rsidR="00D00F4A" w:rsidRPr="009114DF">
        <w:rPr>
          <w:rFonts w:ascii="Times New Roman" w:eastAsia="Times New Roman" w:hAnsi="Times New Roman"/>
          <w:sz w:val="28"/>
          <w:szCs w:val="28"/>
          <w:lang w:eastAsia="ru-RU"/>
        </w:rPr>
        <w:t>В</w:t>
      </w:r>
      <w:r w:rsidRPr="009114DF">
        <w:rPr>
          <w:rFonts w:ascii="Times New Roman" w:eastAsia="Times New Roman" w:hAnsi="Times New Roman"/>
          <w:sz w:val="28"/>
          <w:szCs w:val="28"/>
          <w:lang w:eastAsia="ru-RU"/>
        </w:rPr>
        <w:t xml:space="preserve"> работе Д.</w:t>
      </w:r>
      <w:r w:rsidR="00237CCF"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xml:space="preserve">А. Гукасян показано, что </w:t>
      </w:r>
      <w:r w:rsidR="00D00F4A" w:rsidRPr="009114DF">
        <w:rPr>
          <w:rFonts w:ascii="Times New Roman" w:eastAsia="Times New Roman" w:hAnsi="Times New Roman"/>
          <w:sz w:val="28"/>
          <w:szCs w:val="28"/>
          <w:lang w:eastAsia="ru-RU"/>
        </w:rPr>
        <w:t xml:space="preserve">снижение МПК в поясничном отделе позвоночника и шейке бедра методом рентгеновской абсорбциометрии </w:t>
      </w:r>
      <w:r w:rsidR="00FA002B" w:rsidRPr="009114DF">
        <w:rPr>
          <w:rFonts w:ascii="Times New Roman" w:eastAsia="Times New Roman" w:hAnsi="Times New Roman"/>
          <w:sz w:val="28"/>
          <w:szCs w:val="28"/>
          <w:lang w:eastAsia="ru-RU"/>
        </w:rPr>
        <w:t xml:space="preserve">у серонегативных по РФ </w:t>
      </w:r>
      <w:r w:rsidRPr="009114DF">
        <w:rPr>
          <w:rFonts w:ascii="Times New Roman" w:eastAsia="Times New Roman" w:hAnsi="Times New Roman"/>
          <w:sz w:val="28"/>
          <w:szCs w:val="28"/>
          <w:lang w:eastAsia="ru-RU"/>
        </w:rPr>
        <w:t>больных РА наблюдается</w:t>
      </w:r>
      <w:r w:rsidR="00D00F4A" w:rsidRPr="009114DF">
        <w:rPr>
          <w:rFonts w:ascii="Times New Roman" w:eastAsia="Times New Roman" w:hAnsi="Times New Roman"/>
          <w:sz w:val="28"/>
          <w:szCs w:val="28"/>
          <w:lang w:eastAsia="ru-RU"/>
        </w:rPr>
        <w:t xml:space="preserve"> чаще</w:t>
      </w:r>
      <w:r w:rsidRPr="009114DF">
        <w:rPr>
          <w:rFonts w:ascii="Times New Roman" w:eastAsia="Times New Roman" w:hAnsi="Times New Roman"/>
          <w:sz w:val="28"/>
          <w:szCs w:val="28"/>
          <w:lang w:eastAsia="ru-RU"/>
        </w:rPr>
        <w:t xml:space="preserve">, чем у серопозитивных по РФ, хотя </w:t>
      </w:r>
      <w:r w:rsidR="00473B03" w:rsidRPr="009114DF">
        <w:rPr>
          <w:rFonts w:ascii="Times New Roman" w:eastAsia="Times New Roman" w:hAnsi="Times New Roman"/>
          <w:sz w:val="28"/>
          <w:szCs w:val="28"/>
          <w:lang w:eastAsia="ru-RU"/>
        </w:rPr>
        <w:t xml:space="preserve">и без </w:t>
      </w:r>
      <w:r w:rsidRPr="009114DF">
        <w:rPr>
          <w:rFonts w:ascii="Times New Roman" w:eastAsia="Times New Roman" w:hAnsi="Times New Roman"/>
          <w:sz w:val="28"/>
          <w:szCs w:val="28"/>
          <w:lang w:eastAsia="ru-RU"/>
        </w:rPr>
        <w:t xml:space="preserve">статистически </w:t>
      </w:r>
      <w:r w:rsidR="00473B03" w:rsidRPr="009114DF">
        <w:rPr>
          <w:rFonts w:ascii="Times New Roman" w:eastAsia="Times New Roman" w:hAnsi="Times New Roman"/>
          <w:sz w:val="28"/>
          <w:szCs w:val="28"/>
          <w:lang w:eastAsia="ru-RU"/>
        </w:rPr>
        <w:t xml:space="preserve">значимых </w:t>
      </w:r>
      <w:r w:rsidR="009829CB" w:rsidRPr="009114DF">
        <w:rPr>
          <w:rFonts w:ascii="Times New Roman" w:eastAsia="Times New Roman" w:hAnsi="Times New Roman"/>
          <w:sz w:val="28"/>
          <w:szCs w:val="28"/>
          <w:lang w:eastAsia="ru-RU"/>
        </w:rPr>
        <w:t>различий [</w:t>
      </w:r>
      <w:r w:rsidR="00007E92" w:rsidRPr="009114DF">
        <w:rPr>
          <w:rFonts w:ascii="Times New Roman" w:eastAsia="Times New Roman" w:hAnsi="Times New Roman"/>
          <w:sz w:val="28"/>
          <w:szCs w:val="28"/>
          <w:lang w:eastAsia="ru-RU"/>
        </w:rPr>
        <w:t>24</w:t>
      </w:r>
      <w:r w:rsidRPr="009114DF">
        <w:rPr>
          <w:rFonts w:ascii="Times New Roman" w:eastAsia="Times New Roman" w:hAnsi="Times New Roman"/>
          <w:sz w:val="28"/>
          <w:szCs w:val="28"/>
          <w:lang w:eastAsia="ru-RU"/>
        </w:rPr>
        <w:t>].</w:t>
      </w:r>
    </w:p>
    <w:p w:rsidR="009A0123"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 При анализе полученных в настоящем исследовании данных установлено, что </w:t>
      </w:r>
      <w:r w:rsidR="00464E07" w:rsidRPr="009114DF">
        <w:rPr>
          <w:rFonts w:ascii="Times New Roman" w:eastAsia="Times New Roman" w:hAnsi="Times New Roman"/>
          <w:sz w:val="28"/>
          <w:szCs w:val="28"/>
          <w:lang w:eastAsia="ru-RU"/>
        </w:rPr>
        <w:t>у</w:t>
      </w:r>
      <w:r w:rsidRPr="009114DF">
        <w:rPr>
          <w:rFonts w:ascii="Times New Roman" w:eastAsia="Times New Roman" w:hAnsi="Times New Roman"/>
          <w:sz w:val="28"/>
          <w:szCs w:val="28"/>
          <w:lang w:eastAsia="ru-RU"/>
        </w:rPr>
        <w:t xml:space="preserve"> серонегативных больных</w:t>
      </w:r>
      <w:r w:rsidR="00464E07" w:rsidRPr="009114DF">
        <w:rPr>
          <w:rFonts w:ascii="Times New Roman" w:eastAsia="Times New Roman" w:hAnsi="Times New Roman"/>
          <w:sz w:val="28"/>
          <w:szCs w:val="28"/>
          <w:lang w:eastAsia="ru-RU"/>
        </w:rPr>
        <w:t>, получавших РТМ,</w:t>
      </w:r>
      <w:r w:rsidRPr="009114DF">
        <w:rPr>
          <w:rFonts w:ascii="Times New Roman" w:eastAsia="Times New Roman" w:hAnsi="Times New Roman"/>
          <w:sz w:val="28"/>
          <w:szCs w:val="28"/>
          <w:lang w:eastAsia="ru-RU"/>
        </w:rPr>
        <w:t xml:space="preserve"> </w:t>
      </w:r>
      <w:r w:rsidR="00237CCF" w:rsidRPr="009114DF">
        <w:rPr>
          <w:rFonts w:ascii="Times New Roman" w:eastAsia="Times New Roman" w:hAnsi="Times New Roman"/>
          <w:sz w:val="28"/>
          <w:szCs w:val="28"/>
          <w:lang w:eastAsia="ru-RU"/>
        </w:rPr>
        <w:t xml:space="preserve">показатели </w:t>
      </w:r>
      <w:r w:rsidRPr="009114DF">
        <w:rPr>
          <w:rFonts w:ascii="Times New Roman" w:eastAsia="Times New Roman" w:hAnsi="Times New Roman"/>
          <w:sz w:val="28"/>
          <w:szCs w:val="28"/>
          <w:lang w:eastAsia="ru-RU"/>
        </w:rPr>
        <w:t>МПК и Т-критери</w:t>
      </w:r>
      <w:r w:rsidR="00237CCF" w:rsidRPr="009114DF">
        <w:rPr>
          <w:rFonts w:ascii="Times New Roman" w:eastAsia="Times New Roman" w:hAnsi="Times New Roman"/>
          <w:sz w:val="28"/>
          <w:szCs w:val="28"/>
          <w:lang w:eastAsia="ru-RU"/>
        </w:rPr>
        <w:t>я</w:t>
      </w:r>
      <w:r w:rsidRPr="009114DF">
        <w:rPr>
          <w:rFonts w:ascii="Times New Roman" w:eastAsia="Times New Roman" w:hAnsi="Times New Roman"/>
          <w:sz w:val="28"/>
          <w:szCs w:val="28"/>
          <w:lang w:eastAsia="ru-RU"/>
        </w:rPr>
        <w:t xml:space="preserve"> шейки бедра были сопоставимы с показателями пациентов </w:t>
      </w:r>
      <w:r w:rsidR="00464E07" w:rsidRPr="009114DF">
        <w:rPr>
          <w:rFonts w:ascii="Times New Roman" w:eastAsia="Times New Roman" w:hAnsi="Times New Roman"/>
          <w:sz w:val="28"/>
          <w:szCs w:val="28"/>
          <w:lang w:eastAsia="ru-RU"/>
        </w:rPr>
        <w:t>с монотерапией МТХ</w:t>
      </w:r>
      <w:r w:rsidRPr="009114DF">
        <w:rPr>
          <w:rFonts w:ascii="Times New Roman" w:eastAsia="Times New Roman" w:hAnsi="Times New Roman"/>
          <w:sz w:val="28"/>
          <w:szCs w:val="28"/>
          <w:lang w:eastAsia="ru-RU"/>
        </w:rPr>
        <w:t xml:space="preserve"> как исходно, так и через 48 месяцев наблюдения. </w:t>
      </w:r>
      <w:r w:rsidR="00464E07" w:rsidRPr="009114DF">
        <w:rPr>
          <w:rFonts w:ascii="Times New Roman" w:eastAsia="Times New Roman" w:hAnsi="Times New Roman"/>
          <w:sz w:val="28"/>
          <w:szCs w:val="28"/>
          <w:lang w:eastAsia="ru-RU"/>
        </w:rPr>
        <w:t xml:space="preserve">У серопозитивных больных группы 1 и группы 2 плотностные значения кости исходно не различались. </w:t>
      </w:r>
      <w:r w:rsidRPr="009114DF">
        <w:rPr>
          <w:rFonts w:ascii="Times New Roman" w:eastAsia="Times New Roman" w:hAnsi="Times New Roman"/>
          <w:sz w:val="28"/>
          <w:szCs w:val="28"/>
          <w:lang w:eastAsia="ru-RU"/>
        </w:rPr>
        <w:t>Через 4 года наблюдения у серопозитивных  пациентов, получавших РТМ и МТХ, денситометрические показатели шейки бедра были достоверно выше, чем у пациентов с монотерапией МТХ (</w:t>
      </w:r>
      <w:proofErr w:type="gramStart"/>
      <w:r w:rsidRPr="009114DF">
        <w:rPr>
          <w:rFonts w:ascii="Times New Roman" w:eastAsia="Times New Roman" w:hAnsi="Times New Roman"/>
          <w:sz w:val="28"/>
          <w:szCs w:val="28"/>
          <w:lang w:eastAsia="ru-RU"/>
        </w:rPr>
        <w:t>р</w:t>
      </w:r>
      <w:proofErr w:type="gramEnd"/>
      <w:r w:rsidRPr="009114DF">
        <w:rPr>
          <w:rFonts w:ascii="Times New Roman" w:eastAsia="Times New Roman" w:hAnsi="Times New Roman"/>
          <w:sz w:val="28"/>
          <w:szCs w:val="28"/>
          <w:lang w:eastAsia="ru-RU"/>
        </w:rPr>
        <w:t>=0,016 и р=0,011).  Результаты</w:t>
      </w:r>
      <w:r w:rsidR="00464E07" w:rsidRPr="009114DF">
        <w:rPr>
          <w:rFonts w:ascii="Times New Roman" w:eastAsia="Times New Roman" w:hAnsi="Times New Roman"/>
          <w:sz w:val="28"/>
          <w:szCs w:val="28"/>
          <w:lang w:eastAsia="ru-RU"/>
        </w:rPr>
        <w:t>, полученные через</w:t>
      </w:r>
      <w:r w:rsidR="00B14E16" w:rsidRPr="009114DF">
        <w:rPr>
          <w:rFonts w:ascii="Times New Roman" w:eastAsia="Times New Roman" w:hAnsi="Times New Roman"/>
          <w:sz w:val="28"/>
          <w:szCs w:val="28"/>
          <w:lang w:eastAsia="ru-RU"/>
        </w:rPr>
        <w:t xml:space="preserve"> </w:t>
      </w:r>
      <w:r w:rsidR="00464E07" w:rsidRPr="009114DF">
        <w:rPr>
          <w:rFonts w:ascii="Times New Roman" w:eastAsia="Times New Roman" w:hAnsi="Times New Roman"/>
          <w:sz w:val="28"/>
          <w:szCs w:val="28"/>
          <w:lang w:eastAsia="ru-RU"/>
        </w:rPr>
        <w:t>48 месяцев наблюдения, согласуются с данными</w:t>
      </w:r>
      <w:r w:rsidRPr="009114DF">
        <w:rPr>
          <w:rFonts w:ascii="Times New Roman" w:eastAsia="Times New Roman" w:hAnsi="Times New Roman"/>
          <w:sz w:val="28"/>
          <w:szCs w:val="28"/>
          <w:lang w:eastAsia="ru-RU"/>
        </w:rPr>
        <w:t xml:space="preserve"> </w:t>
      </w:r>
      <w:r w:rsidR="00871184" w:rsidRPr="009114DF">
        <w:rPr>
          <w:rFonts w:ascii="Times New Roman" w:eastAsia="Times New Roman" w:hAnsi="Times New Roman"/>
          <w:sz w:val="28"/>
          <w:szCs w:val="28"/>
          <w:lang w:eastAsia="ru-RU"/>
        </w:rPr>
        <w:t>исследований REFLEX и SERENE, где отмечено</w:t>
      </w:r>
      <w:r w:rsidRPr="009114DF">
        <w:rPr>
          <w:rFonts w:ascii="Times New Roman" w:eastAsia="Times New Roman" w:hAnsi="Times New Roman"/>
          <w:sz w:val="28"/>
          <w:szCs w:val="28"/>
          <w:lang w:eastAsia="ru-RU"/>
        </w:rPr>
        <w:t xml:space="preserve">, что РТМ более эффективен у пациентов с серопозитивным РА, чем у серонегативных пациентов. </w:t>
      </w:r>
      <w:r w:rsidR="00871184" w:rsidRPr="009114DF">
        <w:rPr>
          <w:rFonts w:ascii="Times New Roman" w:eastAsia="Times New Roman" w:hAnsi="Times New Roman"/>
          <w:sz w:val="28"/>
          <w:szCs w:val="28"/>
          <w:lang w:eastAsia="ru-RU"/>
        </w:rPr>
        <w:t>Б</w:t>
      </w:r>
      <w:r w:rsidR="00D00F4A" w:rsidRPr="009114DF">
        <w:rPr>
          <w:rFonts w:ascii="Times New Roman" w:eastAsia="Times New Roman" w:hAnsi="Times New Roman"/>
          <w:sz w:val="28"/>
          <w:szCs w:val="28"/>
          <w:lang w:eastAsia="ru-RU"/>
        </w:rPr>
        <w:t xml:space="preserve">ыло </w:t>
      </w:r>
      <w:r w:rsidR="00871184" w:rsidRPr="009114DF">
        <w:rPr>
          <w:rFonts w:ascii="Times New Roman" w:eastAsia="Times New Roman" w:hAnsi="Times New Roman"/>
          <w:sz w:val="28"/>
          <w:szCs w:val="28"/>
          <w:lang w:eastAsia="ru-RU"/>
        </w:rPr>
        <w:t xml:space="preserve">также </w:t>
      </w:r>
      <w:r w:rsidR="00D00F4A" w:rsidRPr="009114DF">
        <w:rPr>
          <w:rFonts w:ascii="Times New Roman" w:eastAsia="Times New Roman" w:hAnsi="Times New Roman"/>
          <w:sz w:val="28"/>
          <w:szCs w:val="28"/>
          <w:lang w:eastAsia="ru-RU"/>
        </w:rPr>
        <w:t xml:space="preserve">установлено, что </w:t>
      </w:r>
      <w:r w:rsidR="000C4893" w:rsidRPr="009114DF">
        <w:rPr>
          <w:rFonts w:ascii="Times New Roman" w:eastAsia="Times New Roman" w:hAnsi="Times New Roman"/>
          <w:sz w:val="28"/>
          <w:szCs w:val="28"/>
          <w:lang w:eastAsia="ru-RU"/>
        </w:rPr>
        <w:t>клиниче</w:t>
      </w:r>
      <w:r w:rsidR="00D00F4A" w:rsidRPr="009114DF">
        <w:rPr>
          <w:rFonts w:ascii="Times New Roman" w:eastAsia="Times New Roman" w:hAnsi="Times New Roman"/>
          <w:sz w:val="28"/>
          <w:szCs w:val="28"/>
          <w:lang w:eastAsia="ru-RU"/>
        </w:rPr>
        <w:t>ская эффективность РТМ (ACR, EULAR, Δ</w:t>
      </w:r>
      <w:r w:rsidR="00CB0D3F" w:rsidRPr="009114DF">
        <w:rPr>
          <w:rFonts w:ascii="Times New Roman" w:eastAsia="Times New Roman" w:hAnsi="Times New Roman"/>
          <w:sz w:val="28"/>
          <w:szCs w:val="28"/>
          <w:lang w:eastAsia="ru-RU"/>
        </w:rPr>
        <w:t xml:space="preserve"> </w:t>
      </w:r>
      <w:r w:rsidR="00D00F4A" w:rsidRPr="009114DF">
        <w:rPr>
          <w:rFonts w:ascii="Times New Roman" w:eastAsia="Times New Roman" w:hAnsi="Times New Roman"/>
          <w:sz w:val="28"/>
          <w:szCs w:val="28"/>
          <w:lang w:eastAsia="ru-RU"/>
        </w:rPr>
        <w:t xml:space="preserve">DAS28) коррелирует не только с исходной серопозитивностью, но и с увеличением базальной </w:t>
      </w:r>
      <w:r w:rsidR="0044597F" w:rsidRPr="009114DF">
        <w:rPr>
          <w:rFonts w:ascii="Times New Roman" w:eastAsia="Times New Roman" w:hAnsi="Times New Roman"/>
          <w:sz w:val="28"/>
          <w:szCs w:val="28"/>
          <w:lang w:eastAsia="ru-RU"/>
        </w:rPr>
        <w:t>концентрации СРБ (&gt;29 мг/л) [</w:t>
      </w:r>
      <w:r w:rsidR="0004338D" w:rsidRPr="009114DF">
        <w:rPr>
          <w:rFonts w:ascii="Times New Roman" w:eastAsia="Times New Roman" w:hAnsi="Times New Roman"/>
          <w:sz w:val="28"/>
          <w:szCs w:val="28"/>
          <w:lang w:eastAsia="ru-RU"/>
        </w:rPr>
        <w:t>183</w:t>
      </w:r>
      <w:r w:rsidR="00D00F4A" w:rsidRPr="009114DF">
        <w:rPr>
          <w:rFonts w:ascii="Times New Roman" w:eastAsia="Times New Roman" w:hAnsi="Times New Roman"/>
          <w:sz w:val="28"/>
          <w:szCs w:val="28"/>
          <w:lang w:eastAsia="ru-RU"/>
        </w:rPr>
        <w:t>].</w:t>
      </w:r>
      <w:r w:rsidR="000C4893" w:rsidRPr="009114DF">
        <w:rPr>
          <w:rFonts w:ascii="Times New Roman" w:eastAsia="Times New Roman" w:hAnsi="Times New Roman"/>
          <w:sz w:val="28"/>
          <w:szCs w:val="28"/>
          <w:lang w:eastAsia="ru-RU"/>
        </w:rPr>
        <w:t xml:space="preserve"> </w:t>
      </w:r>
      <w:r w:rsidR="00D00F4A" w:rsidRPr="009114DF">
        <w:rPr>
          <w:rFonts w:ascii="Times New Roman" w:eastAsia="Times New Roman" w:hAnsi="Times New Roman"/>
          <w:sz w:val="28"/>
          <w:szCs w:val="28"/>
          <w:lang w:eastAsia="ru-RU"/>
        </w:rPr>
        <w:t>Сходные данные получены и при анализе результатов проспективных исследований [</w:t>
      </w:r>
      <w:r w:rsidR="00957C16" w:rsidRPr="009114DF">
        <w:rPr>
          <w:rFonts w:ascii="Times New Roman" w:eastAsia="Times New Roman" w:hAnsi="Times New Roman"/>
          <w:sz w:val="28"/>
          <w:szCs w:val="28"/>
          <w:lang w:eastAsia="ru-RU"/>
        </w:rPr>
        <w:t>169</w:t>
      </w:r>
      <w:r w:rsidR="004D7A64" w:rsidRPr="009114DF">
        <w:rPr>
          <w:rFonts w:ascii="Times New Roman" w:eastAsia="Times New Roman" w:hAnsi="Times New Roman"/>
          <w:sz w:val="28"/>
          <w:szCs w:val="28"/>
          <w:lang w:eastAsia="ru-RU"/>
        </w:rPr>
        <w:t>,</w:t>
      </w:r>
      <w:r w:rsidR="00CB0D3F" w:rsidRPr="009114DF">
        <w:rPr>
          <w:rFonts w:ascii="Times New Roman" w:eastAsia="Times New Roman" w:hAnsi="Times New Roman"/>
          <w:sz w:val="28"/>
          <w:szCs w:val="28"/>
          <w:lang w:eastAsia="ru-RU"/>
        </w:rPr>
        <w:t xml:space="preserve"> </w:t>
      </w:r>
      <w:r w:rsidR="00957C16" w:rsidRPr="009114DF">
        <w:rPr>
          <w:rFonts w:ascii="Times New Roman" w:eastAsia="Times New Roman" w:hAnsi="Times New Roman"/>
          <w:sz w:val="28"/>
          <w:szCs w:val="28"/>
          <w:lang w:eastAsia="ru-RU"/>
        </w:rPr>
        <w:t xml:space="preserve">172, </w:t>
      </w:r>
      <w:r w:rsidR="0004338D" w:rsidRPr="009114DF">
        <w:rPr>
          <w:rFonts w:ascii="Times New Roman" w:eastAsia="Times New Roman" w:hAnsi="Times New Roman"/>
          <w:sz w:val="28"/>
          <w:szCs w:val="28"/>
          <w:lang w:eastAsia="ru-RU"/>
        </w:rPr>
        <w:t>180</w:t>
      </w:r>
      <w:r w:rsidR="00D00F4A" w:rsidRPr="009114DF">
        <w:rPr>
          <w:rFonts w:ascii="Times New Roman" w:eastAsia="Times New Roman" w:hAnsi="Times New Roman"/>
          <w:sz w:val="28"/>
          <w:szCs w:val="28"/>
          <w:lang w:eastAsia="ru-RU"/>
        </w:rPr>
        <w:t>] и материалов национальных регистров [</w:t>
      </w:r>
      <w:r w:rsidR="00A05647" w:rsidRPr="009114DF">
        <w:rPr>
          <w:rFonts w:ascii="Times New Roman" w:eastAsia="Times New Roman" w:hAnsi="Times New Roman"/>
          <w:sz w:val="28"/>
          <w:szCs w:val="28"/>
          <w:lang w:eastAsia="ru-RU"/>
        </w:rPr>
        <w:t xml:space="preserve">101, </w:t>
      </w:r>
      <w:r w:rsidR="00243567" w:rsidRPr="009114DF">
        <w:rPr>
          <w:rFonts w:ascii="Times New Roman" w:eastAsia="Times New Roman" w:hAnsi="Times New Roman"/>
          <w:sz w:val="28"/>
          <w:szCs w:val="28"/>
          <w:lang w:eastAsia="ru-RU"/>
        </w:rPr>
        <w:t>125</w:t>
      </w:r>
      <w:r w:rsidR="004D7A64" w:rsidRPr="009114DF">
        <w:rPr>
          <w:rFonts w:ascii="Times New Roman" w:eastAsia="Times New Roman" w:hAnsi="Times New Roman"/>
          <w:sz w:val="28"/>
          <w:szCs w:val="28"/>
          <w:lang w:eastAsia="ru-RU"/>
        </w:rPr>
        <w:t>,</w:t>
      </w:r>
      <w:r w:rsidR="00CB0D3F" w:rsidRPr="009114DF">
        <w:rPr>
          <w:rFonts w:ascii="Times New Roman" w:eastAsia="Times New Roman" w:hAnsi="Times New Roman"/>
          <w:sz w:val="28"/>
          <w:szCs w:val="28"/>
          <w:lang w:eastAsia="ru-RU"/>
        </w:rPr>
        <w:t xml:space="preserve"> </w:t>
      </w:r>
      <w:r w:rsidR="0004338D" w:rsidRPr="009114DF">
        <w:rPr>
          <w:rFonts w:ascii="Times New Roman" w:eastAsia="Times New Roman" w:hAnsi="Times New Roman"/>
          <w:sz w:val="28"/>
          <w:szCs w:val="28"/>
          <w:lang w:eastAsia="ru-RU"/>
        </w:rPr>
        <w:t>179, 180</w:t>
      </w:r>
      <w:r w:rsidR="004D7A64" w:rsidRPr="009114DF">
        <w:rPr>
          <w:rFonts w:ascii="Times New Roman" w:eastAsia="Times New Roman" w:hAnsi="Times New Roman"/>
          <w:sz w:val="28"/>
          <w:szCs w:val="28"/>
          <w:lang w:eastAsia="ru-RU"/>
        </w:rPr>
        <w:t>,</w:t>
      </w:r>
      <w:r w:rsidR="00CB0D3F" w:rsidRPr="009114DF">
        <w:rPr>
          <w:rFonts w:ascii="Times New Roman" w:eastAsia="Times New Roman" w:hAnsi="Times New Roman"/>
          <w:sz w:val="28"/>
          <w:szCs w:val="28"/>
          <w:lang w:eastAsia="ru-RU"/>
        </w:rPr>
        <w:t xml:space="preserve"> </w:t>
      </w:r>
      <w:r w:rsidR="00EC4BD2" w:rsidRPr="009114DF">
        <w:rPr>
          <w:rFonts w:ascii="Times New Roman" w:eastAsia="Times New Roman" w:hAnsi="Times New Roman"/>
          <w:sz w:val="28"/>
          <w:szCs w:val="28"/>
          <w:lang w:eastAsia="ru-RU"/>
        </w:rPr>
        <w:t>203, 208</w:t>
      </w:r>
      <w:r w:rsidR="00D00F4A" w:rsidRPr="009114DF">
        <w:rPr>
          <w:rFonts w:ascii="Times New Roman" w:eastAsia="Times New Roman" w:hAnsi="Times New Roman"/>
          <w:sz w:val="28"/>
          <w:szCs w:val="28"/>
          <w:lang w:eastAsia="ru-RU"/>
        </w:rPr>
        <w:t xml:space="preserve">], в том </w:t>
      </w:r>
      <w:r w:rsidR="000C4893" w:rsidRPr="009114DF">
        <w:rPr>
          <w:rFonts w:ascii="Times New Roman" w:eastAsia="Times New Roman" w:hAnsi="Times New Roman"/>
          <w:sz w:val="28"/>
          <w:szCs w:val="28"/>
          <w:lang w:eastAsia="ru-RU"/>
        </w:rPr>
        <w:t xml:space="preserve">числе </w:t>
      </w:r>
      <w:r w:rsidR="00D00F4A" w:rsidRPr="009114DF">
        <w:rPr>
          <w:rFonts w:ascii="Times New Roman" w:eastAsia="Times New Roman" w:hAnsi="Times New Roman"/>
          <w:sz w:val="28"/>
          <w:szCs w:val="28"/>
          <w:lang w:eastAsia="ru-RU"/>
        </w:rPr>
        <w:t>CERERRA [</w:t>
      </w:r>
      <w:r w:rsidR="00A05647" w:rsidRPr="009114DF">
        <w:rPr>
          <w:rFonts w:ascii="Times New Roman" w:eastAsia="Times New Roman" w:hAnsi="Times New Roman"/>
          <w:sz w:val="28"/>
          <w:szCs w:val="28"/>
          <w:lang w:eastAsia="ru-RU"/>
        </w:rPr>
        <w:t xml:space="preserve">101, </w:t>
      </w:r>
      <w:r w:rsidR="00EC4BD2" w:rsidRPr="009114DF">
        <w:rPr>
          <w:rFonts w:ascii="Times New Roman" w:eastAsia="Times New Roman" w:hAnsi="Times New Roman"/>
          <w:sz w:val="28"/>
          <w:szCs w:val="28"/>
          <w:lang w:eastAsia="ru-RU"/>
        </w:rPr>
        <w:t>203</w:t>
      </w:r>
      <w:r w:rsidR="00D00F4A" w:rsidRPr="009114DF">
        <w:rPr>
          <w:rFonts w:ascii="Times New Roman" w:eastAsia="Times New Roman" w:hAnsi="Times New Roman"/>
          <w:sz w:val="28"/>
          <w:szCs w:val="28"/>
          <w:lang w:eastAsia="ru-RU"/>
        </w:rPr>
        <w:t>].</w:t>
      </w:r>
      <w:r w:rsidR="000C4893" w:rsidRPr="009114DF">
        <w:rPr>
          <w:rFonts w:ascii="Times New Roman" w:eastAsia="Times New Roman" w:hAnsi="Times New Roman"/>
          <w:sz w:val="28"/>
          <w:szCs w:val="28"/>
          <w:lang w:eastAsia="ru-RU"/>
        </w:rPr>
        <w:t xml:space="preserve"> </w:t>
      </w:r>
      <w:r w:rsidR="00871184" w:rsidRPr="009114DF">
        <w:rPr>
          <w:rFonts w:ascii="Times New Roman" w:eastAsia="Times New Roman" w:hAnsi="Times New Roman"/>
          <w:sz w:val="28"/>
          <w:szCs w:val="28"/>
          <w:lang w:eastAsia="ru-RU"/>
        </w:rPr>
        <w:t>По результатам</w:t>
      </w:r>
      <w:r w:rsidR="0056199E" w:rsidRPr="009114DF">
        <w:rPr>
          <w:rFonts w:ascii="Times New Roman" w:eastAsia="Times New Roman" w:hAnsi="Times New Roman"/>
          <w:sz w:val="28"/>
          <w:szCs w:val="28"/>
          <w:lang w:eastAsia="ru-RU"/>
        </w:rPr>
        <w:t xml:space="preserve"> исследования SMART</w:t>
      </w:r>
      <w:r w:rsidR="00871184" w:rsidRPr="009114DF">
        <w:rPr>
          <w:rFonts w:ascii="Times New Roman" w:eastAsia="Times New Roman" w:hAnsi="Times New Roman"/>
          <w:sz w:val="28"/>
          <w:szCs w:val="28"/>
          <w:lang w:eastAsia="ru-RU"/>
        </w:rPr>
        <w:t xml:space="preserve"> о</w:t>
      </w:r>
      <w:r w:rsidR="000C4893" w:rsidRPr="009114DF">
        <w:rPr>
          <w:rFonts w:ascii="Times New Roman" w:eastAsia="Times New Roman" w:hAnsi="Times New Roman"/>
          <w:sz w:val="28"/>
          <w:szCs w:val="28"/>
          <w:lang w:eastAsia="ru-RU"/>
        </w:rPr>
        <w:t>тмечена</w:t>
      </w:r>
      <w:r w:rsidR="00871184" w:rsidRPr="009114DF">
        <w:rPr>
          <w:rFonts w:ascii="Times New Roman" w:eastAsia="Times New Roman" w:hAnsi="Times New Roman"/>
          <w:sz w:val="28"/>
          <w:szCs w:val="28"/>
          <w:lang w:eastAsia="ru-RU"/>
        </w:rPr>
        <w:t xml:space="preserve"> </w:t>
      </w:r>
      <w:r w:rsidR="000C4893" w:rsidRPr="009114DF">
        <w:rPr>
          <w:rFonts w:ascii="Times New Roman" w:eastAsia="Times New Roman" w:hAnsi="Times New Roman"/>
          <w:sz w:val="28"/>
          <w:szCs w:val="28"/>
          <w:lang w:eastAsia="ru-RU"/>
        </w:rPr>
        <w:t xml:space="preserve">достоверная связь </w:t>
      </w:r>
      <w:r w:rsidR="000C4893" w:rsidRPr="009114DF">
        <w:rPr>
          <w:rFonts w:ascii="Times New Roman" w:eastAsia="Times New Roman" w:hAnsi="Times New Roman"/>
          <w:sz w:val="28"/>
          <w:szCs w:val="28"/>
          <w:lang w:eastAsia="ru-RU"/>
        </w:rPr>
        <w:lastRenderedPageBreak/>
        <w:t>между эффективностью РТМ</w:t>
      </w:r>
      <w:r w:rsidR="00871184" w:rsidRPr="009114DF">
        <w:rPr>
          <w:rFonts w:ascii="Times New Roman" w:eastAsia="Times New Roman" w:hAnsi="Times New Roman"/>
          <w:sz w:val="28"/>
          <w:szCs w:val="28"/>
          <w:lang w:eastAsia="ru-RU"/>
        </w:rPr>
        <w:t>,</w:t>
      </w:r>
      <w:r w:rsidR="000C4893" w:rsidRPr="009114DF">
        <w:rPr>
          <w:rFonts w:ascii="Times New Roman" w:eastAsia="Times New Roman" w:hAnsi="Times New Roman"/>
          <w:sz w:val="28"/>
          <w:szCs w:val="28"/>
          <w:lang w:eastAsia="ru-RU"/>
        </w:rPr>
        <w:t xml:space="preserve"> активностью РА (</w:t>
      </w:r>
      <w:proofErr w:type="gramStart"/>
      <w:r w:rsidR="000C4893" w:rsidRPr="009114DF">
        <w:rPr>
          <w:rFonts w:ascii="Times New Roman" w:eastAsia="Times New Roman" w:hAnsi="Times New Roman"/>
          <w:sz w:val="28"/>
          <w:szCs w:val="28"/>
          <w:lang w:eastAsia="ru-RU"/>
        </w:rPr>
        <w:t>р</w:t>
      </w:r>
      <w:proofErr w:type="gramEnd"/>
      <w:r w:rsidR="00871184" w:rsidRPr="009114DF">
        <w:rPr>
          <w:rFonts w:ascii="Times New Roman" w:eastAsia="Times New Roman" w:hAnsi="Times New Roman"/>
          <w:sz w:val="28"/>
          <w:szCs w:val="28"/>
          <w:lang w:eastAsia="ru-RU"/>
        </w:rPr>
        <w:t>=0,01) и</w:t>
      </w:r>
      <w:r w:rsidR="000C4893" w:rsidRPr="009114DF">
        <w:rPr>
          <w:rFonts w:ascii="Times New Roman" w:eastAsia="Times New Roman" w:hAnsi="Times New Roman"/>
          <w:sz w:val="28"/>
          <w:szCs w:val="28"/>
          <w:lang w:eastAsia="ru-RU"/>
        </w:rPr>
        <w:t xml:space="preserve"> серопозитивностью по РФ/АЦЦП (ОШ 3,48; р</w:t>
      </w:r>
      <w:r w:rsidR="00871184" w:rsidRPr="009114DF">
        <w:rPr>
          <w:rFonts w:ascii="Times New Roman" w:eastAsia="Times New Roman" w:hAnsi="Times New Roman"/>
          <w:sz w:val="28"/>
          <w:szCs w:val="28"/>
          <w:lang w:eastAsia="ru-RU"/>
        </w:rPr>
        <w:t>=0,002)</w:t>
      </w:r>
      <w:r w:rsidR="00BE1896" w:rsidRPr="009114DF">
        <w:t xml:space="preserve"> </w:t>
      </w:r>
      <w:r w:rsidR="004D7A64" w:rsidRPr="009114DF">
        <w:rPr>
          <w:rFonts w:ascii="Times New Roman" w:eastAsia="Times New Roman" w:hAnsi="Times New Roman"/>
          <w:sz w:val="28"/>
          <w:szCs w:val="28"/>
          <w:lang w:eastAsia="ru-RU"/>
        </w:rPr>
        <w:t>[</w:t>
      </w:r>
      <w:r w:rsidR="0004338D" w:rsidRPr="009114DF">
        <w:rPr>
          <w:rFonts w:ascii="Times New Roman" w:eastAsia="Times New Roman" w:hAnsi="Times New Roman"/>
          <w:sz w:val="28"/>
          <w:szCs w:val="28"/>
          <w:lang w:eastAsia="ru-RU"/>
        </w:rPr>
        <w:t>179</w:t>
      </w:r>
      <w:r w:rsidR="004D7A64" w:rsidRPr="009114DF">
        <w:rPr>
          <w:rFonts w:ascii="Times New Roman" w:eastAsia="Times New Roman" w:hAnsi="Times New Roman"/>
          <w:sz w:val="28"/>
          <w:szCs w:val="28"/>
          <w:lang w:eastAsia="ru-RU"/>
        </w:rPr>
        <w:t>,</w:t>
      </w:r>
      <w:r w:rsidR="00CB0D3F" w:rsidRPr="009114DF">
        <w:rPr>
          <w:rFonts w:ascii="Times New Roman" w:eastAsia="Times New Roman" w:hAnsi="Times New Roman"/>
          <w:sz w:val="28"/>
          <w:szCs w:val="28"/>
          <w:lang w:eastAsia="ru-RU"/>
        </w:rPr>
        <w:t xml:space="preserve"> </w:t>
      </w:r>
      <w:r w:rsidR="0004338D" w:rsidRPr="009114DF">
        <w:rPr>
          <w:rFonts w:ascii="Times New Roman" w:eastAsia="Times New Roman" w:hAnsi="Times New Roman"/>
          <w:sz w:val="28"/>
          <w:szCs w:val="28"/>
          <w:lang w:eastAsia="ru-RU"/>
        </w:rPr>
        <w:t>180</w:t>
      </w:r>
      <w:r w:rsidR="00BE1896" w:rsidRPr="009114DF">
        <w:rPr>
          <w:rFonts w:ascii="Times New Roman" w:eastAsia="Times New Roman" w:hAnsi="Times New Roman"/>
          <w:sz w:val="28"/>
          <w:szCs w:val="28"/>
          <w:lang w:eastAsia="ru-RU"/>
        </w:rPr>
        <w:t>]</w:t>
      </w:r>
      <w:r w:rsidR="00871184" w:rsidRPr="009114DF">
        <w:rPr>
          <w:rFonts w:ascii="Times New Roman" w:eastAsia="Times New Roman" w:hAnsi="Times New Roman"/>
          <w:sz w:val="28"/>
          <w:szCs w:val="28"/>
          <w:lang w:eastAsia="ru-RU"/>
        </w:rPr>
        <w:t>.</w:t>
      </w:r>
    </w:p>
    <w:p w:rsidR="000C1CC4" w:rsidRPr="009114DF" w:rsidRDefault="009A0123" w:rsidP="0004338D">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При изучении денситометрических показателей в зависимости от рентгенологической стадии установлено статистически значимое снижение</w:t>
      </w:r>
      <w:r w:rsidR="00CB0D3F" w:rsidRPr="009114DF">
        <w:rPr>
          <w:rFonts w:ascii="Times New Roman" w:eastAsia="Times New Roman" w:hAnsi="Times New Roman"/>
          <w:sz w:val="28"/>
          <w:szCs w:val="28"/>
          <w:lang w:eastAsia="ru-RU"/>
        </w:rPr>
        <w:t xml:space="preserve"> показателей</w:t>
      </w:r>
      <w:r w:rsidRPr="009114DF">
        <w:rPr>
          <w:rFonts w:ascii="Times New Roman" w:eastAsia="Times New Roman" w:hAnsi="Times New Roman"/>
          <w:sz w:val="28"/>
          <w:szCs w:val="28"/>
          <w:lang w:eastAsia="ru-RU"/>
        </w:rPr>
        <w:t xml:space="preserve"> МПК и Т-критерия шейки бедра по мере прогрессирования суставной деструкции</w:t>
      </w:r>
      <w:r w:rsidR="00354941" w:rsidRPr="009114DF">
        <w:rPr>
          <w:rFonts w:ascii="Times New Roman" w:eastAsia="Times New Roman" w:hAnsi="Times New Roman"/>
          <w:sz w:val="28"/>
          <w:szCs w:val="28"/>
          <w:lang w:eastAsia="ru-RU"/>
        </w:rPr>
        <w:t xml:space="preserve"> как исходно, так и через 48 месяцев терапии</w:t>
      </w:r>
      <w:r w:rsidRPr="009114DF">
        <w:rPr>
          <w:rFonts w:ascii="Times New Roman" w:eastAsia="Times New Roman" w:hAnsi="Times New Roman"/>
          <w:sz w:val="28"/>
          <w:szCs w:val="28"/>
          <w:lang w:eastAsia="ru-RU"/>
        </w:rPr>
        <w:t>. Подобные ре</w:t>
      </w:r>
      <w:r w:rsidR="007D5172" w:rsidRPr="009114DF">
        <w:rPr>
          <w:rFonts w:ascii="Times New Roman" w:eastAsia="Times New Roman" w:hAnsi="Times New Roman"/>
          <w:sz w:val="28"/>
          <w:szCs w:val="28"/>
          <w:lang w:eastAsia="ru-RU"/>
        </w:rPr>
        <w:t>зультаты получены в исследованиях</w:t>
      </w:r>
      <w:r w:rsidRPr="009114DF">
        <w:rPr>
          <w:rFonts w:ascii="Times New Roman" w:eastAsia="Times New Roman" w:hAnsi="Times New Roman"/>
          <w:sz w:val="28"/>
          <w:szCs w:val="28"/>
          <w:lang w:eastAsia="ru-RU"/>
        </w:rPr>
        <w:t xml:space="preserve"> </w:t>
      </w:r>
      <w:r w:rsidR="000C1CC4" w:rsidRPr="009114DF">
        <w:rPr>
          <w:rFonts w:ascii="Times New Roman" w:eastAsia="Times New Roman" w:hAnsi="Times New Roman"/>
          <w:sz w:val="28"/>
          <w:szCs w:val="28"/>
          <w:lang w:eastAsia="ru-RU"/>
        </w:rPr>
        <w:t>И.</w:t>
      </w:r>
      <w:r w:rsidR="00CB0D3F" w:rsidRPr="009114DF">
        <w:rPr>
          <w:rFonts w:ascii="Times New Roman" w:eastAsia="Times New Roman" w:hAnsi="Times New Roman"/>
          <w:sz w:val="28"/>
          <w:szCs w:val="28"/>
          <w:lang w:eastAsia="ru-RU"/>
        </w:rPr>
        <w:t xml:space="preserve"> </w:t>
      </w:r>
      <w:r w:rsidR="000C1CC4" w:rsidRPr="009114DF">
        <w:rPr>
          <w:rFonts w:ascii="Times New Roman" w:eastAsia="Times New Roman" w:hAnsi="Times New Roman"/>
          <w:sz w:val="28"/>
          <w:szCs w:val="28"/>
          <w:lang w:eastAsia="ru-RU"/>
        </w:rPr>
        <w:t>Н. Тотрова,</w:t>
      </w:r>
      <w:r w:rsidR="00B14E16" w:rsidRPr="009114DF">
        <w:rPr>
          <w:rFonts w:ascii="Times New Roman" w:eastAsia="Times New Roman" w:hAnsi="Times New Roman"/>
          <w:sz w:val="28"/>
          <w:szCs w:val="28"/>
          <w:lang w:eastAsia="ru-RU"/>
        </w:rPr>
        <w:t xml:space="preserve"> </w:t>
      </w:r>
      <w:r w:rsidR="000C1CC4" w:rsidRPr="009114DF">
        <w:rPr>
          <w:rFonts w:ascii="Times New Roman" w:eastAsia="Times New Roman" w:hAnsi="Times New Roman"/>
          <w:sz w:val="28"/>
          <w:szCs w:val="28"/>
          <w:lang w:eastAsia="ru-RU"/>
        </w:rPr>
        <w:t>Д.</w:t>
      </w:r>
      <w:r w:rsidR="00CB0D3F" w:rsidRPr="009114DF">
        <w:rPr>
          <w:rFonts w:ascii="Times New Roman" w:eastAsia="Times New Roman" w:hAnsi="Times New Roman"/>
          <w:sz w:val="28"/>
          <w:szCs w:val="28"/>
          <w:lang w:eastAsia="ru-RU"/>
        </w:rPr>
        <w:t xml:space="preserve"> </w:t>
      </w:r>
      <w:r w:rsidR="000C1CC4" w:rsidRPr="009114DF">
        <w:rPr>
          <w:rFonts w:ascii="Times New Roman" w:eastAsia="Times New Roman" w:hAnsi="Times New Roman"/>
          <w:sz w:val="28"/>
          <w:szCs w:val="28"/>
          <w:lang w:eastAsia="ru-RU"/>
        </w:rPr>
        <w:t>А. Гукасян, М.</w:t>
      </w:r>
      <w:r w:rsidR="00CB0D3F" w:rsidRPr="009114DF">
        <w:rPr>
          <w:rFonts w:ascii="Times New Roman" w:eastAsia="Times New Roman" w:hAnsi="Times New Roman"/>
          <w:sz w:val="28"/>
          <w:szCs w:val="28"/>
          <w:lang w:eastAsia="ru-RU"/>
        </w:rPr>
        <w:t xml:space="preserve"> </w:t>
      </w:r>
      <w:r w:rsidR="000C1CC4" w:rsidRPr="009114DF">
        <w:rPr>
          <w:rFonts w:ascii="Times New Roman" w:eastAsia="Times New Roman" w:hAnsi="Times New Roman"/>
          <w:sz w:val="28"/>
          <w:szCs w:val="28"/>
          <w:lang w:eastAsia="ru-RU"/>
        </w:rPr>
        <w:t xml:space="preserve">В. Летаевой </w:t>
      </w:r>
      <w:r w:rsidR="002720E5" w:rsidRPr="009114DF">
        <w:rPr>
          <w:rFonts w:ascii="Times New Roman" w:eastAsia="Times New Roman" w:hAnsi="Times New Roman"/>
          <w:sz w:val="28"/>
          <w:szCs w:val="28"/>
          <w:lang w:eastAsia="ru-RU"/>
        </w:rPr>
        <w:t>[</w:t>
      </w:r>
      <w:r w:rsidR="004D7A64" w:rsidRPr="009114DF">
        <w:rPr>
          <w:rFonts w:ascii="Times New Roman" w:eastAsia="Times New Roman" w:hAnsi="Times New Roman"/>
          <w:sz w:val="28"/>
          <w:szCs w:val="28"/>
          <w:lang w:eastAsia="ru-RU"/>
        </w:rPr>
        <w:t>23</w:t>
      </w:r>
      <w:r w:rsidR="008F3E04" w:rsidRPr="009114DF">
        <w:rPr>
          <w:rFonts w:ascii="Times New Roman" w:eastAsia="Times New Roman" w:hAnsi="Times New Roman"/>
          <w:sz w:val="28"/>
          <w:szCs w:val="28"/>
          <w:lang w:eastAsia="ru-RU"/>
        </w:rPr>
        <w:t>,</w:t>
      </w:r>
      <w:r w:rsidR="00CB0D3F" w:rsidRPr="009114DF">
        <w:rPr>
          <w:rFonts w:ascii="Times New Roman" w:eastAsia="Times New Roman" w:hAnsi="Times New Roman"/>
          <w:sz w:val="28"/>
          <w:szCs w:val="28"/>
          <w:lang w:eastAsia="ru-RU"/>
        </w:rPr>
        <w:t xml:space="preserve"> </w:t>
      </w:r>
      <w:r w:rsidR="002720E5" w:rsidRPr="009114DF">
        <w:rPr>
          <w:rFonts w:ascii="Times New Roman" w:eastAsia="Times New Roman" w:hAnsi="Times New Roman"/>
          <w:sz w:val="28"/>
          <w:szCs w:val="28"/>
          <w:lang w:eastAsia="ru-RU"/>
        </w:rPr>
        <w:t>36,</w:t>
      </w:r>
      <w:r w:rsidR="00CB0D3F" w:rsidRPr="009114DF">
        <w:rPr>
          <w:rFonts w:ascii="Times New Roman" w:eastAsia="Times New Roman" w:hAnsi="Times New Roman"/>
          <w:sz w:val="28"/>
          <w:szCs w:val="28"/>
          <w:lang w:eastAsia="ru-RU"/>
        </w:rPr>
        <w:t xml:space="preserve"> </w:t>
      </w:r>
      <w:r w:rsidR="002720E5" w:rsidRPr="009114DF">
        <w:rPr>
          <w:rFonts w:ascii="Times New Roman" w:eastAsia="Times New Roman" w:hAnsi="Times New Roman"/>
          <w:sz w:val="28"/>
          <w:szCs w:val="28"/>
          <w:lang w:eastAsia="ru-RU"/>
        </w:rPr>
        <w:t>81</w:t>
      </w:r>
      <w:r w:rsidRPr="009114DF">
        <w:rPr>
          <w:rFonts w:ascii="Times New Roman" w:eastAsia="Times New Roman" w:hAnsi="Times New Roman"/>
          <w:sz w:val="28"/>
          <w:szCs w:val="28"/>
          <w:lang w:eastAsia="ru-RU"/>
        </w:rPr>
        <w:t xml:space="preserve">]. </w:t>
      </w:r>
      <w:r w:rsidR="000C1CC4" w:rsidRPr="009114DF">
        <w:rPr>
          <w:rFonts w:ascii="Times New Roman" w:eastAsia="Times New Roman" w:hAnsi="Times New Roman"/>
          <w:sz w:val="28"/>
          <w:szCs w:val="28"/>
          <w:lang w:eastAsia="ru-RU"/>
        </w:rPr>
        <w:t>В исследовании 925 женщин с РА из 21 ревмато</w:t>
      </w:r>
      <w:r w:rsidR="000C1CC4" w:rsidRPr="009114DF">
        <w:rPr>
          <w:rFonts w:ascii="Times New Roman" w:eastAsia="Times New Roman" w:hAnsi="Times New Roman"/>
          <w:sz w:val="28"/>
          <w:szCs w:val="28"/>
          <w:lang w:eastAsia="ru-RU"/>
        </w:rPr>
        <w:softHyphen/>
        <w:t xml:space="preserve">логического центра Италии по результатам измерения </w:t>
      </w:r>
      <w:r w:rsidR="004E0C46" w:rsidRPr="009114DF">
        <w:rPr>
          <w:rFonts w:ascii="Times New Roman" w:eastAsia="Times New Roman" w:hAnsi="Times New Roman"/>
          <w:sz w:val="28"/>
          <w:szCs w:val="28"/>
          <w:lang w:eastAsia="ru-RU"/>
        </w:rPr>
        <w:t>МПК</w:t>
      </w:r>
      <w:r w:rsidR="000C1CC4" w:rsidRPr="009114DF">
        <w:rPr>
          <w:rFonts w:ascii="Times New Roman" w:eastAsia="Times New Roman" w:hAnsi="Times New Roman"/>
          <w:sz w:val="28"/>
          <w:szCs w:val="28"/>
          <w:lang w:eastAsia="ru-RU"/>
        </w:rPr>
        <w:t xml:space="preserve"> поясничных позвонков частота снижения МПК линейно воз</w:t>
      </w:r>
      <w:r w:rsidR="000C1CC4" w:rsidRPr="009114DF">
        <w:rPr>
          <w:rFonts w:ascii="Times New Roman" w:eastAsia="Times New Roman" w:hAnsi="Times New Roman"/>
          <w:sz w:val="28"/>
          <w:szCs w:val="28"/>
          <w:lang w:eastAsia="ru-RU"/>
        </w:rPr>
        <w:softHyphen/>
        <w:t>растала в зависимости от</w:t>
      </w:r>
      <w:r w:rsidR="004E0C46" w:rsidRPr="009114DF">
        <w:rPr>
          <w:rFonts w:ascii="Times New Roman" w:eastAsia="Times New Roman" w:hAnsi="Times New Roman"/>
          <w:sz w:val="28"/>
          <w:szCs w:val="28"/>
          <w:lang w:eastAsia="ru-RU"/>
        </w:rPr>
        <w:t xml:space="preserve"> рентгенологической стадии </w:t>
      </w:r>
      <w:r w:rsidR="000C1CC4" w:rsidRPr="009114DF">
        <w:rPr>
          <w:rFonts w:ascii="Times New Roman" w:eastAsia="Times New Roman" w:hAnsi="Times New Roman"/>
          <w:sz w:val="28"/>
          <w:szCs w:val="28"/>
          <w:lang w:eastAsia="ru-RU"/>
        </w:rPr>
        <w:t>по Штейнброкеру</w:t>
      </w:r>
      <w:r w:rsidR="002720E5" w:rsidRPr="009114DF">
        <w:rPr>
          <w:rFonts w:ascii="Times New Roman" w:eastAsia="Times New Roman" w:hAnsi="Times New Roman"/>
          <w:sz w:val="28"/>
          <w:szCs w:val="28"/>
          <w:lang w:eastAsia="ru-RU"/>
        </w:rPr>
        <w:t xml:space="preserve"> [</w:t>
      </w:r>
      <w:r w:rsidR="0004338D" w:rsidRPr="009114DF">
        <w:rPr>
          <w:rFonts w:ascii="Times New Roman" w:eastAsia="Times New Roman" w:hAnsi="Times New Roman"/>
          <w:sz w:val="28"/>
          <w:szCs w:val="28"/>
          <w:lang w:eastAsia="ru-RU"/>
        </w:rPr>
        <w:t>184</w:t>
      </w:r>
      <w:r w:rsidR="00AF03A5" w:rsidRPr="009114DF">
        <w:rPr>
          <w:rFonts w:ascii="Times New Roman" w:eastAsia="Times New Roman" w:hAnsi="Times New Roman"/>
          <w:sz w:val="28"/>
          <w:szCs w:val="28"/>
          <w:lang w:eastAsia="ru-RU"/>
        </w:rPr>
        <w:t>].</w:t>
      </w:r>
      <w:r w:rsidR="00B14E16" w:rsidRPr="009114DF">
        <w:rPr>
          <w:rFonts w:ascii="Times New Roman" w:eastAsia="Times New Roman" w:hAnsi="Times New Roman"/>
          <w:sz w:val="28"/>
          <w:szCs w:val="28"/>
          <w:lang w:eastAsia="ru-RU"/>
        </w:rPr>
        <w:t xml:space="preserve"> </w:t>
      </w:r>
      <w:r w:rsidR="00015DFE" w:rsidRPr="009114DF">
        <w:rPr>
          <w:rFonts w:ascii="Times New Roman" w:eastAsia="Times New Roman" w:hAnsi="Times New Roman"/>
          <w:sz w:val="28"/>
          <w:szCs w:val="28"/>
          <w:lang w:eastAsia="ru-RU"/>
        </w:rPr>
        <w:t>Е.</w:t>
      </w:r>
      <w:r w:rsidR="00CB0D3F" w:rsidRPr="009114DF">
        <w:rPr>
          <w:rFonts w:ascii="Times New Roman" w:eastAsia="Times New Roman" w:hAnsi="Times New Roman"/>
          <w:sz w:val="28"/>
          <w:szCs w:val="28"/>
          <w:lang w:eastAsia="ru-RU"/>
        </w:rPr>
        <w:t xml:space="preserve"> </w:t>
      </w:r>
      <w:r w:rsidR="00015DFE" w:rsidRPr="009114DF">
        <w:rPr>
          <w:rFonts w:ascii="Times New Roman" w:eastAsia="Times New Roman" w:hAnsi="Times New Roman"/>
          <w:sz w:val="28"/>
          <w:szCs w:val="28"/>
          <w:lang w:eastAsia="ru-RU"/>
        </w:rPr>
        <w:t>В</w:t>
      </w:r>
      <w:r w:rsidR="00CB0D3F" w:rsidRPr="009114DF">
        <w:rPr>
          <w:rFonts w:ascii="Times New Roman" w:eastAsia="Times New Roman" w:hAnsi="Times New Roman"/>
          <w:sz w:val="28"/>
          <w:szCs w:val="28"/>
          <w:lang w:eastAsia="ru-RU"/>
        </w:rPr>
        <w:t>.</w:t>
      </w:r>
      <w:r w:rsidR="00015DFE" w:rsidRPr="009114DF">
        <w:rPr>
          <w:rFonts w:ascii="Times New Roman" w:eastAsia="Times New Roman" w:hAnsi="Times New Roman"/>
          <w:sz w:val="28"/>
          <w:szCs w:val="28"/>
          <w:lang w:eastAsia="ru-RU"/>
        </w:rPr>
        <w:t xml:space="preserve"> Петровой отмечено, что по мере увеличения рентгенологической стадии РА и увеличения суммарного индекса Шарпа независимо от воз</w:t>
      </w:r>
      <w:r w:rsidR="002D4081" w:rsidRPr="009114DF">
        <w:rPr>
          <w:rFonts w:ascii="Times New Roman" w:eastAsia="Times New Roman" w:hAnsi="Times New Roman"/>
          <w:sz w:val="28"/>
          <w:szCs w:val="28"/>
          <w:lang w:eastAsia="ru-RU"/>
        </w:rPr>
        <w:t>раста наблюдается снижение МПК</w:t>
      </w:r>
      <w:r w:rsidR="00015DFE" w:rsidRPr="009114DF">
        <w:rPr>
          <w:rFonts w:ascii="Times New Roman" w:eastAsia="Times New Roman" w:hAnsi="Times New Roman"/>
          <w:sz w:val="28"/>
          <w:szCs w:val="28"/>
          <w:lang w:eastAsia="ru-RU"/>
        </w:rPr>
        <w:t xml:space="preserve"> во всех отделах скелета и увеличение числа больных с деформациями п</w:t>
      </w:r>
      <w:r w:rsidR="004D7A64" w:rsidRPr="009114DF">
        <w:rPr>
          <w:rFonts w:ascii="Times New Roman" w:eastAsia="Times New Roman" w:hAnsi="Times New Roman"/>
          <w:sz w:val="28"/>
          <w:szCs w:val="28"/>
          <w:lang w:eastAsia="ru-RU"/>
        </w:rPr>
        <w:t>озвонков и остеопорозом (ОП) [</w:t>
      </w:r>
      <w:r w:rsidR="007308E8" w:rsidRPr="009114DF">
        <w:rPr>
          <w:rFonts w:ascii="Times New Roman" w:eastAsia="Times New Roman" w:hAnsi="Times New Roman"/>
          <w:sz w:val="28"/>
          <w:szCs w:val="28"/>
          <w:lang w:eastAsia="ru-RU"/>
        </w:rPr>
        <w:t>65</w:t>
      </w:r>
      <w:r w:rsidR="00015DFE" w:rsidRPr="009114DF">
        <w:rPr>
          <w:rFonts w:ascii="Times New Roman" w:eastAsia="Times New Roman" w:hAnsi="Times New Roman"/>
          <w:sz w:val="28"/>
          <w:szCs w:val="28"/>
          <w:lang w:eastAsia="ru-RU"/>
        </w:rPr>
        <w:t>].</w:t>
      </w:r>
      <w:r w:rsidR="00015DFE" w:rsidRPr="009114DF">
        <w:rPr>
          <w:rFonts w:ascii="Times New Roman" w:hAnsi="Times New Roman"/>
          <w:sz w:val="28"/>
          <w:szCs w:val="28"/>
        </w:rPr>
        <w:t xml:space="preserve">   </w:t>
      </w:r>
    </w:p>
    <w:p w:rsidR="009A0123" w:rsidRPr="009114DF" w:rsidRDefault="00677DF2"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Оценка функциональной недостаточности (ФН) суставов традиционно рассматривается с позиции способности или неспособности выполнения пациентом его профессиональной деятельности. Четыре степени ФН суставов</w:t>
      </w:r>
      <w:r w:rsidR="00CD2EDC"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 xml:space="preserve">0, I, II, III, применяемые отечественными ревматологами, учитывают именно профессиональную пригодность пациента, что не всегда соответствует его истинному функциональному статусу. </w:t>
      </w:r>
      <w:r w:rsidR="002D4081" w:rsidRPr="009114DF">
        <w:rPr>
          <w:rFonts w:ascii="Times New Roman" w:eastAsia="Times New Roman" w:hAnsi="Times New Roman"/>
          <w:sz w:val="28"/>
          <w:szCs w:val="28"/>
          <w:lang w:eastAsia="ru-RU"/>
        </w:rPr>
        <w:t>Утрата способности</w:t>
      </w:r>
      <w:r w:rsidRPr="009114DF">
        <w:rPr>
          <w:rFonts w:ascii="Times New Roman" w:eastAsia="Times New Roman" w:hAnsi="Times New Roman"/>
          <w:sz w:val="28"/>
          <w:szCs w:val="28"/>
          <w:lang w:eastAsia="ru-RU"/>
        </w:rPr>
        <w:t xml:space="preserve"> к самообслуживанию оценивается только при определении ФН III степени [</w:t>
      </w:r>
      <w:r w:rsidR="00E35148" w:rsidRPr="009114DF">
        <w:rPr>
          <w:rFonts w:ascii="Times New Roman" w:eastAsia="Times New Roman" w:hAnsi="Times New Roman"/>
          <w:sz w:val="28"/>
          <w:szCs w:val="28"/>
          <w:lang w:eastAsia="ru-RU"/>
        </w:rPr>
        <w:t>8</w:t>
      </w:r>
      <w:r w:rsidR="002720E5" w:rsidRPr="009114DF">
        <w:rPr>
          <w:rFonts w:ascii="Times New Roman" w:eastAsia="Times New Roman" w:hAnsi="Times New Roman"/>
          <w:sz w:val="28"/>
          <w:szCs w:val="28"/>
          <w:lang w:eastAsia="ru-RU"/>
        </w:rPr>
        <w:t>,</w:t>
      </w:r>
      <w:r w:rsidR="00E66EA2" w:rsidRPr="009114DF">
        <w:rPr>
          <w:rFonts w:ascii="Times New Roman" w:eastAsia="Times New Roman" w:hAnsi="Times New Roman"/>
          <w:sz w:val="28"/>
          <w:szCs w:val="28"/>
          <w:lang w:eastAsia="ru-RU"/>
        </w:rPr>
        <w:t xml:space="preserve"> </w:t>
      </w:r>
      <w:r w:rsidR="007308E8" w:rsidRPr="009114DF">
        <w:rPr>
          <w:rFonts w:ascii="Times New Roman" w:eastAsia="Times New Roman" w:hAnsi="Times New Roman"/>
          <w:sz w:val="28"/>
          <w:szCs w:val="28"/>
          <w:lang w:eastAsia="ru-RU"/>
        </w:rPr>
        <w:t>83</w:t>
      </w:r>
      <w:r w:rsidRPr="009114DF">
        <w:rPr>
          <w:rFonts w:ascii="Times New Roman" w:eastAsia="Times New Roman" w:hAnsi="Times New Roman"/>
          <w:sz w:val="28"/>
          <w:szCs w:val="28"/>
          <w:lang w:eastAsia="ru-RU"/>
        </w:rPr>
        <w:t>]. Однако у больных РА</w:t>
      </w:r>
      <w:r w:rsidR="00D65EE0"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помимо профессиональной деятельности и самообслуживания</w:t>
      </w:r>
      <w:r w:rsidR="00D65EE0"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заметно страдают различные виды непрофессиональной деятельности. </w:t>
      </w:r>
      <w:r w:rsidR="00015DFE" w:rsidRPr="009114DF">
        <w:rPr>
          <w:rFonts w:ascii="Times New Roman" w:eastAsia="Times New Roman" w:hAnsi="Times New Roman"/>
          <w:sz w:val="28"/>
          <w:szCs w:val="28"/>
          <w:lang w:eastAsia="ru-RU"/>
        </w:rPr>
        <w:t xml:space="preserve">Физическая нагрузка является важнейшей детерминантой костной массы, которая возрастает при увеличении механической нагрузки и снижается при ее уменьшении. </w:t>
      </w:r>
      <w:r w:rsidR="009A0123" w:rsidRPr="009114DF">
        <w:rPr>
          <w:rFonts w:ascii="Times New Roman" w:eastAsia="Times New Roman" w:hAnsi="Times New Roman"/>
          <w:sz w:val="28"/>
          <w:szCs w:val="28"/>
          <w:lang w:eastAsia="ru-RU"/>
        </w:rPr>
        <w:t xml:space="preserve">Отмечено, что больные с сохраненной физической функцией имеют более </w:t>
      </w:r>
      <w:proofErr w:type="gramStart"/>
      <w:r w:rsidR="009A0123" w:rsidRPr="009114DF">
        <w:rPr>
          <w:rFonts w:ascii="Times New Roman" w:eastAsia="Times New Roman" w:hAnsi="Times New Roman"/>
          <w:sz w:val="28"/>
          <w:szCs w:val="28"/>
          <w:lang w:eastAsia="ru-RU"/>
        </w:rPr>
        <w:t>высокую</w:t>
      </w:r>
      <w:proofErr w:type="gramEnd"/>
      <w:r w:rsidR="009A0123" w:rsidRPr="009114DF">
        <w:rPr>
          <w:rFonts w:ascii="Times New Roman" w:eastAsia="Times New Roman" w:hAnsi="Times New Roman"/>
          <w:sz w:val="28"/>
          <w:szCs w:val="28"/>
          <w:lang w:eastAsia="ru-RU"/>
        </w:rPr>
        <w:t xml:space="preserve"> МПК. </w:t>
      </w:r>
      <w:r w:rsidR="007D5172" w:rsidRPr="009114DF">
        <w:rPr>
          <w:rFonts w:ascii="Times New Roman" w:eastAsia="Times New Roman" w:hAnsi="Times New Roman"/>
          <w:bCs/>
          <w:iCs/>
          <w:sz w:val="28"/>
          <w:szCs w:val="28"/>
          <w:lang w:eastAsia="ru-RU"/>
        </w:rPr>
        <w:t>И.</w:t>
      </w:r>
      <w:r w:rsidR="00E66EA2" w:rsidRPr="009114DF">
        <w:rPr>
          <w:rFonts w:ascii="Times New Roman" w:eastAsia="Times New Roman" w:hAnsi="Times New Roman"/>
          <w:bCs/>
          <w:iCs/>
          <w:sz w:val="28"/>
          <w:szCs w:val="28"/>
          <w:lang w:eastAsia="ru-RU"/>
        </w:rPr>
        <w:t xml:space="preserve"> </w:t>
      </w:r>
      <w:r w:rsidR="007D5172" w:rsidRPr="009114DF">
        <w:rPr>
          <w:rFonts w:ascii="Times New Roman" w:eastAsia="Times New Roman" w:hAnsi="Times New Roman"/>
          <w:bCs/>
          <w:iCs/>
          <w:sz w:val="28"/>
          <w:szCs w:val="28"/>
          <w:lang w:eastAsia="ru-RU"/>
        </w:rPr>
        <w:t xml:space="preserve">С. Дыдыкина и соавт. продемонстрировали снижение МПК по мере увеличения ФК у </w:t>
      </w:r>
      <w:proofErr w:type="gramStart"/>
      <w:r w:rsidR="007D5172" w:rsidRPr="009114DF">
        <w:rPr>
          <w:rFonts w:ascii="Times New Roman" w:eastAsia="Times New Roman" w:hAnsi="Times New Roman"/>
          <w:bCs/>
          <w:iCs/>
          <w:sz w:val="28"/>
          <w:szCs w:val="28"/>
          <w:lang w:eastAsia="ru-RU"/>
        </w:rPr>
        <w:t>женщин</w:t>
      </w:r>
      <w:proofErr w:type="gramEnd"/>
      <w:r w:rsidR="007D5172" w:rsidRPr="009114DF">
        <w:rPr>
          <w:rFonts w:ascii="Times New Roman" w:eastAsia="Times New Roman" w:hAnsi="Times New Roman"/>
          <w:bCs/>
          <w:iCs/>
          <w:sz w:val="28"/>
          <w:szCs w:val="28"/>
          <w:lang w:eastAsia="ru-RU"/>
        </w:rPr>
        <w:t xml:space="preserve"> как</w:t>
      </w:r>
      <w:r w:rsidR="00B14E16" w:rsidRPr="009114DF">
        <w:rPr>
          <w:rFonts w:ascii="Times New Roman" w:eastAsia="Times New Roman" w:hAnsi="Times New Roman"/>
          <w:bCs/>
          <w:iCs/>
          <w:sz w:val="28"/>
          <w:szCs w:val="28"/>
          <w:lang w:eastAsia="ru-RU"/>
        </w:rPr>
        <w:t xml:space="preserve"> </w:t>
      </w:r>
      <w:r w:rsidR="007D5172" w:rsidRPr="009114DF">
        <w:rPr>
          <w:rFonts w:ascii="Times New Roman" w:eastAsia="Times New Roman" w:hAnsi="Times New Roman"/>
          <w:bCs/>
          <w:iCs/>
          <w:sz w:val="28"/>
          <w:szCs w:val="28"/>
          <w:lang w:eastAsia="ru-RU"/>
        </w:rPr>
        <w:t xml:space="preserve">с сохраненным менструальным циклом, так и в постменопаузе </w:t>
      </w:r>
      <w:r w:rsidR="00007E92" w:rsidRPr="009114DF">
        <w:rPr>
          <w:rFonts w:ascii="Times New Roman" w:eastAsia="Times New Roman" w:hAnsi="Times New Roman"/>
          <w:sz w:val="28"/>
          <w:szCs w:val="28"/>
          <w:lang w:eastAsia="ru-RU"/>
        </w:rPr>
        <w:t>[27</w:t>
      </w:r>
      <w:r w:rsidR="007D5172" w:rsidRPr="009114DF">
        <w:rPr>
          <w:rFonts w:ascii="Times New Roman" w:eastAsia="Times New Roman" w:hAnsi="Times New Roman"/>
          <w:sz w:val="28"/>
          <w:szCs w:val="28"/>
          <w:lang w:eastAsia="ru-RU"/>
        </w:rPr>
        <w:t xml:space="preserve">]. </w:t>
      </w:r>
      <w:r w:rsidR="009A0123" w:rsidRPr="009114DF">
        <w:rPr>
          <w:rFonts w:ascii="Times New Roman" w:eastAsia="Times New Roman" w:hAnsi="Times New Roman"/>
          <w:sz w:val="28"/>
          <w:szCs w:val="28"/>
          <w:lang w:eastAsia="ru-RU"/>
        </w:rPr>
        <w:t>В работе М.</w:t>
      </w:r>
      <w:r w:rsidR="00E66EA2" w:rsidRPr="009114DF">
        <w:rPr>
          <w:rFonts w:ascii="Times New Roman" w:eastAsia="Times New Roman" w:hAnsi="Times New Roman"/>
          <w:sz w:val="28"/>
          <w:szCs w:val="28"/>
          <w:lang w:eastAsia="ru-RU"/>
        </w:rPr>
        <w:t xml:space="preserve"> </w:t>
      </w:r>
      <w:r w:rsidR="009A0123" w:rsidRPr="009114DF">
        <w:rPr>
          <w:rFonts w:ascii="Times New Roman" w:eastAsia="Times New Roman" w:hAnsi="Times New Roman"/>
          <w:sz w:val="28"/>
          <w:szCs w:val="28"/>
          <w:lang w:eastAsia="ru-RU"/>
        </w:rPr>
        <w:t xml:space="preserve">В. Летаевой обнаружено, что МПК у больных с </w:t>
      </w:r>
      <w:r w:rsidR="009A0123" w:rsidRPr="009114DF">
        <w:rPr>
          <w:rFonts w:ascii="Times New Roman" w:eastAsia="Times New Roman" w:hAnsi="Times New Roman"/>
          <w:sz w:val="28"/>
          <w:szCs w:val="28"/>
          <w:lang w:eastAsia="ru-RU"/>
        </w:rPr>
        <w:lastRenderedPageBreak/>
        <w:t>более тяжелыми функциональными нарушениями достоверно ниже, чем у больных с сох</w:t>
      </w:r>
      <w:r w:rsidR="00354941" w:rsidRPr="009114DF">
        <w:rPr>
          <w:rFonts w:ascii="Times New Roman" w:eastAsia="Times New Roman" w:hAnsi="Times New Roman"/>
          <w:sz w:val="28"/>
          <w:szCs w:val="28"/>
          <w:lang w:eastAsia="ru-RU"/>
        </w:rPr>
        <w:t>раненной физической активностью</w:t>
      </w:r>
      <w:r w:rsidR="002720E5" w:rsidRPr="009114DF">
        <w:rPr>
          <w:rFonts w:ascii="Times New Roman" w:eastAsia="Times New Roman" w:hAnsi="Times New Roman"/>
          <w:sz w:val="28"/>
          <w:szCs w:val="28"/>
          <w:lang w:eastAsia="ru-RU"/>
        </w:rPr>
        <w:t xml:space="preserve"> [36</w:t>
      </w:r>
      <w:r w:rsidR="00BE1896" w:rsidRPr="009114DF">
        <w:rPr>
          <w:rFonts w:ascii="Times New Roman" w:eastAsia="Times New Roman" w:hAnsi="Times New Roman"/>
          <w:sz w:val="28"/>
          <w:szCs w:val="28"/>
          <w:lang w:eastAsia="ru-RU"/>
        </w:rPr>
        <w:t>]</w:t>
      </w:r>
      <w:r w:rsidR="004E0C46" w:rsidRPr="009114DF">
        <w:rPr>
          <w:rFonts w:ascii="Times New Roman" w:eastAsia="Times New Roman" w:hAnsi="Times New Roman"/>
          <w:sz w:val="28"/>
          <w:szCs w:val="28"/>
        </w:rPr>
        <w:t>.</w:t>
      </w:r>
      <w:r w:rsidR="00354941" w:rsidRPr="009114DF">
        <w:rPr>
          <w:rFonts w:ascii="Times New Roman" w:eastAsia="Times New Roman" w:hAnsi="Times New Roman"/>
          <w:sz w:val="28"/>
          <w:szCs w:val="28"/>
        </w:rPr>
        <w:t xml:space="preserve"> </w:t>
      </w:r>
      <w:r w:rsidR="004E0C46" w:rsidRPr="009114DF">
        <w:rPr>
          <w:rFonts w:ascii="Times New Roman" w:eastAsia="Times New Roman" w:hAnsi="Times New Roman"/>
          <w:sz w:val="28"/>
          <w:szCs w:val="28"/>
          <w:lang w:eastAsia="ru-RU"/>
        </w:rPr>
        <w:t>По данным G.</w:t>
      </w:r>
      <w:r w:rsidR="00E66EA2" w:rsidRPr="009114DF">
        <w:rPr>
          <w:rFonts w:ascii="Times New Roman" w:eastAsia="Times New Roman" w:hAnsi="Times New Roman"/>
          <w:sz w:val="28"/>
          <w:szCs w:val="28"/>
          <w:lang w:eastAsia="ru-RU"/>
        </w:rPr>
        <w:t xml:space="preserve"> Haugeberg</w:t>
      </w:r>
      <w:r w:rsidR="004E0C46" w:rsidRPr="009114DF">
        <w:rPr>
          <w:rFonts w:ascii="Times New Roman" w:eastAsia="Times New Roman" w:hAnsi="Times New Roman"/>
          <w:sz w:val="28"/>
          <w:szCs w:val="28"/>
          <w:lang w:eastAsia="ru-RU"/>
        </w:rPr>
        <w:t xml:space="preserve"> и соавт.</w:t>
      </w:r>
      <w:r w:rsidR="00D65EE0" w:rsidRPr="009114DF">
        <w:rPr>
          <w:rFonts w:ascii="Times New Roman" w:eastAsia="Times New Roman" w:hAnsi="Times New Roman"/>
          <w:sz w:val="28"/>
          <w:szCs w:val="28"/>
          <w:lang w:eastAsia="ru-RU"/>
        </w:rPr>
        <w:t>,</w:t>
      </w:r>
      <w:r w:rsidR="004E0C46" w:rsidRPr="009114DF">
        <w:rPr>
          <w:rFonts w:ascii="Times New Roman" w:eastAsia="Times New Roman" w:hAnsi="Times New Roman"/>
          <w:sz w:val="28"/>
          <w:szCs w:val="28"/>
          <w:lang w:eastAsia="ru-RU"/>
        </w:rPr>
        <w:t xml:space="preserve"> </w:t>
      </w:r>
      <w:r w:rsidR="00354941" w:rsidRPr="009114DF">
        <w:rPr>
          <w:rFonts w:ascii="Times New Roman" w:eastAsia="Times New Roman" w:hAnsi="Times New Roman"/>
          <w:sz w:val="28"/>
          <w:szCs w:val="28"/>
          <w:lang w:eastAsia="ru-RU"/>
        </w:rPr>
        <w:t xml:space="preserve">высокий </w:t>
      </w:r>
      <w:r w:rsidR="004E0C46" w:rsidRPr="009114DF">
        <w:rPr>
          <w:rFonts w:ascii="Times New Roman" w:eastAsia="Times New Roman" w:hAnsi="Times New Roman"/>
          <w:sz w:val="28"/>
          <w:szCs w:val="28"/>
          <w:lang w:eastAsia="ru-RU"/>
        </w:rPr>
        <w:t xml:space="preserve">функциональный статус (счет Штейнброкера &gt;3 </w:t>
      </w:r>
      <w:r w:rsidR="00354941" w:rsidRPr="009114DF">
        <w:rPr>
          <w:rFonts w:ascii="Times New Roman" w:eastAsia="Times New Roman" w:hAnsi="Times New Roman"/>
          <w:sz w:val="28"/>
          <w:szCs w:val="28"/>
          <w:lang w:eastAsia="ru-RU"/>
        </w:rPr>
        <w:t>или оцен</w:t>
      </w:r>
      <w:r w:rsidR="002D4081" w:rsidRPr="009114DF">
        <w:rPr>
          <w:rFonts w:ascii="Times New Roman" w:eastAsia="Times New Roman" w:hAnsi="Times New Roman"/>
          <w:sz w:val="28"/>
          <w:szCs w:val="28"/>
          <w:lang w:eastAsia="ru-RU"/>
        </w:rPr>
        <w:t>ка качества жизни по HAQ</w:t>
      </w:r>
      <w:r w:rsidR="00E66EA2" w:rsidRPr="009114DF">
        <w:rPr>
          <w:rFonts w:ascii="Times New Roman" w:eastAsia="Times New Roman" w:hAnsi="Times New Roman"/>
          <w:sz w:val="28"/>
          <w:szCs w:val="28"/>
          <w:lang w:eastAsia="ru-RU"/>
        </w:rPr>
        <w:t xml:space="preserve"> </w:t>
      </w:r>
      <w:r w:rsidR="002D4081" w:rsidRPr="009114DF">
        <w:rPr>
          <w:rFonts w:ascii="Times New Roman" w:eastAsia="Times New Roman" w:hAnsi="Times New Roman"/>
          <w:sz w:val="28"/>
          <w:szCs w:val="28"/>
          <w:lang w:eastAsia="ru-RU"/>
        </w:rPr>
        <w:t>&gt;1,25)</w:t>
      </w:r>
      <w:r w:rsidR="00354941" w:rsidRPr="009114DF">
        <w:rPr>
          <w:rFonts w:ascii="Times New Roman" w:eastAsia="Times New Roman" w:hAnsi="Times New Roman"/>
          <w:sz w:val="28"/>
          <w:szCs w:val="28"/>
          <w:lang w:eastAsia="ru-RU"/>
        </w:rPr>
        <w:t xml:space="preserve"> ассоциируется с низкими значениями МПК и </w:t>
      </w:r>
      <w:r w:rsidR="008D63B1" w:rsidRPr="009114DF">
        <w:rPr>
          <w:rFonts w:ascii="Times New Roman" w:eastAsia="Times New Roman" w:hAnsi="Times New Roman"/>
          <w:sz w:val="28"/>
          <w:szCs w:val="28"/>
          <w:lang w:eastAsia="ru-RU"/>
        </w:rPr>
        <w:t>высоким риск</w:t>
      </w:r>
      <w:r w:rsidR="002720E5" w:rsidRPr="009114DF">
        <w:rPr>
          <w:rFonts w:ascii="Times New Roman" w:eastAsia="Times New Roman" w:hAnsi="Times New Roman"/>
          <w:sz w:val="28"/>
          <w:szCs w:val="28"/>
          <w:lang w:eastAsia="ru-RU"/>
        </w:rPr>
        <w:t>ом ОП [</w:t>
      </w:r>
      <w:r w:rsidR="00266791" w:rsidRPr="009114DF">
        <w:rPr>
          <w:rFonts w:ascii="Times New Roman" w:eastAsia="Times New Roman" w:hAnsi="Times New Roman"/>
          <w:sz w:val="28"/>
          <w:szCs w:val="28"/>
          <w:lang w:eastAsia="ru-RU"/>
        </w:rPr>
        <w:t>130</w:t>
      </w:r>
      <w:r w:rsidR="004E0C46" w:rsidRPr="009114DF">
        <w:rPr>
          <w:rFonts w:ascii="Times New Roman" w:eastAsia="Times New Roman" w:hAnsi="Times New Roman"/>
          <w:sz w:val="28"/>
          <w:szCs w:val="28"/>
          <w:lang w:eastAsia="ru-RU"/>
        </w:rPr>
        <w:t xml:space="preserve">]. </w:t>
      </w:r>
    </w:p>
    <w:p w:rsidR="009A0123" w:rsidRPr="009114DF" w:rsidRDefault="009A0123" w:rsidP="00F71B34">
      <w:pPr>
        <w:autoSpaceDE w:val="0"/>
        <w:autoSpaceDN w:val="0"/>
        <w:adjustRightInd w:val="0"/>
        <w:spacing w:after="0" w:line="360" w:lineRule="auto"/>
        <w:ind w:firstLine="708"/>
        <w:jc w:val="both"/>
        <w:rPr>
          <w:rFonts w:ascii="Times New Roman" w:eastAsia="Times-Roman" w:hAnsi="Times New Roman"/>
          <w:sz w:val="28"/>
          <w:szCs w:val="28"/>
        </w:rPr>
      </w:pPr>
      <w:r w:rsidRPr="009114DF">
        <w:rPr>
          <w:rFonts w:ascii="Times New Roman" w:eastAsia="Times-Roman" w:hAnsi="Times New Roman"/>
          <w:sz w:val="28"/>
          <w:szCs w:val="28"/>
        </w:rPr>
        <w:t>В настоящем исследовании</w:t>
      </w:r>
      <w:r w:rsidRPr="009114DF">
        <w:rPr>
          <w:rFonts w:ascii="Times New Roman" w:eastAsia="Times New Roman" w:hAnsi="Times New Roman"/>
          <w:sz w:val="28"/>
          <w:szCs w:val="28"/>
          <w:lang w:eastAsia="ru-RU"/>
        </w:rPr>
        <w:t xml:space="preserve"> зависимости плотностных значений кости от ФК и варианта терапии исходно и через 48 месяцев наблюдения не</w:t>
      </w:r>
      <w:r w:rsidR="007D5172" w:rsidRPr="009114DF">
        <w:rPr>
          <w:rFonts w:ascii="Times New Roman" w:eastAsia="Times New Roman" w:hAnsi="Times New Roman"/>
          <w:sz w:val="28"/>
          <w:szCs w:val="28"/>
          <w:lang w:eastAsia="ru-RU"/>
        </w:rPr>
        <w:t xml:space="preserve"> о</w:t>
      </w:r>
      <w:r w:rsidRPr="009114DF">
        <w:rPr>
          <w:rFonts w:ascii="Times New Roman" w:eastAsia="Times New Roman" w:hAnsi="Times New Roman"/>
          <w:sz w:val="28"/>
          <w:szCs w:val="28"/>
          <w:lang w:eastAsia="ru-RU"/>
        </w:rPr>
        <w:t>тмечено как в шейке бедра, так и в поясничном отделе позвоночника.</w:t>
      </w:r>
    </w:p>
    <w:p w:rsidR="009A0123" w:rsidRPr="009114DF" w:rsidRDefault="009A0123" w:rsidP="00F71B34">
      <w:pPr>
        <w:autoSpaceDE w:val="0"/>
        <w:autoSpaceDN w:val="0"/>
        <w:adjustRightInd w:val="0"/>
        <w:spacing w:after="0" w:line="360" w:lineRule="auto"/>
        <w:ind w:firstLine="708"/>
        <w:jc w:val="both"/>
        <w:rPr>
          <w:rFonts w:ascii="Times New Roman" w:eastAsia="Times-Roman" w:hAnsi="Times New Roman"/>
          <w:sz w:val="28"/>
          <w:szCs w:val="28"/>
        </w:rPr>
      </w:pPr>
      <w:r w:rsidRPr="009114DF">
        <w:rPr>
          <w:rFonts w:ascii="Times New Roman" w:eastAsia="Times-Roman" w:hAnsi="Times New Roman"/>
          <w:sz w:val="28"/>
          <w:szCs w:val="28"/>
        </w:rPr>
        <w:t>В большинстве случаев</w:t>
      </w:r>
      <w:r w:rsidR="00126786" w:rsidRPr="009114DF">
        <w:rPr>
          <w:rFonts w:ascii="Times New Roman" w:eastAsia="Times-Roman" w:hAnsi="Times New Roman"/>
          <w:sz w:val="28"/>
          <w:szCs w:val="28"/>
        </w:rPr>
        <w:t>,</w:t>
      </w:r>
      <w:r w:rsidRPr="009114DF">
        <w:rPr>
          <w:rFonts w:ascii="Times New Roman" w:eastAsia="Times-Roman" w:hAnsi="Times New Roman"/>
          <w:sz w:val="28"/>
          <w:szCs w:val="28"/>
        </w:rPr>
        <w:t xml:space="preserve"> начиная с дебюта заболевания, отмечается снижение функции опорно-двигательного аппара</w:t>
      </w:r>
      <w:r w:rsidR="00774AA9" w:rsidRPr="009114DF">
        <w:rPr>
          <w:rFonts w:ascii="Times New Roman" w:eastAsia="Times-Roman" w:hAnsi="Times New Roman"/>
          <w:sz w:val="28"/>
          <w:szCs w:val="28"/>
        </w:rPr>
        <w:t xml:space="preserve">та, </w:t>
      </w:r>
      <w:r w:rsidR="00126786" w:rsidRPr="009114DF">
        <w:rPr>
          <w:rFonts w:ascii="Times New Roman" w:eastAsia="Times-Roman" w:hAnsi="Times New Roman"/>
          <w:sz w:val="28"/>
          <w:szCs w:val="28"/>
        </w:rPr>
        <w:t xml:space="preserve">что приводит </w:t>
      </w:r>
      <w:proofErr w:type="gramStart"/>
      <w:r w:rsidR="00126786" w:rsidRPr="009114DF">
        <w:rPr>
          <w:rFonts w:ascii="Times New Roman" w:eastAsia="Times-Roman" w:hAnsi="Times New Roman"/>
          <w:sz w:val="28"/>
          <w:szCs w:val="28"/>
        </w:rPr>
        <w:t>к</w:t>
      </w:r>
      <w:proofErr w:type="gramEnd"/>
      <w:r w:rsidR="00126786" w:rsidRPr="009114DF">
        <w:rPr>
          <w:rFonts w:ascii="Times New Roman" w:eastAsia="Times-Roman" w:hAnsi="Times New Roman"/>
          <w:sz w:val="28"/>
          <w:szCs w:val="28"/>
        </w:rPr>
        <w:t xml:space="preserve"> </w:t>
      </w:r>
      <w:proofErr w:type="gramStart"/>
      <w:r w:rsidR="00126786" w:rsidRPr="009114DF">
        <w:rPr>
          <w:rFonts w:ascii="Times New Roman" w:eastAsia="Times-Roman" w:hAnsi="Times New Roman"/>
          <w:sz w:val="28"/>
          <w:szCs w:val="28"/>
        </w:rPr>
        <w:t>стойкой</w:t>
      </w:r>
      <w:proofErr w:type="gramEnd"/>
      <w:r w:rsidR="00126786" w:rsidRPr="009114DF">
        <w:rPr>
          <w:rFonts w:ascii="Times New Roman" w:eastAsia="Times-Roman" w:hAnsi="Times New Roman"/>
          <w:sz w:val="28"/>
          <w:szCs w:val="28"/>
        </w:rPr>
        <w:t xml:space="preserve"> инвалидизации</w:t>
      </w:r>
      <w:r w:rsidRPr="009114DF">
        <w:rPr>
          <w:rFonts w:ascii="Times New Roman" w:eastAsia="Times-Roman" w:hAnsi="Times New Roman"/>
          <w:sz w:val="28"/>
          <w:szCs w:val="28"/>
        </w:rPr>
        <w:t xml:space="preserve"> больных</w:t>
      </w:r>
      <w:r w:rsidR="00774AA9" w:rsidRPr="009114DF">
        <w:rPr>
          <w:rFonts w:ascii="Times New Roman" w:eastAsia="Times-Roman" w:hAnsi="Times New Roman"/>
          <w:sz w:val="28"/>
          <w:szCs w:val="28"/>
        </w:rPr>
        <w:t xml:space="preserve"> РА</w:t>
      </w:r>
      <w:r w:rsidR="00126786" w:rsidRPr="009114DF">
        <w:rPr>
          <w:rFonts w:ascii="Times New Roman" w:eastAsia="Times-Roman" w:hAnsi="Times New Roman"/>
          <w:sz w:val="28"/>
          <w:szCs w:val="28"/>
        </w:rPr>
        <w:t xml:space="preserve">. </w:t>
      </w:r>
      <w:r w:rsidRPr="009114DF">
        <w:rPr>
          <w:rFonts w:ascii="Times New Roman" w:eastAsia="Times-Roman" w:hAnsi="Times New Roman"/>
          <w:sz w:val="28"/>
          <w:szCs w:val="28"/>
        </w:rPr>
        <w:t>Следует отметить, что ухудшение функции суставов приносит обществу наибольшие финансовые потери, поскольку прямые и непрямые расходы на заболевание пропорциональны нарастанию функциональной недостаточности [</w:t>
      </w:r>
      <w:r w:rsidR="002720E5" w:rsidRPr="009114DF">
        <w:rPr>
          <w:rFonts w:ascii="Times New Roman" w:eastAsia="Times-Roman" w:hAnsi="Times New Roman"/>
          <w:sz w:val="28"/>
          <w:szCs w:val="28"/>
        </w:rPr>
        <w:t>86</w:t>
      </w:r>
      <w:r w:rsidRPr="009114DF">
        <w:rPr>
          <w:rFonts w:ascii="Times New Roman" w:eastAsia="Times-Roman" w:hAnsi="Times New Roman"/>
          <w:sz w:val="28"/>
          <w:szCs w:val="28"/>
        </w:rPr>
        <w:t xml:space="preserve">]. Поэтому в качестве наиболее актуальных и перспективных </w:t>
      </w:r>
      <w:r w:rsidR="00774AA9" w:rsidRPr="009114DF">
        <w:rPr>
          <w:rFonts w:ascii="Times New Roman" w:eastAsia="Times-Roman" w:hAnsi="Times New Roman"/>
          <w:sz w:val="28"/>
          <w:szCs w:val="28"/>
        </w:rPr>
        <w:t xml:space="preserve">работ в настоящее время </w:t>
      </w:r>
      <w:r w:rsidRPr="009114DF">
        <w:rPr>
          <w:rFonts w:ascii="Times New Roman" w:eastAsia="Times-Roman" w:hAnsi="Times New Roman"/>
          <w:sz w:val="28"/>
          <w:szCs w:val="28"/>
        </w:rPr>
        <w:t>рассматриваются исследования, направленные на  оптимизацию терапии РТМ, включающие определение дозы препарата, показаний для повторных курсов терапии, поиск  «предикторов» эффективности, разработка персони</w:t>
      </w:r>
      <w:r w:rsidR="00126786" w:rsidRPr="009114DF">
        <w:rPr>
          <w:rFonts w:ascii="Times New Roman" w:eastAsia="Times-Roman" w:hAnsi="Times New Roman"/>
          <w:sz w:val="28"/>
          <w:szCs w:val="28"/>
        </w:rPr>
        <w:t>фици</w:t>
      </w:r>
      <w:r w:rsidRPr="009114DF">
        <w:rPr>
          <w:rFonts w:ascii="Times New Roman" w:eastAsia="Times-Roman" w:hAnsi="Times New Roman"/>
          <w:sz w:val="28"/>
          <w:szCs w:val="28"/>
        </w:rPr>
        <w:t xml:space="preserve">рованных подходов к терапии. </w:t>
      </w:r>
    </w:p>
    <w:p w:rsidR="009A0123"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Клиническая эффективность РТМ у больных, резистентных к предшествующей терапии БПВП</w:t>
      </w:r>
      <w:r w:rsidR="003336FB" w:rsidRPr="009114DF">
        <w:rPr>
          <w:rFonts w:ascii="Times New Roman" w:eastAsia="Times New Roman" w:hAnsi="Times New Roman"/>
          <w:sz w:val="28"/>
          <w:szCs w:val="28"/>
          <w:lang w:eastAsia="ru-RU"/>
        </w:rPr>
        <w:t>,</w:t>
      </w:r>
      <w:r w:rsidRPr="009114DF">
        <w:rPr>
          <w:rFonts w:ascii="Times New Roman" w:eastAsia="Times New Roman" w:hAnsi="Times New Roman"/>
          <w:sz w:val="28"/>
          <w:szCs w:val="28"/>
          <w:lang w:eastAsia="ru-RU"/>
        </w:rPr>
        <w:t xml:space="preserve"> </w:t>
      </w:r>
      <w:r w:rsidR="003336FB" w:rsidRPr="009114DF">
        <w:rPr>
          <w:rFonts w:ascii="Times New Roman" w:eastAsia="Times New Roman" w:hAnsi="Times New Roman"/>
          <w:sz w:val="28"/>
          <w:szCs w:val="28"/>
          <w:lang w:eastAsia="ru-RU"/>
        </w:rPr>
        <w:t xml:space="preserve">была </w:t>
      </w:r>
      <w:r w:rsidRPr="009114DF">
        <w:rPr>
          <w:rFonts w:ascii="Times New Roman" w:eastAsia="Times New Roman" w:hAnsi="Times New Roman"/>
          <w:sz w:val="28"/>
          <w:szCs w:val="28"/>
          <w:lang w:eastAsia="ru-RU"/>
        </w:rPr>
        <w:t>подтверждена длительными рандомизированными иссл</w:t>
      </w:r>
      <w:r w:rsidR="003336FB" w:rsidRPr="009114DF">
        <w:rPr>
          <w:rFonts w:ascii="Times New Roman" w:eastAsia="Times New Roman" w:hAnsi="Times New Roman"/>
          <w:sz w:val="28"/>
          <w:szCs w:val="28"/>
          <w:lang w:eastAsia="ru-RU"/>
        </w:rPr>
        <w:t>едованиями</w:t>
      </w:r>
      <w:r w:rsidR="00BE36E7" w:rsidRPr="009114DF">
        <w:rPr>
          <w:rFonts w:ascii="Times New Roman" w:eastAsia="Times New Roman" w:hAnsi="Times New Roman"/>
          <w:sz w:val="28"/>
          <w:szCs w:val="28"/>
          <w:lang w:eastAsia="ru-RU"/>
        </w:rPr>
        <w:t xml:space="preserve">, </w:t>
      </w:r>
      <w:r w:rsidR="003336FB" w:rsidRPr="009114DF">
        <w:rPr>
          <w:rFonts w:ascii="Times New Roman" w:eastAsia="Times New Roman" w:hAnsi="Times New Roman"/>
          <w:sz w:val="28"/>
          <w:szCs w:val="28"/>
          <w:lang w:eastAsia="ru-RU"/>
        </w:rPr>
        <w:t xml:space="preserve">а также </w:t>
      </w:r>
      <w:r w:rsidR="00DA3C52" w:rsidRPr="009114DF">
        <w:rPr>
          <w:rFonts w:ascii="Times New Roman" w:eastAsia="Times New Roman" w:hAnsi="Times New Roman"/>
          <w:sz w:val="28"/>
          <w:szCs w:val="28"/>
          <w:lang w:eastAsia="ru-RU"/>
        </w:rPr>
        <w:t>несколькими</w:t>
      </w:r>
      <w:r w:rsidR="003336FB" w:rsidRPr="009114DF">
        <w:rPr>
          <w:rFonts w:ascii="Times New Roman" w:eastAsia="Times New Roman" w:hAnsi="Times New Roman"/>
          <w:sz w:val="28"/>
          <w:szCs w:val="28"/>
          <w:lang w:eastAsia="ru-RU"/>
        </w:rPr>
        <w:t xml:space="preserve"> наблюдательными исследованиями</w:t>
      </w:r>
      <w:r w:rsidRPr="009114DF">
        <w:rPr>
          <w:rFonts w:ascii="Times New Roman" w:eastAsia="Times New Roman" w:hAnsi="Times New Roman"/>
          <w:sz w:val="28"/>
          <w:szCs w:val="28"/>
          <w:lang w:eastAsia="ru-RU"/>
        </w:rPr>
        <w:t xml:space="preserve"> </w:t>
      </w:r>
      <w:r w:rsidR="003336FB" w:rsidRPr="009114DF">
        <w:rPr>
          <w:rFonts w:ascii="Times New Roman" w:eastAsia="Times New Roman" w:hAnsi="Times New Roman"/>
          <w:sz w:val="28"/>
          <w:szCs w:val="28"/>
          <w:lang w:eastAsia="ru-RU"/>
        </w:rPr>
        <w:t>в клинической практике</w:t>
      </w:r>
      <w:r w:rsidR="00126786"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w:t>
      </w:r>
      <w:r w:rsidR="007308E8" w:rsidRPr="009114DF">
        <w:rPr>
          <w:rFonts w:ascii="Times New Roman" w:eastAsia="Times New Roman" w:hAnsi="Times New Roman"/>
          <w:sz w:val="28"/>
          <w:szCs w:val="28"/>
          <w:lang w:eastAsia="ru-RU"/>
        </w:rPr>
        <w:t>42</w:t>
      </w:r>
      <w:r w:rsidR="000C66A1" w:rsidRPr="009114DF">
        <w:rPr>
          <w:rFonts w:ascii="Times New Roman" w:eastAsia="Times New Roman" w:hAnsi="Times New Roman"/>
          <w:sz w:val="28"/>
          <w:szCs w:val="28"/>
          <w:lang w:eastAsia="ru-RU"/>
        </w:rPr>
        <w:t>,</w:t>
      </w:r>
      <w:r w:rsidR="00E66EA2" w:rsidRPr="009114DF">
        <w:rPr>
          <w:rFonts w:ascii="Times New Roman" w:eastAsia="Times New Roman" w:hAnsi="Times New Roman"/>
          <w:sz w:val="28"/>
          <w:szCs w:val="28"/>
          <w:lang w:eastAsia="ru-RU"/>
        </w:rPr>
        <w:t xml:space="preserve"> </w:t>
      </w:r>
      <w:r w:rsidR="00531DB4" w:rsidRPr="009114DF">
        <w:rPr>
          <w:rFonts w:ascii="Times New Roman" w:eastAsia="Times New Roman" w:hAnsi="Times New Roman"/>
          <w:sz w:val="28"/>
          <w:szCs w:val="28"/>
          <w:lang w:eastAsia="ru-RU"/>
        </w:rPr>
        <w:t>58</w:t>
      </w:r>
      <w:r w:rsidR="000C66A1" w:rsidRPr="009114DF">
        <w:rPr>
          <w:rFonts w:ascii="Times New Roman" w:eastAsia="Times New Roman" w:hAnsi="Times New Roman"/>
          <w:sz w:val="28"/>
          <w:szCs w:val="28"/>
          <w:lang w:eastAsia="ru-RU"/>
        </w:rPr>
        <w:t>,</w:t>
      </w:r>
      <w:r w:rsidR="00E66EA2" w:rsidRPr="009114DF">
        <w:rPr>
          <w:rFonts w:ascii="Times New Roman" w:eastAsia="Times New Roman" w:hAnsi="Times New Roman"/>
          <w:sz w:val="28"/>
          <w:szCs w:val="28"/>
          <w:lang w:eastAsia="ru-RU"/>
        </w:rPr>
        <w:t xml:space="preserve"> </w:t>
      </w:r>
      <w:r w:rsidR="006D17D9" w:rsidRPr="009114DF">
        <w:rPr>
          <w:rFonts w:ascii="Times New Roman" w:eastAsia="Times New Roman" w:hAnsi="Times New Roman"/>
          <w:sz w:val="28"/>
          <w:szCs w:val="28"/>
          <w:lang w:eastAsia="ru-RU"/>
        </w:rPr>
        <w:t xml:space="preserve">106, </w:t>
      </w:r>
      <w:r w:rsidR="00A05647" w:rsidRPr="009114DF">
        <w:rPr>
          <w:rFonts w:ascii="Times New Roman" w:hAnsi="Times New Roman"/>
          <w:kern w:val="2"/>
          <w:sz w:val="28"/>
          <w:szCs w:val="28"/>
          <w:lang w:eastAsia="ko-KR"/>
        </w:rPr>
        <w:t xml:space="preserve">115, </w:t>
      </w:r>
      <w:r w:rsidR="00266791" w:rsidRPr="009114DF">
        <w:rPr>
          <w:rFonts w:ascii="Times New Roman" w:eastAsia="Times New Roman" w:hAnsi="Times New Roman"/>
          <w:sz w:val="28"/>
          <w:szCs w:val="28"/>
          <w:lang w:eastAsia="ru-RU"/>
        </w:rPr>
        <w:t>145</w:t>
      </w:r>
      <w:r w:rsidR="000C66A1" w:rsidRPr="009114DF">
        <w:rPr>
          <w:rFonts w:ascii="Times New Roman" w:eastAsia="Times New Roman" w:hAnsi="Times New Roman"/>
          <w:sz w:val="28"/>
          <w:szCs w:val="28"/>
          <w:lang w:eastAsia="ru-RU"/>
        </w:rPr>
        <w:t>,</w:t>
      </w:r>
      <w:r w:rsidR="00E66EA2" w:rsidRPr="009114DF">
        <w:rPr>
          <w:rFonts w:ascii="Times New Roman" w:eastAsia="Times New Roman" w:hAnsi="Times New Roman"/>
          <w:sz w:val="28"/>
          <w:szCs w:val="28"/>
          <w:lang w:eastAsia="ru-RU"/>
        </w:rPr>
        <w:t xml:space="preserve"> </w:t>
      </w:r>
      <w:r w:rsidR="00957C16" w:rsidRPr="009114DF">
        <w:rPr>
          <w:rFonts w:ascii="Times New Roman" w:eastAsia="Times New Roman" w:hAnsi="Times New Roman"/>
          <w:sz w:val="28"/>
          <w:szCs w:val="28"/>
          <w:lang w:eastAsia="ru-RU"/>
        </w:rPr>
        <w:t>167</w:t>
      </w:r>
      <w:r w:rsidRPr="009114DF">
        <w:rPr>
          <w:rFonts w:ascii="Times New Roman" w:eastAsia="Times New Roman" w:hAnsi="Times New Roman"/>
          <w:sz w:val="28"/>
          <w:szCs w:val="28"/>
          <w:lang w:eastAsia="ru-RU"/>
        </w:rPr>
        <w:t>].</w:t>
      </w:r>
    </w:p>
    <w:p w:rsidR="002F559E"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 Наиболее широко изучено применение РТМ у больных РА с резистентностью к предшествующей терапии БПВП и другими ГИБП, преимущественно ингибиторами ФН</w:t>
      </w:r>
      <w:proofErr w:type="gramStart"/>
      <w:r w:rsidRPr="009114DF">
        <w:rPr>
          <w:rFonts w:ascii="Times New Roman" w:eastAsia="Times New Roman" w:hAnsi="Times New Roman"/>
          <w:sz w:val="28"/>
          <w:szCs w:val="28"/>
          <w:lang w:eastAsia="ru-RU"/>
        </w:rPr>
        <w:t>О-</w:t>
      </w:r>
      <w:proofErr w:type="gramEnd"/>
      <w:r w:rsidRPr="009114DF">
        <w:rPr>
          <w:rFonts w:ascii="Times New Roman" w:eastAsia="Times New Roman" w:hAnsi="Times New Roman"/>
          <w:sz w:val="28"/>
          <w:szCs w:val="28"/>
          <w:lang w:val="en" w:eastAsia="ru-RU"/>
        </w:rPr>
        <w:t>α</w:t>
      </w:r>
      <w:r w:rsidRPr="009114DF">
        <w:rPr>
          <w:rFonts w:ascii="Times New Roman" w:eastAsia="Times New Roman" w:hAnsi="Times New Roman"/>
          <w:sz w:val="28"/>
          <w:szCs w:val="28"/>
          <w:lang w:eastAsia="ru-RU"/>
        </w:rPr>
        <w:t xml:space="preserve">. В РКИ </w:t>
      </w:r>
      <w:r w:rsidRPr="009114DF">
        <w:rPr>
          <w:rFonts w:ascii="Times New Roman" w:eastAsia="Times New Roman" w:hAnsi="Times New Roman"/>
          <w:sz w:val="28"/>
          <w:szCs w:val="28"/>
          <w:lang w:val="en" w:eastAsia="ru-RU"/>
        </w:rPr>
        <w:t>DANCER</w:t>
      </w:r>
      <w:r w:rsidR="00BE36E7" w:rsidRPr="009114DF">
        <w:rPr>
          <w:rFonts w:ascii="Times New Roman" w:eastAsia="Times New Roman" w:hAnsi="Times New Roman"/>
          <w:sz w:val="28"/>
          <w:szCs w:val="28"/>
          <w:lang w:eastAsia="ru-RU"/>
        </w:rPr>
        <w:t xml:space="preserve"> [</w:t>
      </w:r>
      <w:r w:rsidR="00A05647" w:rsidRPr="009114DF">
        <w:rPr>
          <w:rFonts w:ascii="Times New Roman" w:hAnsi="Times New Roman"/>
          <w:kern w:val="2"/>
          <w:sz w:val="28"/>
          <w:szCs w:val="28"/>
          <w:lang w:eastAsia="ko-KR"/>
        </w:rPr>
        <w:t>115</w:t>
      </w:r>
      <w:r w:rsidRPr="009114DF">
        <w:rPr>
          <w:rFonts w:ascii="Times New Roman" w:eastAsia="Times New Roman" w:hAnsi="Times New Roman"/>
          <w:sz w:val="28"/>
          <w:szCs w:val="28"/>
          <w:lang w:eastAsia="ru-RU"/>
        </w:rPr>
        <w:t xml:space="preserve">] </w:t>
      </w:r>
      <w:r w:rsidR="003336FB" w:rsidRPr="009114DF">
        <w:rPr>
          <w:rFonts w:ascii="Times New Roman" w:eastAsia="Times New Roman" w:hAnsi="Times New Roman"/>
          <w:sz w:val="28"/>
          <w:szCs w:val="28"/>
          <w:lang w:eastAsia="ru-RU"/>
        </w:rPr>
        <w:t>в</w:t>
      </w:r>
      <w:r w:rsidRPr="009114DF">
        <w:rPr>
          <w:rFonts w:ascii="Times New Roman" w:eastAsia="Times New Roman" w:hAnsi="Times New Roman"/>
          <w:sz w:val="28"/>
          <w:szCs w:val="28"/>
          <w:lang w:eastAsia="ru-RU"/>
        </w:rPr>
        <w:t xml:space="preserve"> двух группах больных, получавших РТМ, ответ через 6 месяцев лечения по критериям </w:t>
      </w:r>
      <w:r w:rsidRPr="009114DF">
        <w:rPr>
          <w:rFonts w:ascii="Times New Roman" w:eastAsia="Times New Roman" w:hAnsi="Times New Roman"/>
          <w:sz w:val="28"/>
          <w:szCs w:val="28"/>
          <w:lang w:val="en-US" w:eastAsia="ru-RU"/>
        </w:rPr>
        <w:t>ACR</w:t>
      </w:r>
      <w:r w:rsidRPr="009114DF">
        <w:rPr>
          <w:rFonts w:ascii="Times New Roman" w:eastAsia="Times New Roman" w:hAnsi="Times New Roman"/>
          <w:sz w:val="28"/>
          <w:szCs w:val="28"/>
          <w:lang w:eastAsia="ru-RU"/>
        </w:rPr>
        <w:t xml:space="preserve">50 был вдвое выше (33 и 34% против 13%), а по критериям </w:t>
      </w:r>
      <w:r w:rsidRPr="009114DF">
        <w:rPr>
          <w:rFonts w:ascii="Times New Roman" w:eastAsia="Times New Roman" w:hAnsi="Times New Roman"/>
          <w:sz w:val="28"/>
          <w:szCs w:val="28"/>
          <w:lang w:val="en-US" w:eastAsia="ru-RU"/>
        </w:rPr>
        <w:t>ACR</w:t>
      </w:r>
      <w:r w:rsidRPr="009114DF">
        <w:rPr>
          <w:rFonts w:ascii="Times New Roman" w:eastAsia="Times New Roman" w:hAnsi="Times New Roman"/>
          <w:sz w:val="28"/>
          <w:szCs w:val="28"/>
          <w:lang w:eastAsia="ru-RU"/>
        </w:rPr>
        <w:t xml:space="preserve">70 в несколько раз выше (13 и 20% против 5%) по сравнению с группой, получавшей МТХ + плацебо. Ответ по критериям </w:t>
      </w:r>
      <w:r w:rsidRPr="009114DF">
        <w:rPr>
          <w:rFonts w:ascii="Times New Roman" w:eastAsia="Times New Roman" w:hAnsi="Times New Roman"/>
          <w:sz w:val="28"/>
          <w:szCs w:val="28"/>
          <w:lang w:val="en" w:eastAsia="ru-RU"/>
        </w:rPr>
        <w:t>EULAR</w:t>
      </w:r>
      <w:r w:rsidRPr="009114DF">
        <w:rPr>
          <w:rFonts w:ascii="Times New Roman" w:eastAsia="Times New Roman" w:hAnsi="Times New Roman"/>
          <w:sz w:val="28"/>
          <w:szCs w:val="28"/>
          <w:lang w:eastAsia="ru-RU"/>
        </w:rPr>
        <w:t xml:space="preserve"> при применении РТМ также достигался в 2 </w:t>
      </w:r>
      <w:r w:rsidRPr="009114DF">
        <w:rPr>
          <w:rFonts w:ascii="Times New Roman" w:eastAsia="Times New Roman" w:hAnsi="Times New Roman"/>
          <w:sz w:val="28"/>
          <w:szCs w:val="28"/>
          <w:lang w:eastAsia="ru-RU"/>
        </w:rPr>
        <w:lastRenderedPageBreak/>
        <w:t>раза чаще (7</w:t>
      </w:r>
      <w:r w:rsidR="002F559E" w:rsidRPr="009114DF">
        <w:rPr>
          <w:rFonts w:ascii="Times New Roman" w:eastAsia="Times New Roman" w:hAnsi="Times New Roman"/>
          <w:sz w:val="28"/>
          <w:szCs w:val="28"/>
          <w:lang w:eastAsia="ru-RU"/>
        </w:rPr>
        <w:t xml:space="preserve"> и 67% против 37%). </w:t>
      </w:r>
      <w:r w:rsidRPr="009114DF">
        <w:rPr>
          <w:rFonts w:ascii="Times New Roman" w:eastAsia="Times New Roman" w:hAnsi="Times New Roman"/>
          <w:sz w:val="28"/>
          <w:szCs w:val="28"/>
          <w:lang w:eastAsia="ru-RU"/>
        </w:rPr>
        <w:t xml:space="preserve">В исследовании </w:t>
      </w:r>
      <w:r w:rsidRPr="009114DF">
        <w:rPr>
          <w:rFonts w:ascii="Times New Roman" w:eastAsia="Times New Roman" w:hAnsi="Times New Roman"/>
          <w:sz w:val="28"/>
          <w:szCs w:val="28"/>
          <w:lang w:val="en" w:eastAsia="ru-RU"/>
        </w:rPr>
        <w:t>REFLEX</w:t>
      </w:r>
      <w:r w:rsidRPr="009114DF">
        <w:rPr>
          <w:rFonts w:ascii="Times New Roman" w:eastAsia="Times New Roman" w:hAnsi="Times New Roman"/>
          <w:sz w:val="28"/>
          <w:szCs w:val="28"/>
          <w:lang w:eastAsia="ru-RU"/>
        </w:rPr>
        <w:t xml:space="preserve"> РТМ продемонстрировал существенное преимущество над плацебо: через 6 месяцев наблюдения ответ по </w:t>
      </w:r>
      <w:r w:rsidRPr="009114DF">
        <w:rPr>
          <w:rFonts w:ascii="Times New Roman" w:eastAsia="Times New Roman" w:hAnsi="Times New Roman"/>
          <w:sz w:val="28"/>
          <w:szCs w:val="28"/>
          <w:lang w:val="en-US" w:eastAsia="ru-RU"/>
        </w:rPr>
        <w:t>ACR</w:t>
      </w:r>
      <w:r w:rsidRPr="009114DF">
        <w:rPr>
          <w:rFonts w:ascii="Times New Roman" w:eastAsia="Times New Roman" w:hAnsi="Times New Roman"/>
          <w:sz w:val="28"/>
          <w:szCs w:val="28"/>
          <w:lang w:eastAsia="ru-RU"/>
        </w:rPr>
        <w:t xml:space="preserve">50 составил 27 и 5% соответственно, по </w:t>
      </w:r>
      <w:r w:rsidRPr="009114DF">
        <w:rPr>
          <w:rFonts w:ascii="Times New Roman" w:eastAsia="Times New Roman" w:hAnsi="Times New Roman"/>
          <w:sz w:val="28"/>
          <w:szCs w:val="28"/>
          <w:lang w:val="en-US" w:eastAsia="ru-RU"/>
        </w:rPr>
        <w:t>ACR</w:t>
      </w:r>
      <w:r w:rsidRPr="009114DF">
        <w:rPr>
          <w:rFonts w:ascii="Times New Roman" w:eastAsia="Times New Roman" w:hAnsi="Times New Roman"/>
          <w:sz w:val="28"/>
          <w:szCs w:val="28"/>
          <w:lang w:eastAsia="ru-RU"/>
        </w:rPr>
        <w:t xml:space="preserve"> 70</w:t>
      </w:r>
      <w:r w:rsidR="00E66EA2"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 12 против 1%. В продленно</w:t>
      </w:r>
      <w:r w:rsidR="00637A12" w:rsidRPr="009114DF">
        <w:rPr>
          <w:rFonts w:ascii="Times New Roman" w:eastAsia="Times New Roman" w:hAnsi="Times New Roman"/>
          <w:sz w:val="28"/>
          <w:szCs w:val="28"/>
          <w:lang w:eastAsia="ru-RU"/>
        </w:rPr>
        <w:t>й открытой фазе исследований [</w:t>
      </w:r>
      <w:r w:rsidR="006D17D9" w:rsidRPr="009114DF">
        <w:rPr>
          <w:rFonts w:ascii="Times New Roman" w:eastAsia="Times New Roman" w:hAnsi="Times New Roman"/>
          <w:sz w:val="28"/>
          <w:szCs w:val="28"/>
          <w:lang w:eastAsia="ru-RU"/>
        </w:rPr>
        <w:t>106</w:t>
      </w:r>
      <w:r w:rsidRPr="009114DF">
        <w:rPr>
          <w:rFonts w:ascii="Times New Roman" w:eastAsia="Times New Roman" w:hAnsi="Times New Roman"/>
          <w:sz w:val="28"/>
          <w:szCs w:val="28"/>
          <w:lang w:eastAsia="ru-RU"/>
        </w:rPr>
        <w:t xml:space="preserve">] </w:t>
      </w:r>
      <w:r w:rsidR="007D5172" w:rsidRPr="009114DF">
        <w:rPr>
          <w:rFonts w:ascii="Times New Roman" w:eastAsia="Times New Roman" w:hAnsi="Times New Roman"/>
          <w:sz w:val="28"/>
          <w:szCs w:val="28"/>
          <w:lang w:eastAsia="ru-RU"/>
        </w:rPr>
        <w:t>б</w:t>
      </w:r>
      <w:r w:rsidRPr="009114DF">
        <w:rPr>
          <w:rFonts w:ascii="Times New Roman" w:eastAsia="Times New Roman" w:hAnsi="Times New Roman"/>
          <w:sz w:val="28"/>
          <w:szCs w:val="28"/>
          <w:lang w:eastAsia="ru-RU"/>
        </w:rPr>
        <w:t>ыло показано повышение числа пациентов с хорошим ответом на фоне длительной терапии РТМ.</w:t>
      </w:r>
      <w:r w:rsidR="002F559E" w:rsidRPr="009114DF">
        <w:rPr>
          <w:rFonts w:ascii="Times New Roman" w:eastAsia="Times New Roman" w:hAnsi="Times New Roman"/>
          <w:sz w:val="28"/>
          <w:szCs w:val="28"/>
          <w:lang w:eastAsia="ru-RU"/>
        </w:rPr>
        <w:t xml:space="preserve"> </w:t>
      </w:r>
    </w:p>
    <w:p w:rsidR="009A0123" w:rsidRPr="009114DF" w:rsidRDefault="009A0123" w:rsidP="00F71B34">
      <w:pPr>
        <w:autoSpaceDE w:val="0"/>
        <w:autoSpaceDN w:val="0"/>
        <w:adjustRightInd w:val="0"/>
        <w:spacing w:after="0" w:line="360" w:lineRule="auto"/>
        <w:ind w:firstLine="708"/>
        <w:jc w:val="both"/>
        <w:rPr>
          <w:rFonts w:ascii="Times New Roman" w:eastAsia="Times-Roman" w:hAnsi="Times New Roman"/>
          <w:sz w:val="28"/>
          <w:szCs w:val="28"/>
        </w:rPr>
      </w:pPr>
      <w:r w:rsidRPr="009114DF">
        <w:rPr>
          <w:rFonts w:ascii="Times New Roman" w:eastAsia="Times New Roman" w:hAnsi="Times New Roman"/>
          <w:sz w:val="28"/>
          <w:szCs w:val="28"/>
          <w:lang w:eastAsia="ru-RU"/>
        </w:rPr>
        <w:t>В настоящей работе для оценки динамики клинико-лабораторной эффективности проводимой терапии все больные РА были обследованы в различные периоды наблюдения: исходно, на первом году – через 16,</w:t>
      </w:r>
      <w:r w:rsidR="00E66EA2"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eastAsia="ru-RU"/>
        </w:rPr>
        <w:t>24 недели терапии, что совпадало с графиком наблюдения после инфузии РТМ, затем каждые 12 месяцев. Максимальная длительность наблюдения состав</w:t>
      </w:r>
      <w:r w:rsidR="00D65EE0" w:rsidRPr="009114DF">
        <w:rPr>
          <w:rFonts w:ascii="Times New Roman" w:eastAsia="Times New Roman" w:hAnsi="Times New Roman"/>
          <w:sz w:val="28"/>
          <w:szCs w:val="28"/>
          <w:lang w:eastAsia="ru-RU"/>
        </w:rPr>
        <w:t>ила</w:t>
      </w:r>
      <w:r w:rsidRPr="009114DF">
        <w:rPr>
          <w:rFonts w:ascii="Times New Roman" w:eastAsia="Times New Roman" w:hAnsi="Times New Roman"/>
          <w:sz w:val="28"/>
          <w:szCs w:val="28"/>
          <w:lang w:eastAsia="ru-RU"/>
        </w:rPr>
        <w:t xml:space="preserve"> 4</w:t>
      </w:r>
      <w:r w:rsidR="002F559E" w:rsidRPr="009114DF">
        <w:rPr>
          <w:rFonts w:ascii="Times New Roman" w:eastAsia="Times New Roman" w:hAnsi="Times New Roman"/>
          <w:sz w:val="28"/>
          <w:szCs w:val="28"/>
          <w:lang w:eastAsia="ru-RU"/>
        </w:rPr>
        <w:t>8 месяцев</w:t>
      </w:r>
      <w:r w:rsidRPr="009114DF">
        <w:rPr>
          <w:rFonts w:ascii="Times New Roman" w:eastAsia="Times New Roman" w:hAnsi="Times New Roman"/>
          <w:sz w:val="28"/>
          <w:szCs w:val="28"/>
          <w:lang w:eastAsia="ru-RU"/>
        </w:rPr>
        <w:t xml:space="preserve">. Пациентам проводился подсчет количества болезненных и припухших суставов, определение СОЭ и оценка активности заболевания пациентом </w:t>
      </w:r>
      <w:proofErr w:type="gramStart"/>
      <w:r w:rsidRPr="009114DF">
        <w:rPr>
          <w:rFonts w:ascii="Times New Roman" w:eastAsia="Times New Roman" w:hAnsi="Times New Roman"/>
          <w:sz w:val="28"/>
          <w:szCs w:val="28"/>
          <w:lang w:eastAsia="ru-RU"/>
        </w:rPr>
        <w:t>по</w:t>
      </w:r>
      <w:proofErr w:type="gramEnd"/>
      <w:r w:rsidRPr="009114DF">
        <w:rPr>
          <w:rFonts w:ascii="Times New Roman" w:eastAsia="Times New Roman" w:hAnsi="Times New Roman"/>
          <w:sz w:val="28"/>
          <w:szCs w:val="28"/>
          <w:lang w:eastAsia="ru-RU"/>
        </w:rPr>
        <w:t xml:space="preserve"> ВАШ.</w:t>
      </w:r>
      <w:r w:rsidRPr="009114DF">
        <w:rPr>
          <w:rFonts w:ascii="Times New Roman" w:eastAsia="Times-Roman" w:hAnsi="Times New Roman"/>
          <w:sz w:val="28"/>
          <w:szCs w:val="28"/>
        </w:rPr>
        <w:t xml:space="preserve">  Для оценки эффективности проводимого лечения использовался инде</w:t>
      </w:r>
      <w:r w:rsidR="002F559E" w:rsidRPr="009114DF">
        <w:rPr>
          <w:rFonts w:ascii="Times New Roman" w:eastAsia="Times-Roman" w:hAnsi="Times New Roman"/>
          <w:sz w:val="28"/>
          <w:szCs w:val="28"/>
        </w:rPr>
        <w:t>кс DAS28, рекомендованный EULAR.</w:t>
      </w:r>
    </w:p>
    <w:p w:rsidR="00F156C5"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Установлено, что у пациентов с монотерапией МТХ показатели эффективности терапии оставались относительно стабильными на п</w:t>
      </w:r>
      <w:r w:rsidR="00F156C5" w:rsidRPr="009114DF">
        <w:rPr>
          <w:rFonts w:ascii="Times New Roman" w:eastAsia="Times New Roman" w:hAnsi="Times New Roman"/>
          <w:sz w:val="28"/>
          <w:szCs w:val="28"/>
          <w:lang w:eastAsia="ru-RU"/>
        </w:rPr>
        <w:t>ротяжении 48 месяцев наблюдения.</w:t>
      </w:r>
    </w:p>
    <w:p w:rsidR="00F156C5"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 </w:t>
      </w:r>
      <w:r w:rsidR="00F156C5" w:rsidRPr="009114DF">
        <w:rPr>
          <w:rFonts w:ascii="Times New Roman" w:eastAsia="Times New Roman" w:hAnsi="Times New Roman"/>
          <w:sz w:val="28"/>
          <w:szCs w:val="28"/>
          <w:lang w:eastAsia="ru-RU"/>
        </w:rPr>
        <w:t xml:space="preserve">У пациентов, получавших комбинированную терапию РТМ и МТХ, </w:t>
      </w:r>
      <w:r w:rsidR="00D65EE0" w:rsidRPr="009114DF">
        <w:rPr>
          <w:rFonts w:ascii="Times New Roman" w:eastAsia="Times New Roman" w:hAnsi="Times New Roman"/>
          <w:sz w:val="28"/>
          <w:szCs w:val="28"/>
          <w:lang w:eastAsia="ru-RU"/>
        </w:rPr>
        <w:t>через 12 месяцев наблюдения количество болезненных суставов</w:t>
      </w:r>
      <w:r w:rsidR="00F156C5" w:rsidRPr="009114DF">
        <w:rPr>
          <w:rFonts w:ascii="Times New Roman" w:eastAsia="Times New Roman" w:hAnsi="Times New Roman"/>
          <w:sz w:val="28"/>
          <w:szCs w:val="28"/>
          <w:lang w:eastAsia="ru-RU"/>
        </w:rPr>
        <w:t xml:space="preserve"> уменьшилось и оставалось стабильным в интервале 12</w:t>
      </w:r>
      <w:r w:rsidR="00E66EA2" w:rsidRPr="009114DF">
        <w:rPr>
          <w:rFonts w:ascii="Times New Roman" w:eastAsia="Times New Roman" w:hAnsi="Times New Roman"/>
          <w:sz w:val="28"/>
          <w:szCs w:val="28"/>
          <w:lang w:eastAsia="ru-RU"/>
        </w:rPr>
        <w:t>–</w:t>
      </w:r>
      <w:r w:rsidR="00F156C5" w:rsidRPr="009114DF">
        <w:rPr>
          <w:rFonts w:ascii="Times New Roman" w:eastAsia="Times New Roman" w:hAnsi="Times New Roman"/>
          <w:sz w:val="28"/>
          <w:szCs w:val="28"/>
          <w:lang w:eastAsia="ru-RU"/>
        </w:rPr>
        <w:t>24 месяца терапии. Через 36 месяцев терапии количество болезненных суставов увеличилось и не достигало уровня статистической значимости относительно исходных показателей</w:t>
      </w:r>
      <w:r w:rsidR="00126786" w:rsidRPr="009114DF">
        <w:rPr>
          <w:rFonts w:ascii="Times New Roman" w:eastAsia="Times New Roman" w:hAnsi="Times New Roman"/>
          <w:sz w:val="28"/>
          <w:szCs w:val="28"/>
          <w:lang w:eastAsia="ru-RU"/>
        </w:rPr>
        <w:t>. В течение</w:t>
      </w:r>
      <w:r w:rsidR="00F156C5" w:rsidRPr="009114DF">
        <w:rPr>
          <w:rFonts w:ascii="Times New Roman" w:eastAsia="Times New Roman" w:hAnsi="Times New Roman"/>
          <w:sz w:val="28"/>
          <w:szCs w:val="28"/>
          <w:lang w:eastAsia="ru-RU"/>
        </w:rPr>
        <w:t xml:space="preserve"> последующих месяцев наблюдения данный показатель достоверно не изменился.</w:t>
      </w:r>
    </w:p>
    <w:p w:rsidR="00F156C5" w:rsidRPr="009114DF" w:rsidRDefault="00F156C5"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Число припухших суставов статистически значимо уменьшилось через 24 недели терапии, оставалось стабильным в промежутке 24 недели –</w:t>
      </w:r>
      <w:r w:rsidR="00E66EA2"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eastAsia="ru-RU"/>
        </w:rPr>
        <w:t>24 месяца, затем увеличилось к 36</w:t>
      </w:r>
      <w:r w:rsidR="00E66EA2" w:rsidRPr="009114DF">
        <w:rPr>
          <w:rFonts w:ascii="Times New Roman" w:eastAsia="Times New Roman" w:hAnsi="Times New Roman"/>
          <w:sz w:val="28"/>
          <w:szCs w:val="28"/>
          <w:lang w:eastAsia="ru-RU"/>
        </w:rPr>
        <w:t>-му</w:t>
      </w:r>
      <w:r w:rsidRPr="009114DF">
        <w:rPr>
          <w:rFonts w:ascii="Times New Roman" w:eastAsia="Times New Roman" w:hAnsi="Times New Roman"/>
          <w:sz w:val="28"/>
          <w:szCs w:val="28"/>
          <w:lang w:eastAsia="ru-RU"/>
        </w:rPr>
        <w:t xml:space="preserve"> месяцу терапии.</w:t>
      </w:r>
    </w:p>
    <w:p w:rsidR="00F156C5" w:rsidRPr="009114DF" w:rsidRDefault="00F156C5"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lastRenderedPageBreak/>
        <w:t>Аналогичная динамика отмечалась и для показателя СОЭ: уменьшение к 24</w:t>
      </w:r>
      <w:r w:rsidR="00E66EA2" w:rsidRPr="009114DF">
        <w:rPr>
          <w:rFonts w:ascii="Times New Roman" w:eastAsia="Times New Roman" w:hAnsi="Times New Roman"/>
          <w:sz w:val="28"/>
          <w:szCs w:val="28"/>
          <w:lang w:eastAsia="ru-RU"/>
        </w:rPr>
        <w:t>-й</w:t>
      </w:r>
      <w:r w:rsidRPr="009114DF">
        <w:rPr>
          <w:rFonts w:ascii="Times New Roman" w:eastAsia="Times New Roman" w:hAnsi="Times New Roman"/>
          <w:sz w:val="28"/>
          <w:szCs w:val="28"/>
          <w:lang w:eastAsia="ru-RU"/>
        </w:rPr>
        <w:t xml:space="preserve"> неделе лечения, стабилизация в интервале 24 недели</w:t>
      </w:r>
      <w:r w:rsidR="00E66EA2"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24 месяца терапии и увеличение к 36</w:t>
      </w:r>
      <w:r w:rsidR="00E66EA2" w:rsidRPr="009114DF">
        <w:rPr>
          <w:rFonts w:ascii="Times New Roman" w:eastAsia="Times New Roman" w:hAnsi="Times New Roman"/>
          <w:sz w:val="28"/>
          <w:szCs w:val="28"/>
          <w:lang w:eastAsia="ru-RU"/>
        </w:rPr>
        <w:t>-му</w:t>
      </w:r>
      <w:r w:rsidRPr="009114DF">
        <w:rPr>
          <w:rFonts w:ascii="Times New Roman" w:eastAsia="Times New Roman" w:hAnsi="Times New Roman"/>
          <w:sz w:val="28"/>
          <w:szCs w:val="28"/>
          <w:lang w:eastAsia="ru-RU"/>
        </w:rPr>
        <w:t xml:space="preserve"> месяцу лечения.</w:t>
      </w:r>
    </w:p>
    <w:p w:rsidR="00F156C5" w:rsidRPr="009114DF" w:rsidRDefault="00F156C5" w:rsidP="00F71B34">
      <w:pPr>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ab/>
      </w:r>
      <w:proofErr w:type="gramStart"/>
      <w:r w:rsidRPr="009114DF">
        <w:rPr>
          <w:rFonts w:ascii="Times New Roman" w:eastAsia="Times New Roman" w:hAnsi="Times New Roman"/>
          <w:sz w:val="28"/>
          <w:szCs w:val="28"/>
          <w:lang w:eastAsia="ru-RU"/>
        </w:rPr>
        <w:t>Общая оценка активности заболевания пациентом по ВАШ статистически значимо уменьшилась к 16</w:t>
      </w:r>
      <w:r w:rsidR="00E66EA2" w:rsidRPr="009114DF">
        <w:rPr>
          <w:rFonts w:ascii="Times New Roman" w:eastAsia="Times New Roman" w:hAnsi="Times New Roman"/>
          <w:sz w:val="28"/>
          <w:szCs w:val="28"/>
          <w:lang w:eastAsia="ru-RU"/>
        </w:rPr>
        <w:t>-й</w:t>
      </w:r>
      <w:r w:rsidRPr="009114DF">
        <w:rPr>
          <w:rFonts w:ascii="Times New Roman" w:eastAsia="Times New Roman" w:hAnsi="Times New Roman"/>
          <w:sz w:val="28"/>
          <w:szCs w:val="28"/>
          <w:lang w:eastAsia="ru-RU"/>
        </w:rPr>
        <w:t xml:space="preserve"> неделе лечения и оставалась достоверно ниже исходных данных на протяжении всего последующего периода наблюдения, несмотря на динамику объективных показателей активности РА.</w:t>
      </w:r>
      <w:proofErr w:type="gramEnd"/>
    </w:p>
    <w:p w:rsidR="009A0123" w:rsidRPr="009114DF" w:rsidRDefault="00F156C5"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Таким образом, </w:t>
      </w:r>
      <w:r w:rsidR="009A0123" w:rsidRPr="009114DF">
        <w:rPr>
          <w:rFonts w:ascii="Times New Roman" w:eastAsia="Times New Roman" w:hAnsi="Times New Roman"/>
          <w:sz w:val="28"/>
          <w:szCs w:val="28"/>
          <w:lang w:eastAsia="ru-RU"/>
        </w:rPr>
        <w:t>у пациентов, получавших РТМ, несмотря на значительную клинико-лабораторную эффективность терапии в течение</w:t>
      </w:r>
      <w:r w:rsidR="00E66EA2" w:rsidRPr="009114DF">
        <w:rPr>
          <w:rFonts w:ascii="Times New Roman" w:eastAsia="Times New Roman" w:hAnsi="Times New Roman"/>
          <w:sz w:val="28"/>
          <w:szCs w:val="28"/>
          <w:lang w:eastAsia="ru-RU"/>
        </w:rPr>
        <w:br/>
      </w:r>
      <w:r w:rsidR="009A0123" w:rsidRPr="009114DF">
        <w:rPr>
          <w:rFonts w:ascii="Times New Roman" w:eastAsia="Times New Roman" w:hAnsi="Times New Roman"/>
          <w:sz w:val="28"/>
          <w:szCs w:val="28"/>
          <w:lang w:eastAsia="ru-RU"/>
        </w:rPr>
        <w:t>24 месяцев наблюдения, с 36</w:t>
      </w:r>
      <w:r w:rsidR="00E66EA2" w:rsidRPr="009114DF">
        <w:rPr>
          <w:rFonts w:ascii="Times New Roman" w:eastAsia="Times New Roman" w:hAnsi="Times New Roman"/>
          <w:sz w:val="28"/>
          <w:szCs w:val="28"/>
          <w:lang w:eastAsia="ru-RU"/>
        </w:rPr>
        <w:t>-го</w:t>
      </w:r>
      <w:r w:rsidR="009A0123" w:rsidRPr="009114DF">
        <w:rPr>
          <w:rFonts w:ascii="Times New Roman" w:eastAsia="Times New Roman" w:hAnsi="Times New Roman"/>
          <w:sz w:val="28"/>
          <w:szCs w:val="28"/>
          <w:lang w:eastAsia="ru-RU"/>
        </w:rPr>
        <w:t xml:space="preserve"> месяца терапии отмечается некоторое противоречие между объективными данными обследования и субъективной оценкой пациентов проводимого лечения. Так, через 36 и 48 месяцев от начала лечения зарегистрировано увеличение количества болезненных и припухших суставов, а также показателя СОЭ, в то время как большинство пациентов при оценке активности заболевания по </w:t>
      </w:r>
      <w:proofErr w:type="gramStart"/>
      <w:r w:rsidR="009A0123" w:rsidRPr="009114DF">
        <w:rPr>
          <w:rFonts w:ascii="Times New Roman" w:eastAsia="Times New Roman" w:hAnsi="Times New Roman"/>
          <w:sz w:val="28"/>
          <w:szCs w:val="28"/>
          <w:lang w:eastAsia="ru-RU"/>
        </w:rPr>
        <w:t>ВАШ</w:t>
      </w:r>
      <w:proofErr w:type="gramEnd"/>
      <w:r w:rsidR="009A0123" w:rsidRPr="009114DF">
        <w:rPr>
          <w:rFonts w:ascii="Times New Roman" w:eastAsia="Times New Roman" w:hAnsi="Times New Roman"/>
          <w:sz w:val="28"/>
          <w:szCs w:val="28"/>
          <w:lang w:eastAsia="ru-RU"/>
        </w:rPr>
        <w:t xml:space="preserve"> не отмечали ухудшения состояния. </w:t>
      </w:r>
    </w:p>
    <w:p w:rsidR="009A0123"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Для оценки динамики МПК и Т-критерия в зависимости от эффективности проводимой терапии пациенты в каждой из групп были распределены в две подгруп</w:t>
      </w:r>
      <w:r w:rsidR="00D65EE0" w:rsidRPr="009114DF">
        <w:rPr>
          <w:rFonts w:ascii="Times New Roman" w:eastAsia="Times New Roman" w:hAnsi="Times New Roman"/>
          <w:sz w:val="28"/>
          <w:szCs w:val="28"/>
          <w:lang w:eastAsia="ru-RU"/>
        </w:rPr>
        <w:t>пы согласно</w:t>
      </w:r>
      <w:r w:rsidR="00934EE0" w:rsidRPr="009114DF">
        <w:rPr>
          <w:rFonts w:ascii="Times New Roman" w:eastAsia="Times New Roman" w:hAnsi="Times New Roman"/>
          <w:sz w:val="28"/>
          <w:szCs w:val="28"/>
          <w:lang w:eastAsia="ru-RU"/>
        </w:rPr>
        <w:t xml:space="preserve"> показателю </w:t>
      </w:r>
      <w:r w:rsidR="00D65EE0" w:rsidRPr="009114DF">
        <w:rPr>
          <w:rFonts w:ascii="Times New Roman" w:eastAsia="Times New Roman" w:hAnsi="Times New Roman"/>
          <w:sz w:val="28"/>
          <w:szCs w:val="28"/>
          <w:lang w:eastAsia="ru-RU"/>
        </w:rPr>
        <w:t>Δ</w:t>
      </w:r>
      <w:r w:rsidR="00E66EA2" w:rsidRPr="009114DF">
        <w:rPr>
          <w:rFonts w:ascii="Times New Roman" w:eastAsia="Times New Roman" w:hAnsi="Times New Roman"/>
          <w:sz w:val="28"/>
          <w:szCs w:val="28"/>
          <w:lang w:eastAsia="ru-RU"/>
        </w:rPr>
        <w:t xml:space="preserve"> </w:t>
      </w:r>
      <w:r w:rsidR="00D65EE0" w:rsidRPr="009114DF">
        <w:rPr>
          <w:rFonts w:ascii="Times New Roman" w:eastAsia="Times New Roman" w:hAnsi="Times New Roman"/>
          <w:sz w:val="28"/>
          <w:szCs w:val="28"/>
          <w:lang w:eastAsia="ru-RU"/>
        </w:rPr>
        <w:t xml:space="preserve">DAS28: </w:t>
      </w:r>
      <w:r w:rsidRPr="009114DF">
        <w:rPr>
          <w:rFonts w:ascii="Times New Roman" w:eastAsia="Times New Roman" w:hAnsi="Times New Roman"/>
          <w:sz w:val="28"/>
          <w:szCs w:val="28"/>
          <w:lang w:eastAsia="ru-RU"/>
        </w:rPr>
        <w:t>«ответчики»</w:t>
      </w:r>
      <w:r w:rsidR="00CD2EDC"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Δ</w:t>
      </w:r>
      <w:r w:rsidR="00E66EA2"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DAS28</w:t>
      </w:r>
      <w:r w:rsidR="00E66EA2"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≥1,2; «неответчики»</w:t>
      </w:r>
      <w:r w:rsidR="00CD2EDC"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Δ</w:t>
      </w:r>
      <w:r w:rsidR="00E66EA2"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DAS28</w:t>
      </w:r>
      <w:r w:rsidR="00E66EA2"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&lt;1,2.</w:t>
      </w:r>
    </w:p>
    <w:p w:rsidR="009A0123" w:rsidRPr="009114DF" w:rsidRDefault="009A0123" w:rsidP="00F71B34">
      <w:pPr>
        <w:spacing w:after="0" w:line="360" w:lineRule="auto"/>
        <w:ind w:firstLine="708"/>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При анализе полученных данных установлено, что у больных с комбинированной терапией РТМ и МТХ положительная динамика МПК и</w:t>
      </w:r>
      <w:r w:rsidR="00E66EA2"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eastAsia="ru-RU"/>
        </w:rPr>
        <w:t>Т-критерия шейки бедра в подгруппе «ответчиков» зарегистрирована уже к 12</w:t>
      </w:r>
      <w:r w:rsidR="00E66EA2" w:rsidRPr="009114DF">
        <w:rPr>
          <w:rFonts w:ascii="Times New Roman" w:eastAsia="Times New Roman" w:hAnsi="Times New Roman"/>
          <w:sz w:val="28"/>
          <w:szCs w:val="28"/>
          <w:lang w:eastAsia="ru-RU"/>
        </w:rPr>
        <w:t>-му</w:t>
      </w:r>
      <w:r w:rsidRPr="009114DF">
        <w:rPr>
          <w:rFonts w:ascii="Times New Roman" w:eastAsia="Times New Roman" w:hAnsi="Times New Roman"/>
          <w:sz w:val="28"/>
          <w:szCs w:val="28"/>
          <w:lang w:eastAsia="ru-RU"/>
        </w:rPr>
        <w:t xml:space="preserve"> месяцу наблюдения, тогда как в подгруппе «неответчиков»</w:t>
      </w:r>
      <w:r w:rsidR="00CD2EDC" w:rsidRPr="009114DF">
        <w:rPr>
          <w:rFonts w:ascii="Times New Roman" w:eastAsia="Times New Roman" w:hAnsi="Times New Roman"/>
          <w:sz w:val="28"/>
          <w:szCs w:val="28"/>
          <w:lang w:eastAsia="ru-RU"/>
        </w:rPr>
        <w:t xml:space="preserve"> – </w:t>
      </w:r>
      <w:r w:rsidRPr="009114DF">
        <w:rPr>
          <w:rFonts w:ascii="Times New Roman" w:eastAsia="Times New Roman" w:hAnsi="Times New Roman"/>
          <w:sz w:val="28"/>
          <w:szCs w:val="28"/>
          <w:lang w:eastAsia="ru-RU"/>
        </w:rPr>
        <w:t>лишь к</w:t>
      </w:r>
      <w:r w:rsidR="00E66EA2"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eastAsia="ru-RU"/>
        </w:rPr>
        <w:t>36</w:t>
      </w:r>
      <w:r w:rsidR="00E66EA2" w:rsidRPr="009114DF">
        <w:rPr>
          <w:rFonts w:ascii="Times New Roman" w:eastAsia="Times New Roman" w:hAnsi="Times New Roman"/>
          <w:sz w:val="28"/>
          <w:szCs w:val="28"/>
          <w:lang w:eastAsia="ru-RU"/>
        </w:rPr>
        <w:t>-му</w:t>
      </w:r>
      <w:r w:rsidRPr="009114DF">
        <w:rPr>
          <w:rFonts w:ascii="Times New Roman" w:eastAsia="Times New Roman" w:hAnsi="Times New Roman"/>
          <w:sz w:val="28"/>
          <w:szCs w:val="28"/>
          <w:lang w:eastAsia="ru-RU"/>
        </w:rPr>
        <w:t xml:space="preserve"> месяцу терапии. Данные результаты позволяют предположить, что для накопления положительного эффекта продолжительность терапии РТМ должна составлять не менее 36 месяцев.</w:t>
      </w:r>
    </w:p>
    <w:p w:rsidR="009A0123" w:rsidRPr="009114DF" w:rsidRDefault="009A0123" w:rsidP="00F71B34">
      <w:pPr>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 </w:t>
      </w:r>
      <w:r w:rsidRPr="009114DF">
        <w:rPr>
          <w:rFonts w:ascii="Times New Roman" w:eastAsia="Times New Roman" w:hAnsi="Times New Roman"/>
          <w:sz w:val="28"/>
          <w:szCs w:val="28"/>
          <w:lang w:eastAsia="ru-RU"/>
        </w:rPr>
        <w:tab/>
        <w:t xml:space="preserve">При анализе динамики МПК и Т-критерия поясничного отдела позвоночника установлено, что комбинированная терапия РТМ и МТХ не оказывает негативного влияния на денситометрические показатели как у </w:t>
      </w:r>
      <w:r w:rsidR="002D4081" w:rsidRPr="009114DF">
        <w:rPr>
          <w:rFonts w:ascii="Times New Roman" w:eastAsia="Times New Roman" w:hAnsi="Times New Roman"/>
          <w:sz w:val="28"/>
          <w:szCs w:val="28"/>
          <w:lang w:eastAsia="ru-RU"/>
        </w:rPr>
        <w:lastRenderedPageBreak/>
        <w:t>«ответчиков»</w:t>
      </w:r>
      <w:r w:rsidRPr="009114DF">
        <w:rPr>
          <w:rFonts w:ascii="Times New Roman" w:eastAsia="Times New Roman" w:hAnsi="Times New Roman"/>
          <w:sz w:val="28"/>
          <w:szCs w:val="28"/>
          <w:lang w:eastAsia="ru-RU"/>
        </w:rPr>
        <w:t>, так и «неответчиков». В группе больных с монотерапией МТХ у «неответчиков» зарегистрировано достоверное снижение МПК и</w:t>
      </w:r>
      <w:r w:rsidR="00E66EA2" w:rsidRPr="009114DF">
        <w:rPr>
          <w:rFonts w:ascii="Times New Roman" w:eastAsia="Times New Roman" w:hAnsi="Times New Roman"/>
          <w:sz w:val="28"/>
          <w:szCs w:val="28"/>
          <w:lang w:eastAsia="ru-RU"/>
        </w:rPr>
        <w:br/>
      </w:r>
      <w:r w:rsidRPr="009114DF">
        <w:rPr>
          <w:rFonts w:ascii="Times New Roman" w:eastAsia="Times New Roman" w:hAnsi="Times New Roman"/>
          <w:sz w:val="28"/>
          <w:szCs w:val="28"/>
          <w:lang w:eastAsia="ru-RU"/>
        </w:rPr>
        <w:t>Т-критерия в шейке бедра и поясничном отделе позвоночника, в то время как у «ответчиков» денситометрические показатели достоверно не изменились.</w:t>
      </w:r>
    </w:p>
    <w:p w:rsidR="009A0123" w:rsidRPr="009114DF" w:rsidRDefault="009A0123" w:rsidP="00F71B34">
      <w:pPr>
        <w:autoSpaceDE w:val="0"/>
        <w:autoSpaceDN w:val="0"/>
        <w:spacing w:after="0" w:line="360" w:lineRule="auto"/>
        <w:ind w:firstLine="708"/>
        <w:jc w:val="both"/>
        <w:rPr>
          <w:rFonts w:ascii="Times New Roman" w:hAnsi="Times New Roman"/>
          <w:kern w:val="2"/>
          <w:sz w:val="28"/>
          <w:szCs w:val="28"/>
          <w:lang w:eastAsia="ko-KR"/>
        </w:rPr>
      </w:pPr>
      <w:r w:rsidRPr="009114DF">
        <w:rPr>
          <w:rFonts w:ascii="Times New Roman" w:eastAsia="Times-Roman" w:hAnsi="Times New Roman"/>
          <w:sz w:val="28"/>
          <w:szCs w:val="28"/>
        </w:rPr>
        <w:t xml:space="preserve">Важным показателем эффективности терапии является оценка ее влияния на КЖ пациентов. У </w:t>
      </w:r>
      <w:r w:rsidRPr="009114DF">
        <w:rPr>
          <w:rFonts w:ascii="Times New Roman" w:hAnsi="Times New Roman"/>
          <w:kern w:val="2"/>
          <w:sz w:val="28"/>
          <w:szCs w:val="28"/>
          <w:lang w:eastAsia="ko-KR"/>
        </w:rPr>
        <w:t xml:space="preserve">больных РА на фоне терапии РТМ КЖ было оценено в нескольких больших многоцентровых, рандомизированных исследованиях. Оценка параметров КЖ в большинстве исследований проводилась по общему опроснику SF-36 и специфическому опроснику HAQ. Так, в исследование REFLEX было включено 520 больных РА с неэффективностью или </w:t>
      </w:r>
      <w:proofErr w:type="gramStart"/>
      <w:r w:rsidRPr="009114DF">
        <w:rPr>
          <w:rFonts w:ascii="Times New Roman" w:hAnsi="Times New Roman"/>
          <w:kern w:val="2"/>
          <w:sz w:val="28"/>
          <w:szCs w:val="28"/>
          <w:lang w:eastAsia="ko-KR"/>
        </w:rPr>
        <w:t>непереносимостью</w:t>
      </w:r>
      <w:proofErr w:type="gramEnd"/>
      <w:r w:rsidRPr="009114DF">
        <w:rPr>
          <w:rFonts w:ascii="Times New Roman" w:hAnsi="Times New Roman"/>
          <w:kern w:val="2"/>
          <w:sz w:val="28"/>
          <w:szCs w:val="28"/>
          <w:lang w:eastAsia="ko-KR"/>
        </w:rPr>
        <w:t xml:space="preserve"> по крайней мере одного ингибитора ФНО-</w:t>
      </w:r>
      <w:r w:rsidR="00E66EA2" w:rsidRPr="009114DF">
        <w:rPr>
          <w:rFonts w:ascii="Times New Roman" w:hAnsi="Times New Roman"/>
          <w:kern w:val="2"/>
          <w:sz w:val="28"/>
          <w:szCs w:val="28"/>
          <w:lang w:eastAsia="ko-KR"/>
        </w:rPr>
        <w:t>α</w:t>
      </w:r>
      <w:r w:rsidRPr="009114DF">
        <w:rPr>
          <w:rFonts w:ascii="Times New Roman" w:hAnsi="Times New Roman"/>
          <w:kern w:val="2"/>
          <w:sz w:val="28"/>
          <w:szCs w:val="28"/>
          <w:lang w:eastAsia="ko-KR"/>
        </w:rPr>
        <w:t xml:space="preserve"> [</w:t>
      </w:r>
      <w:r w:rsidR="00DB4CFA" w:rsidRPr="009114DF">
        <w:rPr>
          <w:rFonts w:ascii="Times New Roman" w:hAnsi="Times New Roman"/>
          <w:kern w:val="2"/>
          <w:sz w:val="28"/>
          <w:szCs w:val="28"/>
          <w:lang w:eastAsia="ko-KR"/>
        </w:rPr>
        <w:t>10</w:t>
      </w:r>
      <w:r w:rsidR="00DB2E0B" w:rsidRPr="009114DF">
        <w:rPr>
          <w:rFonts w:ascii="Times New Roman" w:hAnsi="Times New Roman"/>
          <w:kern w:val="2"/>
          <w:sz w:val="28"/>
          <w:szCs w:val="28"/>
          <w:lang w:eastAsia="ko-KR"/>
        </w:rPr>
        <w:t>,</w:t>
      </w:r>
      <w:r w:rsidR="00E66EA2" w:rsidRPr="009114DF">
        <w:rPr>
          <w:rFonts w:ascii="Times New Roman" w:hAnsi="Times New Roman"/>
          <w:kern w:val="2"/>
          <w:sz w:val="28"/>
          <w:szCs w:val="28"/>
          <w:lang w:eastAsia="ko-KR"/>
        </w:rPr>
        <w:t xml:space="preserve"> </w:t>
      </w:r>
      <w:r w:rsidR="006D17D9" w:rsidRPr="009114DF">
        <w:rPr>
          <w:rFonts w:ascii="Times New Roman" w:hAnsi="Times New Roman"/>
          <w:kern w:val="2"/>
          <w:sz w:val="28"/>
          <w:szCs w:val="28"/>
          <w:lang w:eastAsia="ko-KR"/>
        </w:rPr>
        <w:t>106</w:t>
      </w:r>
      <w:r w:rsidRPr="009114DF">
        <w:rPr>
          <w:rFonts w:ascii="Times New Roman" w:hAnsi="Times New Roman"/>
          <w:kern w:val="2"/>
          <w:sz w:val="28"/>
          <w:szCs w:val="28"/>
          <w:lang w:eastAsia="ko-KR"/>
        </w:rPr>
        <w:t xml:space="preserve">]. У значительного большинства больных наблюдалось улучшение параметров КЖ по </w:t>
      </w:r>
      <w:proofErr w:type="gramStart"/>
      <w:r w:rsidRPr="009114DF">
        <w:rPr>
          <w:rFonts w:ascii="Times New Roman" w:hAnsi="Times New Roman"/>
          <w:kern w:val="2"/>
          <w:sz w:val="28"/>
          <w:szCs w:val="28"/>
          <w:lang w:eastAsia="ko-KR"/>
        </w:rPr>
        <w:t>специфическому</w:t>
      </w:r>
      <w:proofErr w:type="gramEnd"/>
      <w:r w:rsidRPr="009114DF">
        <w:rPr>
          <w:rFonts w:ascii="Times New Roman" w:hAnsi="Times New Roman"/>
          <w:kern w:val="2"/>
          <w:sz w:val="28"/>
          <w:szCs w:val="28"/>
          <w:lang w:eastAsia="ko-KR"/>
        </w:rPr>
        <w:t xml:space="preserve"> опроснику HAQ и суммарным измерениям общего опросника SF-36, причем как по показателям суммарного физического, так и психологического здоровья. Получено существенное улучшение показателей КЖ по всем шкалам SF-36</w:t>
      </w:r>
      <w:r w:rsidR="00B14E16" w:rsidRPr="009114DF">
        <w:rPr>
          <w:rFonts w:ascii="Times New Roman" w:hAnsi="Times New Roman"/>
          <w:kern w:val="2"/>
          <w:sz w:val="28"/>
          <w:szCs w:val="28"/>
          <w:lang w:eastAsia="ko-KR"/>
        </w:rPr>
        <w:t xml:space="preserve"> </w:t>
      </w:r>
      <w:r w:rsidRPr="009114DF">
        <w:rPr>
          <w:rFonts w:ascii="Times New Roman" w:hAnsi="Times New Roman"/>
          <w:kern w:val="2"/>
          <w:sz w:val="28"/>
          <w:szCs w:val="28"/>
          <w:lang w:eastAsia="ko-KR"/>
        </w:rPr>
        <w:t xml:space="preserve">у больных РА в группе РТМ в отличие от группы плацебо, в которой достоверного улучшения КЖ не было выявлено. </w:t>
      </w:r>
    </w:p>
    <w:p w:rsidR="004229C9" w:rsidRPr="009114DF" w:rsidRDefault="00DB2E0B" w:rsidP="00F71B34">
      <w:pPr>
        <w:autoSpaceDE w:val="0"/>
        <w:autoSpaceDN w:val="0"/>
        <w:spacing w:after="0" w:line="360" w:lineRule="auto"/>
        <w:ind w:firstLine="708"/>
        <w:jc w:val="both"/>
        <w:rPr>
          <w:rFonts w:ascii="Times New Roman" w:hAnsi="Times New Roman"/>
          <w:kern w:val="2"/>
          <w:sz w:val="28"/>
          <w:szCs w:val="28"/>
          <w:lang w:eastAsia="ko-KR"/>
        </w:rPr>
      </w:pPr>
      <w:r w:rsidRPr="009114DF">
        <w:rPr>
          <w:rFonts w:ascii="Times New Roman" w:hAnsi="Times New Roman"/>
          <w:kern w:val="2"/>
          <w:sz w:val="28"/>
          <w:szCs w:val="28"/>
          <w:lang w:eastAsia="ko-KR"/>
        </w:rPr>
        <w:t>В исследовании DANCER [</w:t>
      </w:r>
      <w:r w:rsidR="00DB4CFA" w:rsidRPr="009114DF">
        <w:rPr>
          <w:rFonts w:ascii="Times New Roman" w:hAnsi="Times New Roman"/>
          <w:kern w:val="2"/>
          <w:sz w:val="28"/>
          <w:szCs w:val="28"/>
          <w:lang w:eastAsia="ko-KR"/>
        </w:rPr>
        <w:t>10</w:t>
      </w:r>
      <w:r w:rsidRPr="009114DF">
        <w:rPr>
          <w:rFonts w:ascii="Times New Roman" w:hAnsi="Times New Roman"/>
          <w:kern w:val="2"/>
          <w:sz w:val="28"/>
          <w:szCs w:val="28"/>
          <w:lang w:eastAsia="ko-KR"/>
        </w:rPr>
        <w:t>,</w:t>
      </w:r>
      <w:r w:rsidR="00E66EA2" w:rsidRPr="009114DF">
        <w:rPr>
          <w:rFonts w:ascii="Times New Roman" w:hAnsi="Times New Roman"/>
          <w:kern w:val="2"/>
          <w:sz w:val="28"/>
          <w:szCs w:val="28"/>
          <w:lang w:eastAsia="ko-KR"/>
        </w:rPr>
        <w:t xml:space="preserve"> </w:t>
      </w:r>
      <w:r w:rsidR="00A05647" w:rsidRPr="009114DF">
        <w:rPr>
          <w:rFonts w:ascii="Times New Roman" w:hAnsi="Times New Roman"/>
          <w:kern w:val="2"/>
          <w:sz w:val="28"/>
          <w:szCs w:val="28"/>
          <w:lang w:eastAsia="ko-KR"/>
        </w:rPr>
        <w:t>115</w:t>
      </w:r>
      <w:r w:rsidR="009A0123" w:rsidRPr="009114DF">
        <w:rPr>
          <w:rFonts w:ascii="Times New Roman" w:hAnsi="Times New Roman"/>
          <w:kern w:val="2"/>
          <w:sz w:val="28"/>
          <w:szCs w:val="28"/>
          <w:lang w:eastAsia="ko-KR"/>
        </w:rPr>
        <w:t xml:space="preserve">] была изучена взаимосвязь дозы РТМ (двух инъекции по 500 или 1000 мг) с клиническими показателями и показателями КЖ у 465 пациентов </w:t>
      </w:r>
      <w:r w:rsidR="00E66EA2" w:rsidRPr="009114DF">
        <w:rPr>
          <w:rFonts w:ascii="Times New Roman" w:hAnsi="Times New Roman"/>
          <w:kern w:val="2"/>
          <w:sz w:val="28"/>
          <w:szCs w:val="28"/>
          <w:lang w:eastAsia="ko-KR"/>
        </w:rPr>
        <w:t xml:space="preserve">с </w:t>
      </w:r>
      <w:r w:rsidR="009A0123" w:rsidRPr="009114DF">
        <w:rPr>
          <w:rFonts w:ascii="Times New Roman" w:hAnsi="Times New Roman"/>
          <w:kern w:val="2"/>
          <w:sz w:val="28"/>
          <w:szCs w:val="28"/>
          <w:lang w:eastAsia="ko-KR"/>
        </w:rPr>
        <w:t>РА. Установлено, что комбинированная терапия РТМ и МТХ была достоверно эффективнее монотерапии МТХ. Исходное значение HAQ у пациентов всех групп было сравнимо. Проведение повторных курсов терапии по эффективност</w:t>
      </w:r>
      <w:r w:rsidR="00DB14D8" w:rsidRPr="009114DF">
        <w:rPr>
          <w:rFonts w:ascii="Times New Roman" w:hAnsi="Times New Roman"/>
          <w:kern w:val="2"/>
          <w:sz w:val="28"/>
          <w:szCs w:val="28"/>
          <w:lang w:eastAsia="ko-KR"/>
        </w:rPr>
        <w:t>и не уступало первому введению.</w:t>
      </w:r>
    </w:p>
    <w:p w:rsidR="0066098E" w:rsidRPr="009114DF" w:rsidRDefault="009A0123" w:rsidP="004E3A47">
      <w:pPr>
        <w:autoSpaceDE w:val="0"/>
        <w:autoSpaceDN w:val="0"/>
        <w:spacing w:after="0" w:line="360" w:lineRule="auto"/>
        <w:ind w:firstLine="708"/>
        <w:jc w:val="both"/>
        <w:rPr>
          <w:rFonts w:ascii="Times New Roman" w:hAnsi="Times New Roman"/>
          <w:kern w:val="2"/>
          <w:sz w:val="28"/>
          <w:szCs w:val="28"/>
          <w:lang w:eastAsia="ko-KR"/>
        </w:rPr>
      </w:pPr>
      <w:r w:rsidRPr="009114DF">
        <w:rPr>
          <w:rFonts w:ascii="Times New Roman" w:hAnsi="Times New Roman"/>
          <w:bCs/>
          <w:kern w:val="2"/>
          <w:sz w:val="28"/>
          <w:szCs w:val="28"/>
          <w:lang w:eastAsia="ko-KR"/>
        </w:rPr>
        <w:t xml:space="preserve">В настоящем исследовании установлено, что на основании общего опросника </w:t>
      </w:r>
      <w:r w:rsidRPr="009114DF">
        <w:rPr>
          <w:rFonts w:ascii="Times New Roman" w:hAnsi="Times New Roman"/>
          <w:bCs/>
          <w:kern w:val="2"/>
          <w:sz w:val="28"/>
          <w:szCs w:val="28"/>
          <w:lang w:val="en-US" w:eastAsia="ko-KR"/>
        </w:rPr>
        <w:t>EQ</w:t>
      </w:r>
      <w:r w:rsidRPr="009114DF">
        <w:rPr>
          <w:rFonts w:ascii="Times New Roman" w:hAnsi="Times New Roman"/>
          <w:bCs/>
          <w:kern w:val="2"/>
          <w:sz w:val="28"/>
          <w:szCs w:val="28"/>
          <w:lang w:eastAsia="ko-KR"/>
        </w:rPr>
        <w:t>-5</w:t>
      </w:r>
      <w:r w:rsidRPr="009114DF">
        <w:rPr>
          <w:rFonts w:ascii="Times New Roman" w:hAnsi="Times New Roman"/>
          <w:bCs/>
          <w:kern w:val="2"/>
          <w:sz w:val="28"/>
          <w:szCs w:val="28"/>
          <w:lang w:val="en-US" w:eastAsia="ko-KR"/>
        </w:rPr>
        <w:t>D</w:t>
      </w:r>
      <w:r w:rsidRPr="009114DF">
        <w:rPr>
          <w:rFonts w:ascii="Times New Roman" w:hAnsi="Times New Roman"/>
          <w:bCs/>
          <w:kern w:val="2"/>
          <w:sz w:val="28"/>
          <w:szCs w:val="28"/>
          <w:lang w:eastAsia="ko-KR"/>
        </w:rPr>
        <w:t xml:space="preserve"> исходно проблемы со здоровьем отметили в той ил</w:t>
      </w:r>
      <w:r w:rsidR="004229C9" w:rsidRPr="009114DF">
        <w:rPr>
          <w:rFonts w:ascii="Times New Roman" w:hAnsi="Times New Roman"/>
          <w:bCs/>
          <w:kern w:val="2"/>
          <w:sz w:val="28"/>
          <w:szCs w:val="28"/>
          <w:lang w:eastAsia="ko-KR"/>
        </w:rPr>
        <w:t xml:space="preserve">и иной степени все больные РА. </w:t>
      </w:r>
      <w:r w:rsidRPr="009114DF">
        <w:rPr>
          <w:rFonts w:ascii="Times New Roman" w:hAnsi="Times New Roman"/>
          <w:bCs/>
          <w:kern w:val="2"/>
          <w:sz w:val="28"/>
          <w:szCs w:val="28"/>
          <w:lang w:eastAsia="ko-KR"/>
        </w:rPr>
        <w:t xml:space="preserve">Изменение индекса здоровья </w:t>
      </w:r>
      <w:r w:rsidRPr="009114DF">
        <w:rPr>
          <w:rFonts w:ascii="Times New Roman" w:hAnsi="Times New Roman"/>
          <w:bCs/>
          <w:kern w:val="2"/>
          <w:sz w:val="28"/>
          <w:szCs w:val="28"/>
          <w:lang w:val="en-US" w:eastAsia="ko-KR"/>
        </w:rPr>
        <w:t>EQ</w:t>
      </w:r>
      <w:r w:rsidRPr="009114DF">
        <w:rPr>
          <w:rFonts w:ascii="Times New Roman" w:hAnsi="Times New Roman"/>
          <w:bCs/>
          <w:kern w:val="2"/>
          <w:sz w:val="28"/>
          <w:szCs w:val="28"/>
          <w:lang w:eastAsia="ko-KR"/>
        </w:rPr>
        <w:t>-5</w:t>
      </w:r>
      <w:r w:rsidRPr="009114DF">
        <w:rPr>
          <w:rFonts w:ascii="Times New Roman" w:hAnsi="Times New Roman"/>
          <w:bCs/>
          <w:kern w:val="2"/>
          <w:sz w:val="28"/>
          <w:szCs w:val="28"/>
          <w:lang w:val="en-US" w:eastAsia="ko-KR"/>
        </w:rPr>
        <w:t>D</w:t>
      </w:r>
      <w:r w:rsidRPr="009114DF">
        <w:rPr>
          <w:rFonts w:ascii="Times New Roman" w:hAnsi="Times New Roman"/>
          <w:bCs/>
          <w:kern w:val="2"/>
          <w:sz w:val="28"/>
          <w:szCs w:val="28"/>
          <w:lang w:eastAsia="ko-KR"/>
        </w:rPr>
        <w:t xml:space="preserve"> на фоне комбинированной терапии </w:t>
      </w:r>
      <w:r w:rsidRPr="009114DF">
        <w:rPr>
          <w:rFonts w:ascii="Times New Roman" w:hAnsi="Times New Roman"/>
          <w:kern w:val="2"/>
          <w:sz w:val="28"/>
          <w:szCs w:val="28"/>
          <w:lang w:eastAsia="ko-KR"/>
        </w:rPr>
        <w:t>РТМ</w:t>
      </w:r>
      <w:r w:rsidRPr="009114DF">
        <w:rPr>
          <w:rFonts w:ascii="Times New Roman" w:hAnsi="Times New Roman"/>
          <w:bCs/>
          <w:kern w:val="2"/>
          <w:sz w:val="28"/>
          <w:szCs w:val="28"/>
          <w:lang w:eastAsia="ko-KR"/>
        </w:rPr>
        <w:t xml:space="preserve"> и МТХ соответствовало удовлетворительному терапевтическому эффекту, тогда как в группе больных с монотерапией МТХ – минимальному. </w:t>
      </w:r>
      <w:r w:rsidRPr="009114DF">
        <w:rPr>
          <w:rFonts w:ascii="Times New Roman" w:eastAsia="Times New Roman" w:hAnsi="Times New Roman"/>
          <w:bCs/>
          <w:sz w:val="28"/>
          <w:szCs w:val="28"/>
          <w:lang w:eastAsia="ru-RU"/>
        </w:rPr>
        <w:t xml:space="preserve">Получено статистически значимое уменьшение индекса </w:t>
      </w:r>
      <w:r w:rsidRPr="009114DF">
        <w:rPr>
          <w:rFonts w:ascii="Times New Roman" w:eastAsia="Times New Roman" w:hAnsi="Times New Roman"/>
          <w:bCs/>
          <w:sz w:val="28"/>
          <w:szCs w:val="28"/>
          <w:lang w:val="en-US" w:eastAsia="ru-RU"/>
        </w:rPr>
        <w:t>HAQ</w:t>
      </w:r>
      <w:r w:rsidRPr="009114DF">
        <w:rPr>
          <w:rFonts w:ascii="Times New Roman" w:eastAsia="Times New Roman" w:hAnsi="Times New Roman"/>
          <w:bCs/>
          <w:sz w:val="28"/>
          <w:szCs w:val="28"/>
          <w:lang w:eastAsia="ru-RU"/>
        </w:rPr>
        <w:t xml:space="preserve"> в  </w:t>
      </w:r>
      <w:r w:rsidRPr="009114DF">
        <w:rPr>
          <w:rFonts w:ascii="Times New Roman" w:eastAsia="Times New Roman" w:hAnsi="Times New Roman"/>
          <w:bCs/>
          <w:sz w:val="28"/>
          <w:szCs w:val="28"/>
          <w:lang w:eastAsia="ru-RU"/>
        </w:rPr>
        <w:lastRenderedPageBreak/>
        <w:t>группе больных, получавших РТМ, отн</w:t>
      </w:r>
      <w:r w:rsidR="004229C9" w:rsidRPr="009114DF">
        <w:rPr>
          <w:rFonts w:ascii="Times New Roman" w:eastAsia="Times New Roman" w:hAnsi="Times New Roman"/>
          <w:bCs/>
          <w:sz w:val="28"/>
          <w:szCs w:val="28"/>
          <w:lang w:eastAsia="ru-RU"/>
        </w:rPr>
        <w:t xml:space="preserve">осительно исходных показателей. </w:t>
      </w:r>
      <w:r w:rsidRPr="009114DF">
        <w:rPr>
          <w:rFonts w:ascii="Times New Roman" w:eastAsia="Times New Roman" w:hAnsi="Times New Roman"/>
          <w:bCs/>
          <w:sz w:val="28"/>
          <w:szCs w:val="28"/>
          <w:lang w:eastAsia="ru-RU"/>
        </w:rPr>
        <w:t xml:space="preserve">В группе больных, получавших монотерапию МТХ, статистического значимого изменения индекса </w:t>
      </w:r>
      <w:r w:rsidRPr="009114DF">
        <w:rPr>
          <w:rFonts w:ascii="Times New Roman" w:eastAsia="Times New Roman" w:hAnsi="Times New Roman"/>
          <w:bCs/>
          <w:sz w:val="28"/>
          <w:szCs w:val="28"/>
          <w:lang w:val="en-US" w:eastAsia="ru-RU"/>
        </w:rPr>
        <w:t>HAQ</w:t>
      </w:r>
      <w:r w:rsidRPr="009114DF">
        <w:rPr>
          <w:rFonts w:ascii="Times New Roman" w:eastAsia="Times New Roman" w:hAnsi="Times New Roman"/>
          <w:bCs/>
          <w:sz w:val="28"/>
          <w:szCs w:val="28"/>
          <w:lang w:eastAsia="ru-RU"/>
        </w:rPr>
        <w:t xml:space="preserve"> не зарегистрировано. ∆ HAQ в  группе больных, получавших </w:t>
      </w:r>
      <w:r w:rsidRPr="009114DF">
        <w:rPr>
          <w:rFonts w:ascii="Times New Roman" w:hAnsi="Times New Roman"/>
          <w:kern w:val="2"/>
          <w:sz w:val="28"/>
          <w:szCs w:val="28"/>
          <w:lang w:eastAsia="ko-KR"/>
        </w:rPr>
        <w:t>РТМ</w:t>
      </w:r>
      <w:r w:rsidR="007D5172" w:rsidRPr="009114DF">
        <w:rPr>
          <w:rFonts w:ascii="Times New Roman" w:eastAsia="Times New Roman" w:hAnsi="Times New Roman"/>
          <w:bCs/>
          <w:sz w:val="28"/>
          <w:szCs w:val="28"/>
          <w:lang w:eastAsia="ru-RU"/>
        </w:rPr>
        <w:t>, составила</w:t>
      </w:r>
      <w:r w:rsidRPr="009114DF">
        <w:rPr>
          <w:rFonts w:ascii="Times New Roman" w:eastAsia="Times New Roman" w:hAnsi="Times New Roman"/>
          <w:bCs/>
          <w:sz w:val="28"/>
          <w:szCs w:val="28"/>
          <w:lang w:eastAsia="ru-RU"/>
        </w:rPr>
        <w:t xml:space="preserve"> 0,38, что соответствовало минимальному клиническому эффекту, в то время как в группе пациентов с монотерапией МТ</w:t>
      </w:r>
      <w:r w:rsidR="00CB3D3F" w:rsidRPr="009114DF">
        <w:rPr>
          <w:rFonts w:ascii="Times New Roman" w:eastAsia="Times New Roman" w:hAnsi="Times New Roman"/>
          <w:bCs/>
          <w:sz w:val="28"/>
          <w:szCs w:val="28"/>
          <w:lang w:eastAsia="ru-RU"/>
        </w:rPr>
        <w:t>Х</w:t>
      </w:r>
      <w:r w:rsidRPr="009114DF">
        <w:rPr>
          <w:rFonts w:ascii="Times New Roman" w:eastAsia="Times New Roman" w:hAnsi="Times New Roman"/>
          <w:bCs/>
          <w:sz w:val="28"/>
          <w:szCs w:val="28"/>
          <w:lang w:eastAsia="ru-RU"/>
        </w:rPr>
        <w:t xml:space="preserve"> эффекта не отмечено.</w:t>
      </w:r>
      <w:r w:rsidR="004229C9" w:rsidRPr="009114DF">
        <w:rPr>
          <w:rFonts w:ascii="Times New Roman" w:hAnsi="Times New Roman"/>
          <w:bCs/>
          <w:kern w:val="2"/>
          <w:sz w:val="28"/>
          <w:szCs w:val="28"/>
          <w:lang w:eastAsia="ko-KR"/>
        </w:rPr>
        <w:t xml:space="preserve"> Таким образом, к</w:t>
      </w:r>
      <w:r w:rsidR="004229C9" w:rsidRPr="009114DF">
        <w:rPr>
          <w:rFonts w:ascii="Times New Roman" w:hAnsi="Times New Roman"/>
          <w:kern w:val="2"/>
          <w:sz w:val="28"/>
          <w:szCs w:val="28"/>
          <w:lang w:eastAsia="ko-KR"/>
        </w:rPr>
        <w:t>омбинированная терапия РТМ и МТХ была достоверно эффективнее монотерапии МТХ.</w:t>
      </w:r>
    </w:p>
    <w:p w:rsidR="00F02388" w:rsidRPr="009114DF" w:rsidRDefault="00F02388" w:rsidP="004E3A47">
      <w:pPr>
        <w:autoSpaceDE w:val="0"/>
        <w:autoSpaceDN w:val="0"/>
        <w:spacing w:after="0" w:line="360" w:lineRule="auto"/>
        <w:ind w:firstLine="708"/>
        <w:jc w:val="both"/>
        <w:rPr>
          <w:rFonts w:ascii="Times New Roman" w:hAnsi="Times New Roman"/>
          <w:kern w:val="2"/>
          <w:sz w:val="28"/>
          <w:szCs w:val="28"/>
          <w:lang w:eastAsia="ko-KR"/>
        </w:rPr>
      </w:pPr>
    </w:p>
    <w:p w:rsidR="00F02388" w:rsidRPr="009114DF" w:rsidRDefault="00F02388" w:rsidP="004E3A47">
      <w:pPr>
        <w:autoSpaceDE w:val="0"/>
        <w:autoSpaceDN w:val="0"/>
        <w:spacing w:after="0" w:line="360" w:lineRule="auto"/>
        <w:ind w:firstLine="708"/>
        <w:jc w:val="both"/>
        <w:rPr>
          <w:rFonts w:ascii="Times New Roman" w:hAnsi="Times New Roman"/>
          <w:kern w:val="2"/>
          <w:sz w:val="28"/>
          <w:szCs w:val="28"/>
          <w:lang w:eastAsia="ko-KR"/>
        </w:rPr>
      </w:pPr>
    </w:p>
    <w:p w:rsidR="00F02388" w:rsidRPr="009114DF" w:rsidRDefault="00F02388" w:rsidP="004E3A47">
      <w:pPr>
        <w:autoSpaceDE w:val="0"/>
        <w:autoSpaceDN w:val="0"/>
        <w:spacing w:after="0" w:line="360" w:lineRule="auto"/>
        <w:ind w:firstLine="708"/>
        <w:jc w:val="both"/>
        <w:rPr>
          <w:rFonts w:ascii="Times New Roman" w:hAnsi="Times New Roman"/>
          <w:bCs/>
          <w:kern w:val="2"/>
          <w:sz w:val="28"/>
          <w:szCs w:val="28"/>
          <w:lang w:eastAsia="ko-KR"/>
        </w:rPr>
      </w:pPr>
    </w:p>
    <w:p w:rsidR="00B14E16" w:rsidRPr="009114DF" w:rsidRDefault="00B14E16"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112E18" w:rsidRPr="009114DF" w:rsidRDefault="00112E18" w:rsidP="004E3A47">
      <w:pPr>
        <w:autoSpaceDE w:val="0"/>
        <w:autoSpaceDN w:val="0"/>
        <w:spacing w:after="0" w:line="360" w:lineRule="auto"/>
        <w:ind w:firstLine="708"/>
        <w:jc w:val="both"/>
        <w:rPr>
          <w:rFonts w:ascii="Times New Roman" w:hAnsi="Times New Roman"/>
          <w:bCs/>
          <w:kern w:val="2"/>
          <w:sz w:val="28"/>
          <w:szCs w:val="28"/>
          <w:lang w:eastAsia="ko-KR"/>
        </w:rPr>
      </w:pPr>
    </w:p>
    <w:p w:rsidR="00B14E16" w:rsidRPr="009114DF" w:rsidRDefault="00B14E16" w:rsidP="004E3A47">
      <w:pPr>
        <w:autoSpaceDE w:val="0"/>
        <w:autoSpaceDN w:val="0"/>
        <w:spacing w:after="0" w:line="360" w:lineRule="auto"/>
        <w:ind w:firstLine="708"/>
        <w:jc w:val="both"/>
        <w:rPr>
          <w:rFonts w:ascii="Times New Roman" w:hAnsi="Times New Roman"/>
          <w:bCs/>
          <w:kern w:val="2"/>
          <w:sz w:val="28"/>
          <w:szCs w:val="28"/>
          <w:lang w:eastAsia="ko-KR"/>
        </w:rPr>
      </w:pPr>
    </w:p>
    <w:p w:rsidR="00B14E16" w:rsidRPr="009114DF" w:rsidRDefault="00B14E16" w:rsidP="004E3A47">
      <w:pPr>
        <w:autoSpaceDE w:val="0"/>
        <w:autoSpaceDN w:val="0"/>
        <w:spacing w:after="0" w:line="360" w:lineRule="auto"/>
        <w:ind w:firstLine="708"/>
        <w:jc w:val="both"/>
        <w:rPr>
          <w:rFonts w:ascii="Times New Roman" w:hAnsi="Times New Roman"/>
          <w:bCs/>
          <w:kern w:val="2"/>
          <w:sz w:val="28"/>
          <w:szCs w:val="28"/>
          <w:lang w:eastAsia="ko-KR"/>
        </w:rPr>
      </w:pPr>
    </w:p>
    <w:p w:rsidR="00345F57" w:rsidRPr="009114DF" w:rsidRDefault="00345F57" w:rsidP="002230F3">
      <w:pPr>
        <w:spacing w:after="0" w:line="360" w:lineRule="auto"/>
        <w:jc w:val="center"/>
        <w:rPr>
          <w:rFonts w:ascii="Times New Roman" w:eastAsia="Times New Roman" w:hAnsi="Times New Roman"/>
          <w:b/>
          <w:spacing w:val="3"/>
          <w:sz w:val="28"/>
          <w:szCs w:val="28"/>
        </w:rPr>
      </w:pPr>
      <w:r w:rsidRPr="009114DF">
        <w:rPr>
          <w:rFonts w:ascii="Times New Roman" w:eastAsia="Times New Roman" w:hAnsi="Times New Roman"/>
          <w:b/>
          <w:spacing w:val="3"/>
          <w:sz w:val="28"/>
          <w:szCs w:val="28"/>
        </w:rPr>
        <w:lastRenderedPageBreak/>
        <w:t>ВЫВОДЫ</w:t>
      </w:r>
    </w:p>
    <w:p w:rsidR="002230F3" w:rsidRPr="009114DF" w:rsidRDefault="002230F3" w:rsidP="002230F3">
      <w:pPr>
        <w:spacing w:after="0" w:line="360" w:lineRule="auto"/>
        <w:jc w:val="center"/>
        <w:rPr>
          <w:rFonts w:ascii="Times New Roman" w:eastAsia="Times New Roman" w:hAnsi="Times New Roman"/>
          <w:b/>
          <w:spacing w:val="3"/>
          <w:sz w:val="28"/>
          <w:szCs w:val="28"/>
        </w:rPr>
      </w:pPr>
    </w:p>
    <w:p w:rsidR="002230F3" w:rsidRPr="009114DF" w:rsidRDefault="002230F3" w:rsidP="002230F3">
      <w:pPr>
        <w:spacing w:after="0" w:line="360" w:lineRule="auto"/>
        <w:jc w:val="center"/>
        <w:rPr>
          <w:rFonts w:ascii="Times New Roman" w:eastAsia="Times New Roman" w:hAnsi="Times New Roman"/>
          <w:b/>
          <w:spacing w:val="3"/>
          <w:sz w:val="28"/>
          <w:szCs w:val="28"/>
        </w:rPr>
      </w:pPr>
    </w:p>
    <w:p w:rsidR="002518A4" w:rsidRPr="009114DF" w:rsidRDefault="005358C3" w:rsidP="002230F3">
      <w:pPr>
        <w:numPr>
          <w:ilvl w:val="0"/>
          <w:numId w:val="20"/>
        </w:numPr>
        <w:spacing w:after="0" w:line="360" w:lineRule="auto"/>
        <w:jc w:val="both"/>
        <w:rPr>
          <w:rFonts w:ascii="Times New Roman" w:eastAsia="Times New Roman" w:hAnsi="Times New Roman"/>
          <w:spacing w:val="3"/>
          <w:sz w:val="28"/>
          <w:szCs w:val="28"/>
        </w:rPr>
      </w:pPr>
      <w:r w:rsidRPr="009114DF">
        <w:rPr>
          <w:rFonts w:ascii="Times New Roman" w:eastAsia="Times New Roman" w:hAnsi="Times New Roman"/>
          <w:spacing w:val="3"/>
          <w:sz w:val="28"/>
          <w:szCs w:val="28"/>
        </w:rPr>
        <w:t>На фоне комбинированной терапии ритуксимабом и метотрексатом у больных ревматоидным артритом, начиная с 36-го месяца лечения и до окончания наблюдения (48 месяцев) зарегистрирована п</w:t>
      </w:r>
      <w:r w:rsidR="00345F57" w:rsidRPr="009114DF">
        <w:rPr>
          <w:rFonts w:ascii="Times New Roman" w:eastAsia="Times New Roman" w:hAnsi="Times New Roman"/>
          <w:spacing w:val="3"/>
          <w:sz w:val="28"/>
          <w:szCs w:val="28"/>
        </w:rPr>
        <w:t xml:space="preserve">оложительная динамика </w:t>
      </w:r>
      <w:r w:rsidRPr="009114DF">
        <w:rPr>
          <w:rFonts w:ascii="Times New Roman" w:eastAsia="Times New Roman" w:hAnsi="Times New Roman"/>
          <w:spacing w:val="3"/>
          <w:sz w:val="28"/>
          <w:szCs w:val="28"/>
        </w:rPr>
        <w:t xml:space="preserve">минеральной плотности кости </w:t>
      </w:r>
      <w:r w:rsidR="00345F57" w:rsidRPr="009114DF">
        <w:rPr>
          <w:rFonts w:ascii="Times New Roman" w:eastAsia="Times New Roman" w:hAnsi="Times New Roman"/>
          <w:spacing w:val="3"/>
          <w:sz w:val="28"/>
          <w:szCs w:val="28"/>
        </w:rPr>
        <w:t>шейки бедра</w:t>
      </w:r>
      <w:r w:rsidRPr="009114DF">
        <w:rPr>
          <w:rFonts w:ascii="Times New Roman" w:eastAsia="Times New Roman" w:hAnsi="Times New Roman"/>
          <w:spacing w:val="3"/>
          <w:sz w:val="28"/>
          <w:szCs w:val="28"/>
        </w:rPr>
        <w:t xml:space="preserve"> (</w:t>
      </w:r>
      <w:proofErr w:type="gramStart"/>
      <w:r w:rsidRPr="009114DF">
        <w:rPr>
          <w:rFonts w:ascii="Times New Roman" w:eastAsia="Times New Roman" w:hAnsi="Times New Roman"/>
          <w:spacing w:val="3"/>
          <w:sz w:val="28"/>
          <w:szCs w:val="28"/>
        </w:rPr>
        <w:t>р</w:t>
      </w:r>
      <w:proofErr w:type="gramEnd"/>
      <w:r w:rsidRPr="009114DF">
        <w:rPr>
          <w:rFonts w:ascii="Times New Roman" w:eastAsia="Times New Roman" w:hAnsi="Times New Roman"/>
          <w:spacing w:val="3"/>
          <w:sz w:val="28"/>
          <w:szCs w:val="28"/>
        </w:rPr>
        <w:t xml:space="preserve">=0,0031 </w:t>
      </w:r>
      <w:r w:rsidR="00345F57" w:rsidRPr="009114DF">
        <w:rPr>
          <w:rFonts w:ascii="Times New Roman" w:eastAsia="Times New Roman" w:hAnsi="Times New Roman"/>
          <w:spacing w:val="3"/>
          <w:sz w:val="28"/>
          <w:szCs w:val="28"/>
        </w:rPr>
        <w:t>и</w:t>
      </w:r>
      <w:r w:rsidRPr="009114DF">
        <w:rPr>
          <w:rFonts w:ascii="Times New Roman" w:eastAsia="Times New Roman" w:hAnsi="Times New Roman"/>
          <w:spacing w:val="3"/>
          <w:sz w:val="28"/>
          <w:szCs w:val="28"/>
        </w:rPr>
        <w:t xml:space="preserve"> р=0,0027)</w:t>
      </w:r>
      <w:r w:rsidR="00F6644E" w:rsidRPr="009114DF">
        <w:rPr>
          <w:rFonts w:ascii="Times New Roman" w:eastAsia="Times New Roman" w:hAnsi="Times New Roman"/>
          <w:spacing w:val="3"/>
          <w:sz w:val="28"/>
          <w:szCs w:val="28"/>
        </w:rPr>
        <w:t>. В поясничном отделе позвоночника наблюдалась</w:t>
      </w:r>
      <w:r w:rsidR="00345F57" w:rsidRPr="009114DF">
        <w:rPr>
          <w:rFonts w:ascii="Times New Roman" w:eastAsia="Times New Roman" w:hAnsi="Times New Roman"/>
          <w:spacing w:val="3"/>
          <w:sz w:val="28"/>
          <w:szCs w:val="28"/>
        </w:rPr>
        <w:t xml:space="preserve"> стабилизация  д</w:t>
      </w:r>
      <w:r w:rsidR="00F6644E" w:rsidRPr="009114DF">
        <w:rPr>
          <w:rFonts w:ascii="Times New Roman" w:eastAsia="Times New Roman" w:hAnsi="Times New Roman"/>
          <w:spacing w:val="3"/>
          <w:sz w:val="28"/>
          <w:szCs w:val="28"/>
        </w:rPr>
        <w:t xml:space="preserve">енситометрических </w:t>
      </w:r>
      <w:r w:rsidR="00345F57" w:rsidRPr="009114DF">
        <w:rPr>
          <w:rFonts w:ascii="Times New Roman" w:eastAsia="Times New Roman" w:hAnsi="Times New Roman"/>
          <w:spacing w:val="3"/>
          <w:sz w:val="28"/>
          <w:szCs w:val="28"/>
        </w:rPr>
        <w:t>показателей</w:t>
      </w:r>
      <w:r w:rsidR="00F6644E" w:rsidRPr="009114DF">
        <w:rPr>
          <w:rFonts w:ascii="Times New Roman" w:eastAsia="Times New Roman" w:hAnsi="Times New Roman"/>
          <w:spacing w:val="3"/>
          <w:sz w:val="28"/>
          <w:szCs w:val="28"/>
        </w:rPr>
        <w:t>, что может свидетельствовать</w:t>
      </w:r>
      <w:r w:rsidR="002518A4" w:rsidRPr="009114DF">
        <w:rPr>
          <w:rFonts w:ascii="Times New Roman" w:eastAsia="Times New Roman" w:hAnsi="Times New Roman"/>
          <w:spacing w:val="3"/>
          <w:sz w:val="28"/>
          <w:szCs w:val="28"/>
        </w:rPr>
        <w:t xml:space="preserve"> о замедлении костной резорбции.</w:t>
      </w:r>
      <w:r w:rsidR="00345F57" w:rsidRPr="009114DF">
        <w:rPr>
          <w:rFonts w:ascii="Times New Roman" w:eastAsia="Times New Roman" w:hAnsi="Times New Roman"/>
          <w:spacing w:val="3"/>
          <w:sz w:val="28"/>
          <w:szCs w:val="28"/>
        </w:rPr>
        <w:t xml:space="preserve"> </w:t>
      </w:r>
    </w:p>
    <w:p w:rsidR="00345F57" w:rsidRPr="009114DF" w:rsidRDefault="00F6644E" w:rsidP="00345F57">
      <w:pPr>
        <w:numPr>
          <w:ilvl w:val="0"/>
          <w:numId w:val="20"/>
        </w:numPr>
        <w:spacing w:line="360" w:lineRule="auto"/>
        <w:jc w:val="both"/>
        <w:rPr>
          <w:rFonts w:ascii="Times New Roman" w:eastAsia="Times New Roman" w:hAnsi="Times New Roman"/>
          <w:spacing w:val="3"/>
          <w:sz w:val="28"/>
          <w:szCs w:val="28"/>
        </w:rPr>
      </w:pPr>
      <w:r w:rsidRPr="009114DF">
        <w:rPr>
          <w:rFonts w:ascii="Times New Roman" w:eastAsia="Times New Roman" w:hAnsi="Times New Roman"/>
          <w:spacing w:val="3"/>
          <w:sz w:val="28"/>
          <w:szCs w:val="28"/>
        </w:rPr>
        <w:t xml:space="preserve">Прогрессирование суставной деструкции и высокая исходная активность заболевания </w:t>
      </w:r>
      <w:r w:rsidR="00234B6E" w:rsidRPr="009114DF">
        <w:rPr>
          <w:rFonts w:ascii="Times New Roman" w:eastAsia="Times New Roman" w:hAnsi="Times New Roman"/>
          <w:spacing w:val="3"/>
          <w:sz w:val="28"/>
          <w:szCs w:val="28"/>
        </w:rPr>
        <w:t xml:space="preserve">сопровождаются </w:t>
      </w:r>
      <w:r w:rsidRPr="009114DF">
        <w:rPr>
          <w:rFonts w:ascii="Times New Roman" w:eastAsia="Times New Roman" w:hAnsi="Times New Roman"/>
          <w:spacing w:val="3"/>
          <w:sz w:val="28"/>
          <w:szCs w:val="28"/>
        </w:rPr>
        <w:t xml:space="preserve">снижением денситометрических </w:t>
      </w:r>
      <w:r w:rsidR="00345F57" w:rsidRPr="009114DF">
        <w:rPr>
          <w:rFonts w:ascii="Times New Roman" w:eastAsia="Times New Roman" w:hAnsi="Times New Roman"/>
          <w:spacing w:val="3"/>
          <w:sz w:val="28"/>
          <w:szCs w:val="28"/>
        </w:rPr>
        <w:t>показател</w:t>
      </w:r>
      <w:r w:rsidRPr="009114DF">
        <w:rPr>
          <w:rFonts w:ascii="Times New Roman" w:eastAsia="Times New Roman" w:hAnsi="Times New Roman"/>
          <w:spacing w:val="3"/>
          <w:sz w:val="28"/>
          <w:szCs w:val="28"/>
        </w:rPr>
        <w:t xml:space="preserve">ей </w:t>
      </w:r>
      <w:r w:rsidR="00345F57" w:rsidRPr="009114DF">
        <w:rPr>
          <w:rFonts w:ascii="Times New Roman" w:eastAsia="Times New Roman" w:hAnsi="Times New Roman"/>
          <w:spacing w:val="3"/>
          <w:sz w:val="28"/>
          <w:szCs w:val="28"/>
        </w:rPr>
        <w:t xml:space="preserve">шейки бедра у больных </w:t>
      </w:r>
      <w:r w:rsidR="008A1E93" w:rsidRPr="009114DF">
        <w:rPr>
          <w:rFonts w:ascii="Times New Roman" w:eastAsia="Times New Roman" w:hAnsi="Times New Roman"/>
          <w:spacing w:val="3"/>
          <w:sz w:val="28"/>
          <w:szCs w:val="28"/>
        </w:rPr>
        <w:t>ревматоидным артритом</w:t>
      </w:r>
      <w:r w:rsidRPr="009114DF">
        <w:rPr>
          <w:rFonts w:ascii="Times New Roman" w:eastAsia="Times New Roman" w:hAnsi="Times New Roman"/>
          <w:spacing w:val="3"/>
          <w:sz w:val="28"/>
          <w:szCs w:val="28"/>
        </w:rPr>
        <w:t>.</w:t>
      </w:r>
    </w:p>
    <w:p w:rsidR="00A470C4" w:rsidRPr="009114DF" w:rsidRDefault="00345F57" w:rsidP="00A470C4">
      <w:pPr>
        <w:numPr>
          <w:ilvl w:val="0"/>
          <w:numId w:val="20"/>
        </w:numPr>
        <w:spacing w:line="360" w:lineRule="auto"/>
        <w:jc w:val="both"/>
        <w:rPr>
          <w:rFonts w:ascii="Times New Roman" w:eastAsia="Times New Roman" w:hAnsi="Times New Roman"/>
          <w:spacing w:val="3"/>
          <w:sz w:val="28"/>
          <w:szCs w:val="28"/>
        </w:rPr>
      </w:pPr>
      <w:r w:rsidRPr="009114DF">
        <w:rPr>
          <w:rFonts w:ascii="Times New Roman" w:eastAsia="Times New Roman" w:hAnsi="Times New Roman"/>
          <w:sz w:val="28"/>
          <w:szCs w:val="28"/>
          <w:lang w:eastAsia="ru-RU"/>
        </w:rPr>
        <w:t xml:space="preserve">Комбинированная терапия </w:t>
      </w:r>
      <w:r w:rsidR="008A1E93" w:rsidRPr="009114DF">
        <w:rPr>
          <w:rFonts w:ascii="Times New Roman" w:eastAsia="Times New Roman" w:hAnsi="Times New Roman"/>
          <w:spacing w:val="3"/>
          <w:sz w:val="28"/>
          <w:szCs w:val="28"/>
        </w:rPr>
        <w:t>ритуксимабом и метотрексатом</w:t>
      </w:r>
      <w:r w:rsidRPr="009114DF">
        <w:rPr>
          <w:rFonts w:ascii="Times New Roman" w:eastAsia="Times New Roman" w:hAnsi="Times New Roman"/>
          <w:sz w:val="28"/>
          <w:szCs w:val="28"/>
          <w:lang w:eastAsia="ru-RU"/>
        </w:rPr>
        <w:t xml:space="preserve"> и монотерапия </w:t>
      </w:r>
      <w:r w:rsidR="007F6DE4" w:rsidRPr="009114DF">
        <w:rPr>
          <w:rFonts w:ascii="Times New Roman" w:eastAsia="Times New Roman" w:hAnsi="Times New Roman"/>
          <w:spacing w:val="3"/>
          <w:sz w:val="28"/>
          <w:szCs w:val="28"/>
        </w:rPr>
        <w:t>метотрексатом</w:t>
      </w:r>
      <w:r w:rsidRPr="009114DF">
        <w:rPr>
          <w:rFonts w:ascii="Times New Roman" w:eastAsia="Times New Roman" w:hAnsi="Times New Roman"/>
          <w:sz w:val="28"/>
          <w:szCs w:val="28"/>
          <w:lang w:eastAsia="ru-RU"/>
        </w:rPr>
        <w:t xml:space="preserve"> приводят к снижению активности заболевания по DAS28. </w:t>
      </w:r>
      <w:proofErr w:type="gramStart"/>
      <w:r w:rsidR="00A470C4" w:rsidRPr="009114DF">
        <w:rPr>
          <w:rFonts w:ascii="Times New Roman" w:eastAsia="Times New Roman" w:hAnsi="Times New Roman"/>
          <w:sz w:val="28"/>
          <w:szCs w:val="28"/>
          <w:lang w:eastAsia="ru-RU"/>
        </w:rPr>
        <w:t xml:space="preserve">Комбинированная терапия ритуксимабом и метотрексатом характеризуется хорошим клиническим ответом по критериям EULAR через 12 месяцев лечения у 38,6%,  через 24 месяца  – у 40,9%, через 36 месяцев – у 34,1%, через 48 месяцев – у 25,0% пациентов. </w:t>
      </w:r>
      <w:proofErr w:type="gramEnd"/>
    </w:p>
    <w:p w:rsidR="00334EFC" w:rsidRPr="009114DF" w:rsidRDefault="00F6644E" w:rsidP="00F71B34">
      <w:pPr>
        <w:pStyle w:val="ad"/>
        <w:numPr>
          <w:ilvl w:val="0"/>
          <w:numId w:val="20"/>
        </w:numPr>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У больных ревматоидным артритом с комбинированной терапией ритуксимабом и метотрексатом в подгруппе «ответчиков» п</w:t>
      </w:r>
      <w:r w:rsidR="00C26102" w:rsidRPr="009114DF">
        <w:rPr>
          <w:rFonts w:ascii="Times New Roman" w:eastAsia="Times New Roman" w:hAnsi="Times New Roman"/>
          <w:sz w:val="28"/>
          <w:szCs w:val="28"/>
          <w:lang w:eastAsia="ru-RU"/>
        </w:rPr>
        <w:t xml:space="preserve">оложительная динамика </w:t>
      </w:r>
      <w:r w:rsidRPr="009114DF">
        <w:rPr>
          <w:rFonts w:ascii="Times New Roman" w:eastAsia="Times New Roman" w:hAnsi="Times New Roman"/>
          <w:sz w:val="28"/>
          <w:szCs w:val="28"/>
          <w:lang w:eastAsia="ru-RU"/>
        </w:rPr>
        <w:t xml:space="preserve">минеральной плотности кости </w:t>
      </w:r>
      <w:r w:rsidR="00C26102" w:rsidRPr="009114DF">
        <w:rPr>
          <w:rFonts w:ascii="Times New Roman" w:eastAsia="Times New Roman" w:hAnsi="Times New Roman"/>
          <w:sz w:val="28"/>
          <w:szCs w:val="28"/>
          <w:lang w:eastAsia="ru-RU"/>
        </w:rPr>
        <w:t xml:space="preserve">шейки бедра зарегистрирована к 12-му месяцу наблюдения, тогда как в подгруппе «неответчиков» – к 36-му месяцу </w:t>
      </w:r>
      <w:r w:rsidRPr="009114DF">
        <w:rPr>
          <w:rFonts w:ascii="Times New Roman" w:eastAsia="Times New Roman" w:hAnsi="Times New Roman"/>
          <w:sz w:val="28"/>
          <w:szCs w:val="28"/>
          <w:lang w:eastAsia="ru-RU"/>
        </w:rPr>
        <w:t>лечения</w:t>
      </w:r>
      <w:r w:rsidR="00C26102" w:rsidRPr="009114DF">
        <w:rPr>
          <w:rFonts w:ascii="Times New Roman" w:eastAsia="Times New Roman" w:hAnsi="Times New Roman"/>
          <w:sz w:val="28"/>
          <w:szCs w:val="28"/>
          <w:lang w:eastAsia="ru-RU"/>
        </w:rPr>
        <w:t xml:space="preserve">. В группе больных с монотерапией МТХ </w:t>
      </w:r>
      <w:r w:rsidRPr="009114DF">
        <w:rPr>
          <w:rFonts w:ascii="Times New Roman" w:eastAsia="Times New Roman" w:hAnsi="Times New Roman"/>
          <w:sz w:val="28"/>
          <w:szCs w:val="28"/>
          <w:lang w:eastAsia="ru-RU"/>
        </w:rPr>
        <w:t xml:space="preserve">у «ответчиков» денситометрические показатели достоверно не изменились за 48 месяцев терапии, в то время как </w:t>
      </w:r>
      <w:r w:rsidR="00C26102" w:rsidRPr="009114DF">
        <w:rPr>
          <w:rFonts w:ascii="Times New Roman" w:eastAsia="Times New Roman" w:hAnsi="Times New Roman"/>
          <w:sz w:val="28"/>
          <w:szCs w:val="28"/>
          <w:lang w:eastAsia="ru-RU"/>
        </w:rPr>
        <w:t xml:space="preserve">у «неответчиков» зарегистрировано </w:t>
      </w:r>
      <w:r w:rsidRPr="009114DF">
        <w:rPr>
          <w:rFonts w:ascii="Times New Roman" w:eastAsia="Times New Roman" w:hAnsi="Times New Roman"/>
          <w:sz w:val="28"/>
          <w:szCs w:val="28"/>
          <w:lang w:eastAsia="ru-RU"/>
        </w:rPr>
        <w:t>статистически значимое</w:t>
      </w:r>
      <w:r w:rsidR="00C26102" w:rsidRPr="009114DF">
        <w:rPr>
          <w:rFonts w:ascii="Times New Roman" w:eastAsia="Times New Roman" w:hAnsi="Times New Roman"/>
          <w:sz w:val="28"/>
          <w:szCs w:val="28"/>
          <w:lang w:eastAsia="ru-RU"/>
        </w:rPr>
        <w:t xml:space="preserve"> снижение </w:t>
      </w:r>
      <w:r w:rsidRPr="009114DF">
        <w:rPr>
          <w:rFonts w:ascii="Times New Roman" w:eastAsia="Times New Roman" w:hAnsi="Times New Roman"/>
          <w:sz w:val="28"/>
          <w:szCs w:val="28"/>
          <w:lang w:eastAsia="ru-RU"/>
        </w:rPr>
        <w:t>минеральной плотности кости</w:t>
      </w:r>
      <w:r w:rsidR="00C26102" w:rsidRPr="009114DF">
        <w:rPr>
          <w:rFonts w:ascii="Times New Roman" w:eastAsia="Times New Roman" w:hAnsi="Times New Roman"/>
          <w:sz w:val="28"/>
          <w:szCs w:val="28"/>
          <w:lang w:eastAsia="ru-RU"/>
        </w:rPr>
        <w:t xml:space="preserve"> в шейке бедра и поясничном отделе позвоночника</w:t>
      </w:r>
      <w:r w:rsidRPr="009114DF">
        <w:rPr>
          <w:rFonts w:ascii="Times New Roman" w:eastAsia="Times New Roman" w:hAnsi="Times New Roman"/>
          <w:sz w:val="28"/>
          <w:szCs w:val="28"/>
          <w:lang w:eastAsia="ru-RU"/>
        </w:rPr>
        <w:t>.</w:t>
      </w:r>
    </w:p>
    <w:p w:rsidR="00CB3D3F" w:rsidRPr="009114DF" w:rsidRDefault="00CB3D3F" w:rsidP="002230F3">
      <w:pPr>
        <w:spacing w:after="0" w:line="360" w:lineRule="auto"/>
        <w:jc w:val="center"/>
        <w:rPr>
          <w:rFonts w:ascii="Times New Roman" w:eastAsia="Times New Roman" w:hAnsi="Times New Roman"/>
          <w:b/>
          <w:bCs/>
          <w:sz w:val="28"/>
          <w:szCs w:val="28"/>
          <w:lang w:eastAsia="ru-RU"/>
        </w:rPr>
      </w:pPr>
      <w:r w:rsidRPr="009114DF">
        <w:rPr>
          <w:rFonts w:ascii="Times New Roman" w:eastAsia="Times New Roman" w:hAnsi="Times New Roman"/>
          <w:b/>
          <w:bCs/>
          <w:sz w:val="28"/>
          <w:szCs w:val="28"/>
          <w:lang w:eastAsia="ru-RU"/>
        </w:rPr>
        <w:lastRenderedPageBreak/>
        <w:t>ПРАКТИЧЕСКИЕ РЕКОМЕНДАЦИИ</w:t>
      </w:r>
    </w:p>
    <w:p w:rsidR="002230F3" w:rsidRPr="009114DF" w:rsidRDefault="002230F3" w:rsidP="002230F3">
      <w:pPr>
        <w:spacing w:after="0" w:line="360" w:lineRule="auto"/>
        <w:jc w:val="center"/>
        <w:rPr>
          <w:rFonts w:ascii="Times New Roman" w:eastAsia="Times New Roman" w:hAnsi="Times New Roman"/>
          <w:b/>
          <w:bCs/>
          <w:sz w:val="28"/>
          <w:szCs w:val="28"/>
          <w:lang w:eastAsia="ru-RU"/>
        </w:rPr>
      </w:pPr>
    </w:p>
    <w:p w:rsidR="002230F3" w:rsidRPr="009114DF" w:rsidRDefault="002230F3" w:rsidP="002230F3">
      <w:pPr>
        <w:spacing w:after="0" w:line="360" w:lineRule="auto"/>
        <w:jc w:val="center"/>
        <w:rPr>
          <w:rFonts w:ascii="Times New Roman" w:eastAsia="Times New Roman" w:hAnsi="Times New Roman"/>
          <w:b/>
          <w:bCs/>
          <w:sz w:val="28"/>
          <w:szCs w:val="28"/>
          <w:lang w:eastAsia="ru-RU"/>
        </w:rPr>
      </w:pPr>
    </w:p>
    <w:p w:rsidR="00744B25" w:rsidRPr="009114DF" w:rsidRDefault="00744B25" w:rsidP="002230F3">
      <w:pPr>
        <w:pStyle w:val="ad"/>
        <w:numPr>
          <w:ilvl w:val="0"/>
          <w:numId w:val="19"/>
        </w:numPr>
        <w:spacing w:after="0"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Больным </w:t>
      </w:r>
      <w:r w:rsidR="007F6DE4" w:rsidRPr="009114DF">
        <w:rPr>
          <w:rFonts w:ascii="Times New Roman" w:eastAsia="Times New Roman" w:hAnsi="Times New Roman"/>
          <w:spacing w:val="3"/>
          <w:sz w:val="28"/>
          <w:szCs w:val="28"/>
        </w:rPr>
        <w:t>ревматоидным артритом</w:t>
      </w:r>
      <w:r w:rsidRPr="009114DF">
        <w:rPr>
          <w:rFonts w:ascii="Times New Roman" w:eastAsia="Times New Roman" w:hAnsi="Times New Roman"/>
          <w:sz w:val="28"/>
          <w:szCs w:val="28"/>
          <w:lang w:eastAsia="ru-RU"/>
        </w:rPr>
        <w:t xml:space="preserve"> с остеопеническим синдромом и высоким риском возникновения остеопоротических переломов показано назначение комбинированной терапии </w:t>
      </w:r>
      <w:r w:rsidR="007F6DE4" w:rsidRPr="009114DF">
        <w:rPr>
          <w:rFonts w:ascii="Times New Roman" w:eastAsia="Times New Roman" w:hAnsi="Times New Roman"/>
          <w:spacing w:val="3"/>
          <w:sz w:val="28"/>
          <w:szCs w:val="28"/>
        </w:rPr>
        <w:t xml:space="preserve">ритуксимабом и метотрексатом </w:t>
      </w:r>
      <w:r w:rsidR="002518A4" w:rsidRPr="009114DF">
        <w:rPr>
          <w:rFonts w:ascii="Times New Roman" w:eastAsia="Times New Roman" w:hAnsi="Times New Roman"/>
          <w:sz w:val="28"/>
          <w:szCs w:val="28"/>
          <w:lang w:eastAsia="ru-RU"/>
        </w:rPr>
        <w:t xml:space="preserve">как для лечения </w:t>
      </w:r>
      <w:r w:rsidR="007F6DE4" w:rsidRPr="009114DF">
        <w:rPr>
          <w:rFonts w:ascii="Times New Roman" w:eastAsia="Times New Roman" w:hAnsi="Times New Roman"/>
          <w:spacing w:val="3"/>
          <w:sz w:val="28"/>
          <w:szCs w:val="28"/>
        </w:rPr>
        <w:t>ревматоидного артрита</w:t>
      </w:r>
      <w:r w:rsidR="002518A4" w:rsidRPr="009114DF">
        <w:rPr>
          <w:rFonts w:ascii="Times New Roman" w:eastAsia="Times New Roman" w:hAnsi="Times New Roman"/>
          <w:sz w:val="28"/>
          <w:szCs w:val="28"/>
          <w:lang w:eastAsia="ru-RU"/>
        </w:rPr>
        <w:t xml:space="preserve">, так и </w:t>
      </w:r>
      <w:r w:rsidRPr="009114DF">
        <w:rPr>
          <w:rFonts w:ascii="Times New Roman" w:eastAsia="Times New Roman" w:hAnsi="Times New Roman"/>
          <w:sz w:val="28"/>
          <w:szCs w:val="28"/>
          <w:lang w:eastAsia="ru-RU"/>
        </w:rPr>
        <w:t xml:space="preserve"> для профилактики дальнейшего снижения минеральной плотности кости. </w:t>
      </w:r>
    </w:p>
    <w:p w:rsidR="00744B25" w:rsidRPr="009114DF" w:rsidRDefault="00744B25" w:rsidP="00744B25">
      <w:pPr>
        <w:pStyle w:val="ad"/>
        <w:numPr>
          <w:ilvl w:val="0"/>
          <w:numId w:val="19"/>
        </w:numPr>
        <w:spacing w:line="360" w:lineRule="auto"/>
        <w:jc w:val="both"/>
        <w:rPr>
          <w:rFonts w:ascii="Times New Roman" w:eastAsia="Times New Roman" w:hAnsi="Times New Roman"/>
          <w:sz w:val="28"/>
          <w:szCs w:val="28"/>
          <w:lang w:eastAsia="ru-RU"/>
        </w:rPr>
      </w:pPr>
      <w:r w:rsidRPr="009114DF">
        <w:rPr>
          <w:rFonts w:ascii="Times New Roman" w:eastAsia="Times New Roman" w:hAnsi="Times New Roman"/>
          <w:sz w:val="28"/>
          <w:szCs w:val="28"/>
          <w:lang w:eastAsia="ru-RU"/>
        </w:rPr>
        <w:t xml:space="preserve">Комбинированная терапия </w:t>
      </w:r>
      <w:r w:rsidR="007F6DE4" w:rsidRPr="009114DF">
        <w:rPr>
          <w:rFonts w:ascii="Times New Roman" w:eastAsia="Times New Roman" w:hAnsi="Times New Roman"/>
          <w:spacing w:val="3"/>
          <w:sz w:val="28"/>
          <w:szCs w:val="28"/>
        </w:rPr>
        <w:t xml:space="preserve">ритуксимабом и метотрексатом </w:t>
      </w:r>
      <w:r w:rsidRPr="009114DF">
        <w:rPr>
          <w:rFonts w:ascii="Times New Roman" w:eastAsia="Times New Roman" w:hAnsi="Times New Roman"/>
          <w:sz w:val="28"/>
          <w:szCs w:val="28"/>
          <w:lang w:eastAsia="ru-RU"/>
        </w:rPr>
        <w:t>высокоэффективна в течение 24 месяцев лечения. Рекомендован</w:t>
      </w:r>
      <w:r w:rsidR="00E66EA2" w:rsidRPr="009114DF">
        <w:rPr>
          <w:rFonts w:ascii="Times New Roman" w:eastAsia="Times New Roman" w:hAnsi="Times New Roman"/>
          <w:sz w:val="28"/>
          <w:szCs w:val="28"/>
          <w:lang w:eastAsia="ru-RU"/>
        </w:rPr>
        <w:t>о</w:t>
      </w:r>
      <w:r w:rsidRPr="009114DF">
        <w:rPr>
          <w:rFonts w:ascii="Times New Roman" w:eastAsia="Times New Roman" w:hAnsi="Times New Roman"/>
          <w:sz w:val="28"/>
          <w:szCs w:val="28"/>
          <w:lang w:eastAsia="ru-RU"/>
        </w:rPr>
        <w:t xml:space="preserve"> комплексное исследование клинико-лабораторных параметров через 24 месяца терапии </w:t>
      </w:r>
      <w:r w:rsidR="007F6DE4" w:rsidRPr="009114DF">
        <w:rPr>
          <w:rFonts w:ascii="Times New Roman" w:eastAsia="Times New Roman" w:hAnsi="Times New Roman"/>
          <w:spacing w:val="3"/>
          <w:sz w:val="28"/>
          <w:szCs w:val="28"/>
        </w:rPr>
        <w:t>ритуксимабом и метотрексатом</w:t>
      </w:r>
      <w:r w:rsidRPr="009114DF">
        <w:rPr>
          <w:rFonts w:ascii="Times New Roman" w:eastAsia="Times New Roman" w:hAnsi="Times New Roman"/>
          <w:sz w:val="28"/>
          <w:szCs w:val="28"/>
          <w:lang w:eastAsia="ru-RU"/>
        </w:rPr>
        <w:t xml:space="preserve"> для оценки эффективности проводимого лечения </w:t>
      </w:r>
      <w:r w:rsidR="00E66EA2" w:rsidRPr="009114DF">
        <w:rPr>
          <w:rFonts w:ascii="Times New Roman" w:eastAsia="Times New Roman" w:hAnsi="Times New Roman"/>
          <w:sz w:val="28"/>
          <w:szCs w:val="28"/>
          <w:lang w:eastAsia="ru-RU"/>
        </w:rPr>
        <w:t>и</w:t>
      </w:r>
      <w:r w:rsidRPr="009114DF">
        <w:rPr>
          <w:rFonts w:ascii="Times New Roman" w:eastAsia="Times New Roman" w:hAnsi="Times New Roman"/>
          <w:sz w:val="28"/>
          <w:szCs w:val="28"/>
          <w:lang w:eastAsia="ru-RU"/>
        </w:rPr>
        <w:t xml:space="preserve"> дальнейш</w:t>
      </w:r>
      <w:r w:rsidR="00E66EA2" w:rsidRPr="009114DF">
        <w:rPr>
          <w:rFonts w:ascii="Times New Roman" w:eastAsia="Times New Roman" w:hAnsi="Times New Roman"/>
          <w:sz w:val="28"/>
          <w:szCs w:val="28"/>
          <w:lang w:eastAsia="ru-RU"/>
        </w:rPr>
        <w:t>его</w:t>
      </w:r>
      <w:r w:rsidRPr="009114DF">
        <w:rPr>
          <w:rFonts w:ascii="Times New Roman" w:eastAsia="Times New Roman" w:hAnsi="Times New Roman"/>
          <w:sz w:val="28"/>
          <w:szCs w:val="28"/>
          <w:lang w:eastAsia="ru-RU"/>
        </w:rPr>
        <w:t xml:space="preserve">  персонифицированн</w:t>
      </w:r>
      <w:r w:rsidR="00E66EA2" w:rsidRPr="009114DF">
        <w:rPr>
          <w:rFonts w:ascii="Times New Roman" w:eastAsia="Times New Roman" w:hAnsi="Times New Roman"/>
          <w:sz w:val="28"/>
          <w:szCs w:val="28"/>
          <w:lang w:eastAsia="ru-RU"/>
        </w:rPr>
        <w:t>ого</w:t>
      </w:r>
      <w:r w:rsidRPr="009114DF">
        <w:rPr>
          <w:rFonts w:ascii="Times New Roman" w:eastAsia="Times New Roman" w:hAnsi="Times New Roman"/>
          <w:sz w:val="28"/>
          <w:szCs w:val="28"/>
          <w:lang w:eastAsia="ru-RU"/>
        </w:rPr>
        <w:t xml:space="preserve"> подход</w:t>
      </w:r>
      <w:r w:rsidR="00E66EA2" w:rsidRPr="009114DF">
        <w:rPr>
          <w:rFonts w:ascii="Times New Roman" w:eastAsia="Times New Roman" w:hAnsi="Times New Roman"/>
          <w:sz w:val="28"/>
          <w:szCs w:val="28"/>
          <w:lang w:eastAsia="ru-RU"/>
        </w:rPr>
        <w:t>а</w:t>
      </w:r>
      <w:r w:rsidRPr="009114DF">
        <w:rPr>
          <w:rFonts w:ascii="Times New Roman" w:eastAsia="Times New Roman" w:hAnsi="Times New Roman"/>
          <w:sz w:val="28"/>
          <w:szCs w:val="28"/>
          <w:lang w:eastAsia="ru-RU"/>
        </w:rPr>
        <w:t xml:space="preserve"> к выбору тактики ведения больных.</w:t>
      </w:r>
    </w:p>
    <w:p w:rsidR="00815B12" w:rsidRPr="009114DF" w:rsidRDefault="00815B12" w:rsidP="00F71B34">
      <w:pPr>
        <w:spacing w:after="0" w:line="360" w:lineRule="auto"/>
        <w:rPr>
          <w:rFonts w:ascii="Times New Roman" w:eastAsia="Times New Roman" w:hAnsi="Times New Roman"/>
          <w:sz w:val="28"/>
          <w:szCs w:val="28"/>
          <w:lang w:eastAsia="ru-RU"/>
        </w:rPr>
      </w:pPr>
    </w:p>
    <w:p w:rsidR="00CB3D3F" w:rsidRPr="009114DF" w:rsidRDefault="00CB3D3F" w:rsidP="00F71B34">
      <w:pPr>
        <w:spacing w:after="0" w:line="360" w:lineRule="auto"/>
        <w:jc w:val="center"/>
        <w:rPr>
          <w:rFonts w:ascii="Times New Roman" w:eastAsia="Times New Roman" w:hAnsi="Times New Roman"/>
          <w:b/>
          <w:sz w:val="28"/>
          <w:szCs w:val="28"/>
          <w:lang w:eastAsia="ru-RU"/>
        </w:rPr>
      </w:pPr>
    </w:p>
    <w:p w:rsidR="00CB3D3F" w:rsidRPr="009114DF" w:rsidRDefault="00CB3D3F" w:rsidP="00F71B34">
      <w:pPr>
        <w:spacing w:after="0" w:line="360" w:lineRule="auto"/>
        <w:jc w:val="center"/>
        <w:rPr>
          <w:rFonts w:ascii="Times New Roman" w:eastAsia="Times New Roman" w:hAnsi="Times New Roman"/>
          <w:b/>
          <w:sz w:val="28"/>
          <w:szCs w:val="28"/>
          <w:lang w:eastAsia="ru-RU"/>
        </w:rPr>
      </w:pPr>
    </w:p>
    <w:p w:rsidR="00CB3D3F" w:rsidRPr="009114DF" w:rsidRDefault="00CB3D3F" w:rsidP="00F71B34">
      <w:pPr>
        <w:spacing w:after="0" w:line="360" w:lineRule="auto"/>
        <w:jc w:val="center"/>
        <w:rPr>
          <w:rFonts w:ascii="Times New Roman" w:eastAsia="Times New Roman" w:hAnsi="Times New Roman"/>
          <w:b/>
          <w:sz w:val="28"/>
          <w:szCs w:val="28"/>
          <w:lang w:eastAsia="ru-RU"/>
        </w:rPr>
      </w:pPr>
    </w:p>
    <w:p w:rsidR="00CB3D3F" w:rsidRPr="009114DF" w:rsidRDefault="00CB3D3F" w:rsidP="00F71B34">
      <w:pPr>
        <w:spacing w:after="0" w:line="360" w:lineRule="auto"/>
        <w:jc w:val="center"/>
        <w:rPr>
          <w:rFonts w:ascii="Times New Roman" w:eastAsia="Times New Roman" w:hAnsi="Times New Roman"/>
          <w:b/>
          <w:sz w:val="28"/>
          <w:szCs w:val="28"/>
          <w:lang w:eastAsia="ru-RU"/>
        </w:rPr>
      </w:pPr>
    </w:p>
    <w:p w:rsidR="00CB3D3F" w:rsidRPr="009114DF" w:rsidRDefault="00CB3D3F" w:rsidP="00F71B34">
      <w:pPr>
        <w:spacing w:after="0" w:line="360" w:lineRule="auto"/>
        <w:jc w:val="center"/>
        <w:rPr>
          <w:rFonts w:ascii="Times New Roman" w:eastAsia="Times New Roman" w:hAnsi="Times New Roman"/>
          <w:b/>
          <w:sz w:val="28"/>
          <w:szCs w:val="28"/>
          <w:lang w:eastAsia="ru-RU"/>
        </w:rPr>
      </w:pPr>
    </w:p>
    <w:p w:rsidR="00CB3D3F" w:rsidRPr="009114DF" w:rsidRDefault="00CB3D3F" w:rsidP="00F71B34">
      <w:pPr>
        <w:spacing w:after="0" w:line="360" w:lineRule="auto"/>
        <w:jc w:val="center"/>
        <w:rPr>
          <w:rFonts w:ascii="Times New Roman" w:eastAsia="Times New Roman" w:hAnsi="Times New Roman"/>
          <w:b/>
          <w:sz w:val="28"/>
          <w:szCs w:val="28"/>
          <w:lang w:eastAsia="ru-RU"/>
        </w:rPr>
      </w:pPr>
    </w:p>
    <w:p w:rsidR="00CB3D3F" w:rsidRPr="009114DF" w:rsidRDefault="00CB3D3F" w:rsidP="00F71B34">
      <w:pPr>
        <w:spacing w:after="0" w:line="360" w:lineRule="auto"/>
        <w:jc w:val="center"/>
        <w:rPr>
          <w:rFonts w:ascii="Times New Roman" w:eastAsia="Times New Roman" w:hAnsi="Times New Roman"/>
          <w:b/>
          <w:sz w:val="28"/>
          <w:szCs w:val="28"/>
          <w:lang w:eastAsia="ru-RU"/>
        </w:rPr>
      </w:pPr>
    </w:p>
    <w:p w:rsidR="00CB3D3F" w:rsidRPr="009114DF" w:rsidRDefault="00CB3D3F" w:rsidP="00F71B34">
      <w:pPr>
        <w:spacing w:after="0" w:line="360" w:lineRule="auto"/>
        <w:jc w:val="center"/>
        <w:rPr>
          <w:rFonts w:ascii="Times New Roman" w:eastAsia="Times New Roman" w:hAnsi="Times New Roman"/>
          <w:b/>
          <w:sz w:val="28"/>
          <w:szCs w:val="28"/>
          <w:lang w:eastAsia="ru-RU"/>
        </w:rPr>
      </w:pPr>
    </w:p>
    <w:p w:rsidR="00CD2A0E" w:rsidRPr="009114DF" w:rsidRDefault="00CD2A0E" w:rsidP="00F71B34">
      <w:pPr>
        <w:spacing w:after="0" w:line="360" w:lineRule="auto"/>
        <w:jc w:val="center"/>
        <w:rPr>
          <w:rFonts w:ascii="Times New Roman" w:eastAsia="Times New Roman" w:hAnsi="Times New Roman"/>
          <w:b/>
          <w:sz w:val="28"/>
          <w:szCs w:val="28"/>
          <w:lang w:eastAsia="ru-RU"/>
        </w:rPr>
      </w:pPr>
    </w:p>
    <w:p w:rsidR="00CD2A0E" w:rsidRPr="009114DF" w:rsidRDefault="00CD2A0E" w:rsidP="00F71B34">
      <w:pPr>
        <w:spacing w:after="0" w:line="360" w:lineRule="auto"/>
        <w:jc w:val="center"/>
        <w:rPr>
          <w:rFonts w:ascii="Times New Roman" w:eastAsia="Times New Roman" w:hAnsi="Times New Roman"/>
          <w:b/>
          <w:sz w:val="28"/>
          <w:szCs w:val="28"/>
          <w:lang w:eastAsia="ru-RU"/>
        </w:rPr>
      </w:pPr>
    </w:p>
    <w:p w:rsidR="00CB3D3F" w:rsidRPr="009114DF" w:rsidRDefault="00CB3D3F" w:rsidP="00F71B34">
      <w:pPr>
        <w:spacing w:after="0" w:line="360" w:lineRule="auto"/>
        <w:jc w:val="center"/>
        <w:rPr>
          <w:rFonts w:ascii="Times New Roman" w:eastAsia="Times New Roman" w:hAnsi="Times New Roman"/>
          <w:b/>
          <w:sz w:val="28"/>
          <w:szCs w:val="28"/>
          <w:lang w:eastAsia="ru-RU"/>
        </w:rPr>
      </w:pPr>
    </w:p>
    <w:p w:rsidR="000F2858" w:rsidRPr="009114DF" w:rsidRDefault="000F2858" w:rsidP="00F71B34">
      <w:pPr>
        <w:spacing w:after="0" w:line="360" w:lineRule="auto"/>
        <w:jc w:val="center"/>
        <w:rPr>
          <w:rFonts w:ascii="Times New Roman" w:eastAsia="Times New Roman" w:hAnsi="Times New Roman"/>
          <w:b/>
          <w:sz w:val="28"/>
          <w:szCs w:val="28"/>
          <w:lang w:eastAsia="ru-RU"/>
        </w:rPr>
      </w:pPr>
    </w:p>
    <w:p w:rsidR="00112E18" w:rsidRPr="009114DF" w:rsidRDefault="00112E18" w:rsidP="00F71B34">
      <w:pPr>
        <w:spacing w:after="0" w:line="360" w:lineRule="auto"/>
        <w:jc w:val="center"/>
        <w:rPr>
          <w:rFonts w:ascii="Times New Roman" w:eastAsia="Times New Roman" w:hAnsi="Times New Roman"/>
          <w:b/>
          <w:sz w:val="28"/>
          <w:szCs w:val="28"/>
          <w:lang w:eastAsia="ru-RU"/>
        </w:rPr>
      </w:pPr>
    </w:p>
    <w:p w:rsidR="00431A62" w:rsidRPr="009114DF" w:rsidRDefault="00431A62" w:rsidP="00B14E16">
      <w:pPr>
        <w:spacing w:after="100" w:afterAutospacing="1" w:line="360" w:lineRule="auto"/>
        <w:contextualSpacing/>
        <w:rPr>
          <w:rFonts w:ascii="Times New Roman" w:eastAsia="Times New Roman" w:hAnsi="Times New Roman"/>
          <w:b/>
          <w:sz w:val="28"/>
          <w:szCs w:val="28"/>
          <w:lang w:eastAsia="ru-RU"/>
        </w:rPr>
      </w:pPr>
    </w:p>
    <w:p w:rsidR="002230F3" w:rsidRPr="009114DF" w:rsidRDefault="006D17D9" w:rsidP="007A6382">
      <w:pPr>
        <w:spacing w:after="100" w:afterAutospacing="1" w:line="360" w:lineRule="auto"/>
        <w:contextualSpacing/>
        <w:jc w:val="center"/>
        <w:rPr>
          <w:rFonts w:ascii="Times New Roman" w:hAnsi="Times New Roman"/>
          <w:b/>
          <w:sz w:val="28"/>
          <w:szCs w:val="28"/>
        </w:rPr>
      </w:pPr>
      <w:r w:rsidRPr="009114DF">
        <w:rPr>
          <w:rFonts w:ascii="Times New Roman" w:hAnsi="Times New Roman"/>
          <w:b/>
          <w:sz w:val="28"/>
          <w:szCs w:val="28"/>
        </w:rPr>
        <w:lastRenderedPageBreak/>
        <w:t>БИБЛИОГРАФИЧЕСКИЙ СПИСОК</w:t>
      </w:r>
    </w:p>
    <w:p w:rsidR="002230F3" w:rsidRPr="009114DF" w:rsidRDefault="002230F3" w:rsidP="007A6382">
      <w:pPr>
        <w:spacing w:after="100" w:afterAutospacing="1" w:line="360" w:lineRule="auto"/>
        <w:contextualSpacing/>
        <w:jc w:val="center"/>
        <w:rPr>
          <w:rFonts w:ascii="Times New Roman" w:hAnsi="Times New Roman"/>
          <w:b/>
          <w:sz w:val="28"/>
          <w:szCs w:val="28"/>
        </w:rPr>
      </w:pPr>
    </w:p>
    <w:p w:rsidR="006D17D9" w:rsidRPr="009114DF" w:rsidRDefault="006D17D9" w:rsidP="006D17D9"/>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Александрова, Е. Н.</w:t>
      </w:r>
      <w:r w:rsidRPr="009114DF">
        <w:rPr>
          <w:rFonts w:ascii="Times New Roman" w:hAnsi="Times New Roman"/>
          <w:bCs/>
          <w:sz w:val="28"/>
          <w:szCs w:val="28"/>
        </w:rPr>
        <w:t xml:space="preserve">  Роль лабораторных биомаркеров в мониторинге и прогнозировании эффективности терапии ревматических заболеваний генно-инженерными биологическими препаратами / Е. Н. Александрова, </w:t>
      </w:r>
      <w:r w:rsidR="00D96EA7" w:rsidRPr="002043FE">
        <w:rPr>
          <w:rFonts w:ascii="Times New Roman" w:hAnsi="Times New Roman"/>
          <w:bCs/>
          <w:sz w:val="28"/>
          <w:szCs w:val="28"/>
        </w:rPr>
        <w:t xml:space="preserve">    </w:t>
      </w:r>
      <w:r w:rsidRPr="009114DF">
        <w:rPr>
          <w:rFonts w:ascii="Times New Roman" w:hAnsi="Times New Roman"/>
          <w:bCs/>
          <w:sz w:val="28"/>
          <w:szCs w:val="28"/>
        </w:rPr>
        <w:t xml:space="preserve">А. А. Новиков, Е. Л. Насонов // Современная ревматология. – 2014. – № 5. – </w:t>
      </w:r>
      <w:r w:rsidR="00D96EA7" w:rsidRPr="00D96EA7">
        <w:rPr>
          <w:rFonts w:ascii="Times New Roman" w:hAnsi="Times New Roman"/>
          <w:bCs/>
          <w:sz w:val="28"/>
          <w:szCs w:val="28"/>
        </w:rPr>
        <w:t xml:space="preserve">   </w:t>
      </w:r>
      <w:r w:rsidRPr="009114DF">
        <w:rPr>
          <w:rFonts w:ascii="Times New Roman" w:hAnsi="Times New Roman"/>
          <w:bCs/>
          <w:sz w:val="28"/>
          <w:szCs w:val="28"/>
        </w:rPr>
        <w:t xml:space="preserve">С. 13.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Амирдж</w:t>
      </w:r>
      <w:proofErr w:type="gramStart"/>
      <w:r w:rsidRPr="009114DF">
        <w:rPr>
          <w:rFonts w:ascii="Times New Roman" w:hAnsi="Times New Roman"/>
          <w:i/>
          <w:sz w:val="28"/>
          <w:szCs w:val="28"/>
          <w:lang w:val="en-US"/>
        </w:rPr>
        <w:t>a</w:t>
      </w:r>
      <w:proofErr w:type="gramEnd"/>
      <w:r w:rsidRPr="009114DF">
        <w:rPr>
          <w:rFonts w:ascii="Times New Roman" w:hAnsi="Times New Roman"/>
          <w:i/>
          <w:sz w:val="28"/>
          <w:szCs w:val="28"/>
        </w:rPr>
        <w:t>нова,  В. Н.</w:t>
      </w:r>
      <w:r w:rsidRPr="009114DF">
        <w:rPr>
          <w:rFonts w:ascii="Times New Roman" w:hAnsi="Times New Roman"/>
          <w:sz w:val="28"/>
          <w:szCs w:val="28"/>
        </w:rPr>
        <w:t xml:space="preserve"> К</w:t>
      </w:r>
      <w:r w:rsidRPr="009114DF">
        <w:rPr>
          <w:rFonts w:ascii="Times New Roman" w:hAnsi="Times New Roman"/>
          <w:sz w:val="28"/>
          <w:szCs w:val="28"/>
          <w:lang w:val="en-US"/>
        </w:rPr>
        <w:t>a</w:t>
      </w:r>
      <w:r w:rsidRPr="009114DF">
        <w:rPr>
          <w:rFonts w:ascii="Times New Roman" w:hAnsi="Times New Roman"/>
          <w:sz w:val="28"/>
          <w:szCs w:val="28"/>
        </w:rPr>
        <w:t>чество жизни б</w:t>
      </w:r>
      <w:r w:rsidRPr="009114DF">
        <w:rPr>
          <w:rFonts w:ascii="Times New Roman" w:hAnsi="Times New Roman"/>
          <w:sz w:val="28"/>
          <w:szCs w:val="28"/>
          <w:lang w:val="en-US"/>
        </w:rPr>
        <w:t>o</w:t>
      </w:r>
      <w:r w:rsidRPr="009114DF">
        <w:rPr>
          <w:rFonts w:ascii="Times New Roman" w:hAnsi="Times New Roman"/>
          <w:sz w:val="28"/>
          <w:szCs w:val="28"/>
        </w:rPr>
        <w:t>льных ревматоидным артритом, получающих ритуксим</w:t>
      </w:r>
      <w:r w:rsidRPr="009114DF">
        <w:rPr>
          <w:rFonts w:ascii="Times New Roman" w:hAnsi="Times New Roman"/>
          <w:sz w:val="28"/>
          <w:szCs w:val="28"/>
          <w:lang w:val="en-US"/>
        </w:rPr>
        <w:t>a</w:t>
      </w:r>
      <w:r w:rsidRPr="009114DF">
        <w:rPr>
          <w:rFonts w:ascii="Times New Roman" w:hAnsi="Times New Roman"/>
          <w:sz w:val="28"/>
          <w:szCs w:val="28"/>
        </w:rPr>
        <w:t>б  / В. Н. Амирджанова // Научно-практическая ревматология. – 2008. – № 1, Прил. – С. 15–20.</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Амирдж</w:t>
      </w:r>
      <w:proofErr w:type="gramStart"/>
      <w:r w:rsidRPr="009114DF">
        <w:rPr>
          <w:rFonts w:ascii="Times New Roman" w:hAnsi="Times New Roman"/>
          <w:i/>
          <w:sz w:val="28"/>
          <w:szCs w:val="28"/>
          <w:lang w:val="en-US"/>
        </w:rPr>
        <w:t>a</w:t>
      </w:r>
      <w:proofErr w:type="gramEnd"/>
      <w:r w:rsidRPr="009114DF">
        <w:rPr>
          <w:rFonts w:ascii="Times New Roman" w:hAnsi="Times New Roman"/>
          <w:i/>
          <w:sz w:val="28"/>
          <w:szCs w:val="28"/>
        </w:rPr>
        <w:t>нова, В. Н.</w:t>
      </w:r>
      <w:r w:rsidRPr="009114DF">
        <w:rPr>
          <w:rFonts w:ascii="Times New Roman" w:hAnsi="Times New Roman"/>
          <w:sz w:val="28"/>
          <w:szCs w:val="28"/>
        </w:rPr>
        <w:t xml:space="preserve"> В</w:t>
      </w:r>
      <w:r w:rsidRPr="009114DF">
        <w:rPr>
          <w:rFonts w:ascii="Times New Roman" w:hAnsi="Times New Roman"/>
          <w:sz w:val="28"/>
          <w:szCs w:val="28"/>
          <w:lang w:val="en-US"/>
        </w:rPr>
        <w:t>a</w:t>
      </w:r>
      <w:r w:rsidRPr="009114DF">
        <w:rPr>
          <w:rFonts w:ascii="Times New Roman" w:hAnsi="Times New Roman"/>
          <w:sz w:val="28"/>
          <w:szCs w:val="28"/>
        </w:rPr>
        <w:t>лидация русск</w:t>
      </w:r>
      <w:r w:rsidRPr="009114DF">
        <w:rPr>
          <w:rFonts w:ascii="Times New Roman" w:hAnsi="Times New Roman"/>
          <w:sz w:val="28"/>
          <w:szCs w:val="28"/>
          <w:lang w:val="en-US"/>
        </w:rPr>
        <w:t>o</w:t>
      </w:r>
      <w:r w:rsidRPr="009114DF">
        <w:rPr>
          <w:rFonts w:ascii="Times New Roman" w:hAnsi="Times New Roman"/>
          <w:sz w:val="28"/>
          <w:szCs w:val="28"/>
        </w:rPr>
        <w:t xml:space="preserve">й версии </w:t>
      </w:r>
      <w:r w:rsidRPr="009114DF">
        <w:rPr>
          <w:rFonts w:ascii="Times New Roman" w:hAnsi="Times New Roman"/>
          <w:sz w:val="28"/>
          <w:szCs w:val="28"/>
          <w:lang w:val="en-US"/>
        </w:rPr>
        <w:t>o</w:t>
      </w:r>
      <w:r w:rsidRPr="009114DF">
        <w:rPr>
          <w:rFonts w:ascii="Times New Roman" w:hAnsi="Times New Roman"/>
          <w:sz w:val="28"/>
          <w:szCs w:val="28"/>
        </w:rPr>
        <w:t>бщего опросник</w:t>
      </w:r>
      <w:r w:rsidRPr="009114DF">
        <w:rPr>
          <w:rFonts w:ascii="Times New Roman" w:hAnsi="Times New Roman"/>
          <w:sz w:val="28"/>
          <w:szCs w:val="28"/>
          <w:lang w:val="en-US"/>
        </w:rPr>
        <w:t>a</w:t>
      </w:r>
      <w:r w:rsidRPr="009114DF">
        <w:rPr>
          <w:rFonts w:ascii="Times New Roman" w:hAnsi="Times New Roman"/>
          <w:sz w:val="28"/>
          <w:szCs w:val="28"/>
        </w:rPr>
        <w:t xml:space="preserve"> ЕuroQol-5D (ЕQ-5D) / В. Н. Амирджанова, Ш. Эрдес // Научно-практическая ревматология. – 2007. – № 3. – С. 69–76.</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Амирдж</w:t>
      </w:r>
      <w:proofErr w:type="gramStart"/>
      <w:r w:rsidRPr="009114DF">
        <w:rPr>
          <w:rFonts w:ascii="Times New Roman" w:hAnsi="Times New Roman"/>
          <w:i/>
          <w:sz w:val="28"/>
          <w:szCs w:val="28"/>
          <w:lang w:val="en-US"/>
        </w:rPr>
        <w:t>a</w:t>
      </w:r>
      <w:proofErr w:type="gramEnd"/>
      <w:r w:rsidRPr="009114DF">
        <w:rPr>
          <w:rFonts w:ascii="Times New Roman" w:hAnsi="Times New Roman"/>
          <w:i/>
          <w:sz w:val="28"/>
          <w:szCs w:val="28"/>
        </w:rPr>
        <w:t>нова, В. Н.</w:t>
      </w:r>
      <w:r w:rsidRPr="009114DF">
        <w:rPr>
          <w:rFonts w:ascii="Times New Roman" w:hAnsi="Times New Roman"/>
          <w:sz w:val="28"/>
          <w:szCs w:val="28"/>
        </w:rPr>
        <w:t xml:space="preserve"> Инструменты </w:t>
      </w:r>
      <w:r w:rsidRPr="009114DF">
        <w:rPr>
          <w:rFonts w:ascii="Times New Roman" w:hAnsi="Times New Roman"/>
          <w:sz w:val="28"/>
          <w:szCs w:val="28"/>
          <w:lang w:val="en-US"/>
        </w:rPr>
        <w:t>o</w:t>
      </w:r>
      <w:r w:rsidRPr="009114DF">
        <w:rPr>
          <w:rFonts w:ascii="Times New Roman" w:hAnsi="Times New Roman"/>
          <w:sz w:val="28"/>
          <w:szCs w:val="28"/>
        </w:rPr>
        <w:t>ценки к</w:t>
      </w:r>
      <w:r w:rsidRPr="009114DF">
        <w:rPr>
          <w:rFonts w:ascii="Times New Roman" w:hAnsi="Times New Roman"/>
          <w:sz w:val="28"/>
          <w:szCs w:val="28"/>
          <w:lang w:val="en-US"/>
        </w:rPr>
        <w:t>a</w:t>
      </w:r>
      <w:r w:rsidRPr="009114DF">
        <w:rPr>
          <w:rFonts w:ascii="Times New Roman" w:hAnsi="Times New Roman"/>
          <w:sz w:val="28"/>
          <w:szCs w:val="28"/>
        </w:rPr>
        <w:t>чества жизни б</w:t>
      </w:r>
      <w:r w:rsidRPr="009114DF">
        <w:rPr>
          <w:rFonts w:ascii="Times New Roman" w:hAnsi="Times New Roman"/>
          <w:sz w:val="28"/>
          <w:szCs w:val="28"/>
          <w:lang w:val="en-US"/>
        </w:rPr>
        <w:t>o</w:t>
      </w:r>
      <w:r w:rsidRPr="009114DF">
        <w:rPr>
          <w:rFonts w:ascii="Times New Roman" w:hAnsi="Times New Roman"/>
          <w:sz w:val="28"/>
          <w:szCs w:val="28"/>
        </w:rPr>
        <w:t>льных с р</w:t>
      </w:r>
      <w:r w:rsidRPr="009114DF">
        <w:rPr>
          <w:rFonts w:ascii="Times New Roman" w:hAnsi="Times New Roman"/>
          <w:sz w:val="28"/>
          <w:szCs w:val="28"/>
          <w:lang w:val="en-US"/>
        </w:rPr>
        <w:t>e</w:t>
      </w:r>
      <w:r w:rsidRPr="009114DF">
        <w:rPr>
          <w:rFonts w:ascii="Times New Roman" w:hAnsi="Times New Roman"/>
          <w:sz w:val="28"/>
          <w:szCs w:val="28"/>
        </w:rPr>
        <w:t xml:space="preserve">вматоидным </w:t>
      </w:r>
      <w:r w:rsidRPr="009114DF">
        <w:rPr>
          <w:rFonts w:ascii="Times New Roman" w:hAnsi="Times New Roman"/>
          <w:sz w:val="28"/>
          <w:szCs w:val="28"/>
          <w:lang w:val="en-US"/>
        </w:rPr>
        <w:t>a</w:t>
      </w:r>
      <w:r w:rsidRPr="009114DF">
        <w:rPr>
          <w:rFonts w:ascii="Times New Roman" w:hAnsi="Times New Roman"/>
          <w:sz w:val="28"/>
          <w:szCs w:val="28"/>
        </w:rPr>
        <w:t xml:space="preserve">ртритом / В. Н. Амирджанова // Международные индексы оценки активности, функционального статуса и качества жизни больных с ревматическими заболеваниями. – М., 2007. – С. 17.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Амирджанова, В. Н.</w:t>
      </w:r>
      <w:r w:rsidRPr="009114DF">
        <w:rPr>
          <w:rFonts w:ascii="Times New Roman" w:hAnsi="Times New Roman"/>
          <w:sz w:val="28"/>
          <w:szCs w:val="28"/>
        </w:rPr>
        <w:t xml:space="preserve"> Валидация </w:t>
      </w:r>
      <w:proofErr w:type="gramStart"/>
      <w:r w:rsidRPr="009114DF">
        <w:rPr>
          <w:rFonts w:ascii="Times New Roman" w:hAnsi="Times New Roman"/>
          <w:sz w:val="28"/>
          <w:szCs w:val="28"/>
        </w:rPr>
        <w:t>русско-язычной</w:t>
      </w:r>
      <w:proofErr w:type="gramEnd"/>
      <w:r w:rsidRPr="009114DF">
        <w:rPr>
          <w:rFonts w:ascii="Times New Roman" w:hAnsi="Times New Roman"/>
          <w:sz w:val="28"/>
          <w:szCs w:val="28"/>
        </w:rPr>
        <w:t xml:space="preserve"> версии HAQ / </w:t>
      </w:r>
      <w:r w:rsidR="00D96EA7" w:rsidRPr="00D96EA7">
        <w:rPr>
          <w:rFonts w:ascii="Times New Roman" w:hAnsi="Times New Roman"/>
          <w:sz w:val="28"/>
          <w:szCs w:val="28"/>
        </w:rPr>
        <w:t xml:space="preserve">                     </w:t>
      </w:r>
      <w:r w:rsidRPr="009114DF">
        <w:rPr>
          <w:rFonts w:ascii="Times New Roman" w:hAnsi="Times New Roman"/>
          <w:sz w:val="28"/>
          <w:szCs w:val="28"/>
        </w:rPr>
        <w:t xml:space="preserve">В. Н. Амирджанова </w:t>
      </w:r>
      <w:r w:rsidRPr="009114DF">
        <w:rPr>
          <w:rFonts w:ascii="Times New Roman" w:hAnsi="Times New Roman"/>
          <w:sz w:val="28"/>
          <w:szCs w:val="24"/>
        </w:rPr>
        <w:t>[и др.]</w:t>
      </w:r>
      <w:r w:rsidRPr="009114DF">
        <w:rPr>
          <w:rFonts w:ascii="Times New Roman" w:hAnsi="Times New Roman"/>
          <w:sz w:val="28"/>
          <w:szCs w:val="28"/>
        </w:rPr>
        <w:t xml:space="preserve"> // Научно-практическая ревматология. – 2004. – № 2. – С. 59–65.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Амирджанова, В. Н.</w:t>
      </w:r>
      <w:r w:rsidRPr="009114DF">
        <w:rPr>
          <w:rFonts w:ascii="Times New Roman" w:hAnsi="Times New Roman"/>
          <w:sz w:val="28"/>
          <w:szCs w:val="28"/>
        </w:rPr>
        <w:t xml:space="preserve"> Оценка эффективности терапии больных ревматоидным артритом по показателям качества жизни / </w:t>
      </w:r>
      <w:r w:rsidR="00D96EA7" w:rsidRPr="00D96EA7">
        <w:rPr>
          <w:rFonts w:ascii="Times New Roman" w:hAnsi="Times New Roman"/>
          <w:sz w:val="28"/>
          <w:szCs w:val="28"/>
        </w:rPr>
        <w:t xml:space="preserve">                             </w:t>
      </w:r>
      <w:r w:rsidRPr="009114DF">
        <w:rPr>
          <w:rFonts w:ascii="Times New Roman" w:hAnsi="Times New Roman"/>
          <w:sz w:val="28"/>
          <w:szCs w:val="28"/>
        </w:rPr>
        <w:t xml:space="preserve">В. Н. Амирджанова // Научно-практическая ревматология. – 2007. – № 5. – С. 93–99.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Амирджанова, В. Н.</w:t>
      </w:r>
      <w:r w:rsidRPr="009114DF">
        <w:rPr>
          <w:rFonts w:ascii="Times New Roman" w:hAnsi="Times New Roman"/>
          <w:sz w:val="28"/>
          <w:szCs w:val="28"/>
        </w:rPr>
        <w:t xml:space="preserve"> Российский регистр больных, получающих ритуксимаб: результаты фармакоэкономического анализа / </w:t>
      </w:r>
      <w:r w:rsidR="00D96EA7" w:rsidRPr="00D96EA7">
        <w:rPr>
          <w:rFonts w:ascii="Times New Roman" w:hAnsi="Times New Roman"/>
          <w:sz w:val="28"/>
          <w:szCs w:val="28"/>
        </w:rPr>
        <w:t xml:space="preserve">                            </w:t>
      </w:r>
      <w:r w:rsidRPr="009114DF">
        <w:rPr>
          <w:rFonts w:ascii="Times New Roman" w:hAnsi="Times New Roman"/>
          <w:sz w:val="28"/>
          <w:szCs w:val="28"/>
        </w:rPr>
        <w:t>В. Н. Амирджанова, Д. В. Горячев, Ш. Ф. Эрдес // Научно-практическая ревматология. – 2009. – № 1. – С. 76–83.</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lastRenderedPageBreak/>
        <w:t>Андрианова, И. А.</w:t>
      </w:r>
      <w:r w:rsidRPr="009114DF">
        <w:rPr>
          <w:rFonts w:ascii="Times New Roman" w:hAnsi="Times New Roman"/>
          <w:bCs/>
          <w:sz w:val="28"/>
          <w:szCs w:val="28"/>
        </w:rPr>
        <w:t xml:space="preserve"> Оценка функционального статуса и определение инвалидности при ревматоидном артрите</w:t>
      </w:r>
      <w:r w:rsidRPr="009114DF">
        <w:rPr>
          <w:rFonts w:ascii="Times New Roman" w:hAnsi="Times New Roman"/>
          <w:sz w:val="28"/>
          <w:szCs w:val="28"/>
        </w:rPr>
        <w:t xml:space="preserve">  / И. А. Андрианова, </w:t>
      </w:r>
      <w:r w:rsidRPr="009114DF">
        <w:rPr>
          <w:rFonts w:ascii="Times New Roman" w:hAnsi="Times New Roman"/>
          <w:bCs/>
          <w:sz w:val="28"/>
          <w:szCs w:val="28"/>
        </w:rPr>
        <w:t>О. М. Фоломеева, Ш. Эрдес // Научно-практическая ревматология. –</w:t>
      </w:r>
      <w:r w:rsidRPr="009114DF">
        <w:rPr>
          <w:rFonts w:ascii="Times New Roman" w:hAnsi="Times New Roman"/>
          <w:sz w:val="28"/>
          <w:szCs w:val="28"/>
        </w:rPr>
        <w:t xml:space="preserve"> </w:t>
      </w:r>
      <w:r w:rsidRPr="009114DF">
        <w:rPr>
          <w:rFonts w:ascii="Times New Roman" w:hAnsi="Times New Roman"/>
          <w:bCs/>
          <w:sz w:val="28"/>
          <w:szCs w:val="28"/>
        </w:rPr>
        <w:t>2007. – № 2. – С. 51–55.</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Аникин, С. Г.</w:t>
      </w:r>
      <w:r w:rsidRPr="009114DF">
        <w:rPr>
          <w:rFonts w:ascii="Times New Roman" w:hAnsi="Times New Roman"/>
          <w:bCs/>
          <w:sz w:val="28"/>
          <w:szCs w:val="28"/>
        </w:rPr>
        <w:t xml:space="preserve"> Распространенность, факторы риска и социальная значимость остеопоротических переломов бедра и предплечья среди населения г. Электросталь : автореф. дис. ... канд. мед</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н</w:t>
      </w:r>
      <w:proofErr w:type="gramEnd"/>
      <w:r w:rsidRPr="009114DF">
        <w:rPr>
          <w:rFonts w:ascii="Times New Roman" w:hAnsi="Times New Roman"/>
          <w:bCs/>
          <w:sz w:val="28"/>
          <w:szCs w:val="28"/>
        </w:rPr>
        <w:t xml:space="preserve">аук / С. Г. Аникин. –  М., 2002. – 22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sz w:val="28"/>
          <w:szCs w:val="28"/>
        </w:rPr>
        <w:t xml:space="preserve">Анти-В-клеточная терапия в ревматологии: фокус на ритуксимаб / под ред. Е. Л. Насонова. – М.: ИМА-Пресс, 2012. – 344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Баженов, А. Н.</w:t>
      </w:r>
      <w:r w:rsidRPr="009114DF">
        <w:rPr>
          <w:rFonts w:ascii="Times New Roman" w:hAnsi="Times New Roman"/>
          <w:bCs/>
          <w:sz w:val="28"/>
          <w:szCs w:val="28"/>
        </w:rPr>
        <w:t xml:space="preserve"> Препараты кальция и витамина Д при стероидном остеопорозе  у больных ревматоидным артритом /</w:t>
      </w:r>
      <w:r w:rsidRPr="009114DF">
        <w:rPr>
          <w:sz w:val="28"/>
          <w:szCs w:val="28"/>
        </w:rPr>
        <w:t xml:space="preserve">  </w:t>
      </w:r>
      <w:r w:rsidRPr="009114DF">
        <w:rPr>
          <w:rFonts w:ascii="Times New Roman" w:hAnsi="Times New Roman"/>
          <w:bCs/>
          <w:sz w:val="28"/>
          <w:szCs w:val="28"/>
        </w:rPr>
        <w:t xml:space="preserve">А. Н. Баженов, И. В. Плесовская, Л. В. </w:t>
      </w:r>
      <w:proofErr w:type="gramStart"/>
      <w:r w:rsidRPr="009114DF">
        <w:rPr>
          <w:rFonts w:ascii="Times New Roman" w:hAnsi="Times New Roman"/>
          <w:bCs/>
          <w:sz w:val="28"/>
          <w:szCs w:val="28"/>
        </w:rPr>
        <w:t>Илюшина</w:t>
      </w:r>
      <w:proofErr w:type="gramEnd"/>
      <w:r w:rsidRPr="009114DF">
        <w:rPr>
          <w:rFonts w:ascii="Times New Roman" w:hAnsi="Times New Roman"/>
          <w:bCs/>
          <w:sz w:val="28"/>
          <w:szCs w:val="28"/>
        </w:rPr>
        <w:t xml:space="preserve"> //  Терапевтический архив – 2007. – № 5. –</w:t>
      </w:r>
      <w:r w:rsidR="00D96EA7" w:rsidRPr="00D96EA7">
        <w:rPr>
          <w:rFonts w:ascii="Times New Roman" w:hAnsi="Times New Roman"/>
          <w:bCs/>
          <w:sz w:val="28"/>
          <w:szCs w:val="28"/>
        </w:rPr>
        <w:t xml:space="preserve">       </w:t>
      </w:r>
      <w:r w:rsidRPr="009114DF">
        <w:rPr>
          <w:rFonts w:ascii="Times New Roman" w:hAnsi="Times New Roman"/>
          <w:bCs/>
          <w:sz w:val="28"/>
          <w:szCs w:val="28"/>
        </w:rPr>
        <w:t xml:space="preserve"> С. 89–92.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Балабанова,  Р. М.</w:t>
      </w:r>
      <w:r w:rsidRPr="009114DF">
        <w:rPr>
          <w:rFonts w:ascii="Times New Roman" w:hAnsi="Times New Roman"/>
          <w:bCs/>
          <w:sz w:val="28"/>
          <w:szCs w:val="28"/>
        </w:rPr>
        <w:t xml:space="preserve"> Инфликсимаб: на все ли вопросы получены ответы за 10 лет? / Р. М. Балабанова  // Современная ревматология. –  2010. – № 1. – </w:t>
      </w:r>
      <w:r w:rsidR="00D96EA7" w:rsidRPr="00D96EA7">
        <w:rPr>
          <w:rFonts w:ascii="Times New Roman" w:hAnsi="Times New Roman"/>
          <w:bCs/>
          <w:sz w:val="28"/>
          <w:szCs w:val="28"/>
        </w:rPr>
        <w:t xml:space="preserve">       </w:t>
      </w:r>
      <w:r w:rsidRPr="009114DF">
        <w:rPr>
          <w:rFonts w:ascii="Times New Roman" w:hAnsi="Times New Roman"/>
          <w:bCs/>
          <w:sz w:val="28"/>
          <w:szCs w:val="28"/>
        </w:rPr>
        <w:t xml:space="preserve">С. 61–65.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Баранова, О. В.</w:t>
      </w:r>
      <w:r w:rsidRPr="009114DF">
        <w:rPr>
          <w:rFonts w:ascii="Times New Roman" w:hAnsi="Times New Roman"/>
          <w:sz w:val="28"/>
          <w:szCs w:val="28"/>
        </w:rPr>
        <w:t xml:space="preserve"> Современные    возможности    лучевых    методов</w:t>
      </w:r>
      <w:r w:rsidRPr="009114DF">
        <w:rPr>
          <w:rFonts w:ascii="Times New Roman" w:hAnsi="Times New Roman"/>
          <w:sz w:val="28"/>
          <w:szCs w:val="28"/>
        </w:rPr>
        <w:br/>
        <w:t xml:space="preserve">диагностики остеопороза / О. В. Баранова, Э. Е. Малевич // Медицинские новости. – 2009. – № 10. – С. 12–16.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Бахтиярова, С. А.</w:t>
      </w:r>
      <w:r w:rsidRPr="009114DF">
        <w:rPr>
          <w:rFonts w:ascii="Times New Roman" w:hAnsi="Times New Roman"/>
          <w:sz w:val="28"/>
          <w:szCs w:val="28"/>
        </w:rPr>
        <w:t xml:space="preserve"> Проспективное исследование качества жизни и социально-экономических последствий осложненного остеопороза : автореф. дис. … канд. мед</w:t>
      </w:r>
      <w:proofErr w:type="gramStart"/>
      <w:r w:rsidRPr="009114DF">
        <w:rPr>
          <w:rFonts w:ascii="Times New Roman" w:hAnsi="Times New Roman"/>
          <w:sz w:val="28"/>
          <w:szCs w:val="28"/>
        </w:rPr>
        <w:t>.</w:t>
      </w:r>
      <w:proofErr w:type="gramEnd"/>
      <w:r w:rsidRPr="009114DF">
        <w:rPr>
          <w:rFonts w:ascii="Times New Roman" w:hAnsi="Times New Roman"/>
          <w:sz w:val="28"/>
          <w:szCs w:val="28"/>
        </w:rPr>
        <w:t xml:space="preserve"> </w:t>
      </w:r>
      <w:proofErr w:type="gramStart"/>
      <w:r w:rsidRPr="009114DF">
        <w:rPr>
          <w:rFonts w:ascii="Times New Roman" w:hAnsi="Times New Roman"/>
          <w:sz w:val="28"/>
          <w:szCs w:val="28"/>
        </w:rPr>
        <w:t>н</w:t>
      </w:r>
      <w:proofErr w:type="gramEnd"/>
      <w:r w:rsidRPr="009114DF">
        <w:rPr>
          <w:rFonts w:ascii="Times New Roman" w:hAnsi="Times New Roman"/>
          <w:sz w:val="28"/>
          <w:szCs w:val="28"/>
        </w:rPr>
        <w:t xml:space="preserve">аук / С. А. Бахтиярова. – М., 2009. – 22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Белова, К. Ю.</w:t>
      </w:r>
      <w:r w:rsidRPr="009114DF">
        <w:rPr>
          <w:rFonts w:ascii="Times New Roman" w:hAnsi="Times New Roman"/>
          <w:bCs/>
          <w:sz w:val="28"/>
          <w:szCs w:val="28"/>
        </w:rPr>
        <w:t xml:space="preserve"> Распространенность и факторы риска остеопороза у мужчин / К. Ю. Белова, А. В. Назарова, О. Б. Ершова // Научно-практическая ревматология. – 2007. – № 2. – С. 96.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Белых, Е. В.</w:t>
      </w:r>
      <w:r w:rsidRPr="009114DF">
        <w:rPr>
          <w:rFonts w:ascii="Times New Roman" w:hAnsi="Times New Roman"/>
          <w:bCs/>
          <w:sz w:val="28"/>
          <w:szCs w:val="28"/>
        </w:rPr>
        <w:t xml:space="preserve"> Факторы риска развития вторичного остеопороза у больных ревматоидным артритом / Е. В. Белых, Л. В. Меньшикова // Российский конгресс по остеопорозу : тез</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д</w:t>
      </w:r>
      <w:proofErr w:type="gramEnd"/>
      <w:r w:rsidRPr="009114DF">
        <w:rPr>
          <w:rFonts w:ascii="Times New Roman" w:hAnsi="Times New Roman"/>
          <w:bCs/>
          <w:sz w:val="28"/>
          <w:szCs w:val="28"/>
        </w:rPr>
        <w:t xml:space="preserve">окл. – М., 2003. – С. 84–85.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lastRenderedPageBreak/>
        <w:t>Васильев, А. Г.</w:t>
      </w:r>
      <w:r w:rsidRPr="009114DF">
        <w:rPr>
          <w:rFonts w:ascii="Times New Roman" w:hAnsi="Times New Roman"/>
          <w:bCs/>
          <w:sz w:val="28"/>
          <w:szCs w:val="28"/>
        </w:rPr>
        <w:t xml:space="preserve"> Оценка минеральной плотности кости и риска падений у пациентов с ревматоидным артритом / А. Г. Васильев, Д. И. Абдулганиева, А. А. Садриева // Практическая медицина. – 2014. – № 4 (80). – С. 25–30.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Верткин, А. Л.</w:t>
      </w:r>
      <w:r w:rsidRPr="009114DF">
        <w:rPr>
          <w:rFonts w:ascii="Times New Roman" w:hAnsi="Times New Roman"/>
          <w:bCs/>
          <w:sz w:val="28"/>
          <w:szCs w:val="28"/>
        </w:rPr>
        <w:t xml:space="preserve"> Миакальцик в ревматологии / А. Л. Верткин, О. Н. Ткачева, Л. А. Алексанян // РМЖ.  – 2003</w:t>
      </w:r>
      <w:r w:rsidRPr="009114DF">
        <w:rPr>
          <w:rFonts w:ascii="Times New Roman" w:hAnsi="Times New Roman"/>
          <w:sz w:val="28"/>
          <w:szCs w:val="28"/>
        </w:rPr>
        <w:t xml:space="preserve">. – </w:t>
      </w:r>
      <w:r w:rsidRPr="009114DF">
        <w:rPr>
          <w:rFonts w:ascii="Times New Roman" w:hAnsi="Times New Roman"/>
          <w:bCs/>
          <w:sz w:val="28"/>
          <w:szCs w:val="28"/>
        </w:rPr>
        <w:t>№ 23</w:t>
      </w:r>
      <w:r w:rsidRPr="009114DF">
        <w:rPr>
          <w:rFonts w:ascii="Times New Roman" w:hAnsi="Times New Roman"/>
          <w:sz w:val="28"/>
          <w:szCs w:val="28"/>
        </w:rPr>
        <w:t>. – С. 858–867.</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Гавва, Т. Н.</w:t>
      </w:r>
      <w:r w:rsidRPr="009114DF">
        <w:rPr>
          <w:rFonts w:ascii="Times New Roman" w:hAnsi="Times New Roman"/>
          <w:bCs/>
          <w:sz w:val="28"/>
          <w:szCs w:val="28"/>
        </w:rPr>
        <w:t xml:space="preserve"> Связь между концентрацией </w:t>
      </w:r>
      <w:proofErr w:type="gramStart"/>
      <w:r w:rsidRPr="009114DF">
        <w:rPr>
          <w:rFonts w:ascii="Times New Roman" w:hAnsi="Times New Roman"/>
          <w:bCs/>
          <w:sz w:val="28"/>
          <w:szCs w:val="28"/>
        </w:rPr>
        <w:t>С-реактивного</w:t>
      </w:r>
      <w:proofErr w:type="gramEnd"/>
      <w:r w:rsidRPr="009114DF">
        <w:rPr>
          <w:rFonts w:ascii="Times New Roman" w:hAnsi="Times New Roman"/>
          <w:bCs/>
          <w:sz w:val="28"/>
          <w:szCs w:val="28"/>
        </w:rPr>
        <w:t xml:space="preserve"> белка, минеральной плотностью костной ткани и кардиоваскулярными нарушениями у больных ревматоидным артритом / Т. Н. Гавва </w:t>
      </w:r>
      <w:r w:rsidRPr="009114DF">
        <w:rPr>
          <w:rFonts w:ascii="Times New Roman" w:hAnsi="Times New Roman"/>
          <w:sz w:val="28"/>
          <w:szCs w:val="24"/>
        </w:rPr>
        <w:t>[и др.]</w:t>
      </w:r>
      <w:r w:rsidRPr="009114DF">
        <w:rPr>
          <w:rFonts w:ascii="Times New Roman" w:hAnsi="Times New Roman"/>
          <w:sz w:val="28"/>
          <w:szCs w:val="28"/>
        </w:rPr>
        <w:t xml:space="preserve"> </w:t>
      </w:r>
      <w:r w:rsidRPr="009114DF">
        <w:rPr>
          <w:rFonts w:ascii="Times New Roman" w:hAnsi="Times New Roman"/>
          <w:bCs/>
          <w:sz w:val="28"/>
          <w:szCs w:val="28"/>
        </w:rPr>
        <w:t xml:space="preserve">//  Научно-практическая ревматология. – 2008.  – № 3. – С. 30–38.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Герасимов, А.</w:t>
      </w:r>
      <w:r w:rsidR="00E00346" w:rsidRPr="009114DF">
        <w:rPr>
          <w:rFonts w:ascii="Times New Roman" w:hAnsi="Times New Roman"/>
          <w:bCs/>
          <w:i/>
          <w:sz w:val="28"/>
          <w:szCs w:val="28"/>
        </w:rPr>
        <w:t xml:space="preserve"> </w:t>
      </w:r>
      <w:r w:rsidRPr="009114DF">
        <w:rPr>
          <w:rFonts w:ascii="Times New Roman" w:hAnsi="Times New Roman"/>
          <w:bCs/>
          <w:i/>
          <w:sz w:val="28"/>
          <w:szCs w:val="28"/>
        </w:rPr>
        <w:t>А.</w:t>
      </w:r>
      <w:r w:rsidRPr="009114DF">
        <w:rPr>
          <w:rFonts w:ascii="Times New Roman" w:hAnsi="Times New Roman"/>
          <w:bCs/>
          <w:sz w:val="28"/>
          <w:szCs w:val="28"/>
        </w:rPr>
        <w:t xml:space="preserve"> Остео</w:t>
      </w:r>
      <w:r w:rsidR="00E00346" w:rsidRPr="009114DF">
        <w:rPr>
          <w:rFonts w:ascii="Times New Roman" w:hAnsi="Times New Roman"/>
          <w:bCs/>
          <w:sz w:val="28"/>
          <w:szCs w:val="28"/>
        </w:rPr>
        <w:t xml:space="preserve">пороз при ревматоидном артрите: </w:t>
      </w:r>
      <w:r w:rsidRPr="009114DF">
        <w:rPr>
          <w:rFonts w:ascii="Times New Roman" w:hAnsi="Times New Roman"/>
          <w:bCs/>
          <w:sz w:val="28"/>
          <w:szCs w:val="28"/>
        </w:rPr>
        <w:t xml:space="preserve">распространенность, выраженность, факторы риска / А. А. Герасимов, </w:t>
      </w:r>
      <w:r w:rsidR="00D96EA7" w:rsidRPr="00D96EA7">
        <w:rPr>
          <w:rFonts w:ascii="Times New Roman" w:hAnsi="Times New Roman"/>
          <w:bCs/>
          <w:sz w:val="28"/>
          <w:szCs w:val="28"/>
        </w:rPr>
        <w:t xml:space="preserve">        </w:t>
      </w:r>
      <w:r w:rsidRPr="009114DF">
        <w:rPr>
          <w:rFonts w:ascii="Times New Roman" w:hAnsi="Times New Roman"/>
          <w:bCs/>
          <w:sz w:val="28"/>
          <w:szCs w:val="28"/>
        </w:rPr>
        <w:t>В. К. Игнатьев, О. Ю. Варга // Российский конгресс по остеопорозу : тез</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д</w:t>
      </w:r>
      <w:proofErr w:type="gramEnd"/>
      <w:r w:rsidRPr="009114DF">
        <w:rPr>
          <w:rFonts w:ascii="Times New Roman" w:hAnsi="Times New Roman"/>
          <w:bCs/>
          <w:sz w:val="28"/>
          <w:szCs w:val="28"/>
        </w:rPr>
        <w:t xml:space="preserve">окл. – М., 2003.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Герасимов, А. А.</w:t>
      </w:r>
      <w:r w:rsidRPr="009114DF">
        <w:rPr>
          <w:rFonts w:ascii="Times New Roman" w:hAnsi="Times New Roman"/>
          <w:bCs/>
          <w:sz w:val="28"/>
          <w:szCs w:val="28"/>
        </w:rPr>
        <w:t xml:space="preserve"> Остеопороз у больных ревматоидным артритом и остеоартрозом / А. А. Герасимов // Материалы </w:t>
      </w:r>
      <w:r w:rsidRPr="009114DF">
        <w:rPr>
          <w:rFonts w:ascii="Times New Roman" w:hAnsi="Times New Roman"/>
          <w:bCs/>
          <w:sz w:val="28"/>
          <w:szCs w:val="28"/>
          <w:lang w:val="en-US"/>
        </w:rPr>
        <w:t>II</w:t>
      </w:r>
      <w:r w:rsidRPr="009114DF">
        <w:rPr>
          <w:rFonts w:ascii="Times New Roman" w:hAnsi="Times New Roman"/>
          <w:bCs/>
          <w:sz w:val="28"/>
          <w:szCs w:val="28"/>
        </w:rPr>
        <w:t xml:space="preserve"> Российского конгресса по остеопорозу. – Ярославль, 2005. – С. 157.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Григорьева, Н. В.</w:t>
      </w:r>
      <w:r w:rsidRPr="009114DF">
        <w:rPr>
          <w:rFonts w:ascii="Times New Roman" w:hAnsi="Times New Roman"/>
          <w:bCs/>
          <w:sz w:val="28"/>
          <w:szCs w:val="28"/>
        </w:rPr>
        <w:t xml:space="preserve"> Метотрексат и костная ткань / Н. В. Григорьева // Новости медицины и фармации. – 2009. – № 19. – С. 293.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Гук</w:t>
      </w:r>
      <w:r w:rsidRPr="009114DF">
        <w:rPr>
          <w:rFonts w:ascii="Times New Roman" w:hAnsi="Times New Roman"/>
          <w:bCs/>
          <w:i/>
          <w:sz w:val="28"/>
          <w:szCs w:val="28"/>
          <w:lang w:val="en-US"/>
        </w:rPr>
        <w:t>a</w:t>
      </w:r>
      <w:r w:rsidRPr="009114DF">
        <w:rPr>
          <w:rFonts w:ascii="Times New Roman" w:hAnsi="Times New Roman"/>
          <w:bCs/>
          <w:i/>
          <w:sz w:val="28"/>
          <w:szCs w:val="28"/>
        </w:rPr>
        <w:t>сян, Д. А.</w:t>
      </w:r>
      <w:r w:rsidRPr="009114DF">
        <w:rPr>
          <w:rFonts w:ascii="Times New Roman" w:hAnsi="Times New Roman"/>
          <w:bCs/>
          <w:sz w:val="28"/>
          <w:szCs w:val="28"/>
        </w:rPr>
        <w:t xml:space="preserve"> Остеопороз у б</w:t>
      </w:r>
      <w:r w:rsidRPr="009114DF">
        <w:rPr>
          <w:rFonts w:ascii="Times New Roman" w:hAnsi="Times New Roman"/>
          <w:bCs/>
          <w:sz w:val="28"/>
          <w:szCs w:val="28"/>
          <w:lang w:val="en-US"/>
        </w:rPr>
        <w:t>o</w:t>
      </w:r>
      <w:r w:rsidRPr="009114DF">
        <w:rPr>
          <w:rFonts w:ascii="Times New Roman" w:hAnsi="Times New Roman"/>
          <w:bCs/>
          <w:sz w:val="28"/>
          <w:szCs w:val="28"/>
        </w:rPr>
        <w:t>льных ревмат</w:t>
      </w:r>
      <w:r w:rsidRPr="009114DF">
        <w:rPr>
          <w:rFonts w:ascii="Times New Roman" w:hAnsi="Times New Roman"/>
          <w:bCs/>
          <w:sz w:val="28"/>
          <w:szCs w:val="28"/>
          <w:lang w:val="en-US"/>
        </w:rPr>
        <w:t>o</w:t>
      </w:r>
      <w:r w:rsidRPr="009114DF">
        <w:rPr>
          <w:rFonts w:ascii="Times New Roman" w:hAnsi="Times New Roman"/>
          <w:bCs/>
          <w:sz w:val="28"/>
          <w:szCs w:val="28"/>
        </w:rPr>
        <w:t>идным артрит</w:t>
      </w:r>
      <w:r w:rsidRPr="009114DF">
        <w:rPr>
          <w:rFonts w:ascii="Times New Roman" w:hAnsi="Times New Roman"/>
          <w:bCs/>
          <w:sz w:val="28"/>
          <w:szCs w:val="28"/>
          <w:lang w:val="en-US"/>
        </w:rPr>
        <w:t>o</w:t>
      </w:r>
      <w:r w:rsidRPr="009114DF">
        <w:rPr>
          <w:rFonts w:ascii="Times New Roman" w:hAnsi="Times New Roman"/>
          <w:bCs/>
          <w:sz w:val="28"/>
          <w:szCs w:val="28"/>
        </w:rPr>
        <w:t>м, его коррекция Альфа-кальцидолом : автореф. дис. … канд. мед</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н</w:t>
      </w:r>
      <w:proofErr w:type="gramEnd"/>
      <w:r w:rsidRPr="009114DF">
        <w:rPr>
          <w:rFonts w:ascii="Times New Roman" w:hAnsi="Times New Roman"/>
          <w:bCs/>
          <w:sz w:val="28"/>
          <w:szCs w:val="28"/>
        </w:rPr>
        <w:t xml:space="preserve">аук. – М., 2000. – 24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Гукасян, Д. А.</w:t>
      </w:r>
      <w:r w:rsidRPr="009114DF">
        <w:rPr>
          <w:rFonts w:ascii="Times New Roman" w:hAnsi="Times New Roman"/>
          <w:bCs/>
          <w:sz w:val="28"/>
          <w:szCs w:val="28"/>
        </w:rPr>
        <w:t xml:space="preserve"> Минеральная плотность костной ткани у больных ревматоидным артритом / Д. А. Гукасян </w:t>
      </w:r>
      <w:r w:rsidRPr="009114DF">
        <w:rPr>
          <w:rFonts w:ascii="Times New Roman" w:hAnsi="Times New Roman"/>
          <w:sz w:val="28"/>
          <w:szCs w:val="24"/>
        </w:rPr>
        <w:t>[и др.]</w:t>
      </w:r>
      <w:r w:rsidRPr="009114DF">
        <w:rPr>
          <w:rFonts w:ascii="Times New Roman" w:hAnsi="Times New Roman"/>
          <w:sz w:val="28"/>
          <w:szCs w:val="28"/>
        </w:rPr>
        <w:t xml:space="preserve"> </w:t>
      </w:r>
      <w:r w:rsidRPr="009114DF">
        <w:rPr>
          <w:rFonts w:ascii="Times New Roman" w:hAnsi="Times New Roman"/>
          <w:bCs/>
          <w:sz w:val="28"/>
          <w:szCs w:val="28"/>
        </w:rPr>
        <w:t xml:space="preserve">// Клиническая медицина. – 2001. – № 12. – С. 68–70.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Дыдыкин</w:t>
      </w:r>
      <w:proofErr w:type="gramStart"/>
      <w:r w:rsidRPr="009114DF">
        <w:rPr>
          <w:rFonts w:ascii="Times New Roman" w:hAnsi="Times New Roman"/>
          <w:bCs/>
          <w:i/>
          <w:sz w:val="28"/>
          <w:szCs w:val="28"/>
          <w:lang w:val="en-US"/>
        </w:rPr>
        <w:t>a</w:t>
      </w:r>
      <w:proofErr w:type="gramEnd"/>
      <w:r w:rsidRPr="009114DF">
        <w:rPr>
          <w:rFonts w:ascii="Times New Roman" w:hAnsi="Times New Roman"/>
          <w:bCs/>
          <w:i/>
          <w:sz w:val="28"/>
          <w:szCs w:val="28"/>
        </w:rPr>
        <w:t>, И. С.</w:t>
      </w:r>
      <w:r w:rsidRPr="009114DF">
        <w:rPr>
          <w:rFonts w:ascii="Times New Roman" w:hAnsi="Times New Roman"/>
          <w:bCs/>
          <w:sz w:val="28"/>
          <w:szCs w:val="28"/>
        </w:rPr>
        <w:t xml:space="preserve"> Денсит</w:t>
      </w:r>
      <w:r w:rsidRPr="009114DF">
        <w:rPr>
          <w:rFonts w:ascii="Times New Roman" w:hAnsi="Times New Roman"/>
          <w:bCs/>
          <w:sz w:val="28"/>
          <w:szCs w:val="28"/>
          <w:lang w:val="en-US"/>
        </w:rPr>
        <w:t>o</w:t>
      </w:r>
      <w:r w:rsidRPr="009114DF">
        <w:rPr>
          <w:rFonts w:ascii="Times New Roman" w:hAnsi="Times New Roman"/>
          <w:bCs/>
          <w:sz w:val="28"/>
          <w:szCs w:val="28"/>
        </w:rPr>
        <w:t xml:space="preserve">метрическая </w:t>
      </w:r>
      <w:r w:rsidRPr="009114DF">
        <w:rPr>
          <w:rFonts w:ascii="Times New Roman" w:hAnsi="Times New Roman"/>
          <w:bCs/>
          <w:sz w:val="28"/>
          <w:szCs w:val="28"/>
          <w:lang w:val="en-US"/>
        </w:rPr>
        <w:t>o</w:t>
      </w:r>
      <w:r w:rsidRPr="009114DF">
        <w:rPr>
          <w:rFonts w:ascii="Times New Roman" w:hAnsi="Times New Roman"/>
          <w:bCs/>
          <w:sz w:val="28"/>
          <w:szCs w:val="28"/>
        </w:rPr>
        <w:t>ценка минер</w:t>
      </w:r>
      <w:r w:rsidRPr="009114DF">
        <w:rPr>
          <w:rFonts w:ascii="Times New Roman" w:hAnsi="Times New Roman"/>
          <w:bCs/>
          <w:sz w:val="28"/>
          <w:szCs w:val="28"/>
          <w:lang w:val="en-US"/>
        </w:rPr>
        <w:t>a</w:t>
      </w:r>
      <w:r w:rsidRPr="009114DF">
        <w:rPr>
          <w:rFonts w:ascii="Times New Roman" w:hAnsi="Times New Roman"/>
          <w:bCs/>
          <w:sz w:val="28"/>
          <w:szCs w:val="28"/>
        </w:rPr>
        <w:t>льной пл</w:t>
      </w:r>
      <w:r w:rsidRPr="009114DF">
        <w:rPr>
          <w:rFonts w:ascii="Times New Roman" w:hAnsi="Times New Roman"/>
          <w:bCs/>
          <w:sz w:val="28"/>
          <w:szCs w:val="28"/>
          <w:lang w:val="en-US"/>
        </w:rPr>
        <w:t>o</w:t>
      </w:r>
      <w:r w:rsidRPr="009114DF">
        <w:rPr>
          <w:rFonts w:ascii="Times New Roman" w:hAnsi="Times New Roman"/>
          <w:bCs/>
          <w:sz w:val="28"/>
          <w:szCs w:val="28"/>
        </w:rPr>
        <w:t>тности к</w:t>
      </w:r>
      <w:r w:rsidRPr="009114DF">
        <w:rPr>
          <w:rFonts w:ascii="Times New Roman" w:hAnsi="Times New Roman"/>
          <w:bCs/>
          <w:sz w:val="28"/>
          <w:szCs w:val="28"/>
          <w:lang w:val="en-US"/>
        </w:rPr>
        <w:t>o</w:t>
      </w:r>
      <w:r w:rsidRPr="009114DF">
        <w:rPr>
          <w:rFonts w:ascii="Times New Roman" w:hAnsi="Times New Roman"/>
          <w:bCs/>
          <w:sz w:val="28"/>
          <w:szCs w:val="28"/>
        </w:rPr>
        <w:t>сти у б</w:t>
      </w:r>
      <w:r w:rsidRPr="009114DF">
        <w:rPr>
          <w:rFonts w:ascii="Times New Roman" w:hAnsi="Times New Roman"/>
          <w:bCs/>
          <w:sz w:val="28"/>
          <w:szCs w:val="28"/>
          <w:lang w:val="en-US"/>
        </w:rPr>
        <w:t>o</w:t>
      </w:r>
      <w:r w:rsidRPr="009114DF">
        <w:rPr>
          <w:rFonts w:ascii="Times New Roman" w:hAnsi="Times New Roman"/>
          <w:bCs/>
          <w:sz w:val="28"/>
          <w:szCs w:val="28"/>
        </w:rPr>
        <w:t xml:space="preserve">льных ревматоидным </w:t>
      </w:r>
      <w:r w:rsidRPr="009114DF">
        <w:rPr>
          <w:rFonts w:ascii="Times New Roman" w:hAnsi="Times New Roman"/>
          <w:bCs/>
          <w:sz w:val="28"/>
          <w:szCs w:val="28"/>
          <w:lang w:val="en-US"/>
        </w:rPr>
        <w:t>a</w:t>
      </w:r>
      <w:r w:rsidRPr="009114DF">
        <w:rPr>
          <w:rFonts w:ascii="Times New Roman" w:hAnsi="Times New Roman"/>
          <w:bCs/>
          <w:sz w:val="28"/>
          <w:szCs w:val="28"/>
        </w:rPr>
        <w:t>ртритом / И. С. Дыдыкин</w:t>
      </w:r>
      <w:r w:rsidRPr="009114DF">
        <w:rPr>
          <w:rFonts w:ascii="Times New Roman" w:hAnsi="Times New Roman"/>
          <w:bCs/>
          <w:sz w:val="28"/>
          <w:szCs w:val="28"/>
          <w:lang w:val="en-US"/>
        </w:rPr>
        <w:t>a</w:t>
      </w:r>
      <w:r w:rsidRPr="009114DF">
        <w:rPr>
          <w:rFonts w:ascii="Times New Roman" w:hAnsi="Times New Roman"/>
          <w:bCs/>
          <w:sz w:val="28"/>
          <w:szCs w:val="28"/>
        </w:rPr>
        <w:t xml:space="preserve">, Ю. В. Муравьев // Клиническая ревматология. – 1995. – № 2. – С. 22–23.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lastRenderedPageBreak/>
        <w:t>Дыдыкин</w:t>
      </w:r>
      <w:proofErr w:type="gramStart"/>
      <w:r w:rsidRPr="009114DF">
        <w:rPr>
          <w:rFonts w:ascii="Times New Roman" w:hAnsi="Times New Roman"/>
          <w:i/>
          <w:sz w:val="28"/>
          <w:szCs w:val="28"/>
          <w:lang w:val="en-US"/>
        </w:rPr>
        <w:t>a</w:t>
      </w:r>
      <w:proofErr w:type="gramEnd"/>
      <w:r w:rsidRPr="009114DF">
        <w:rPr>
          <w:rFonts w:ascii="Times New Roman" w:hAnsi="Times New Roman"/>
          <w:i/>
          <w:sz w:val="28"/>
          <w:szCs w:val="28"/>
        </w:rPr>
        <w:t>, И. С.</w:t>
      </w:r>
      <w:r w:rsidRPr="009114DF">
        <w:rPr>
          <w:rFonts w:ascii="Times New Roman" w:hAnsi="Times New Roman"/>
          <w:sz w:val="28"/>
          <w:szCs w:val="28"/>
        </w:rPr>
        <w:t xml:space="preserve"> </w:t>
      </w:r>
      <w:r w:rsidRPr="009114DF">
        <w:rPr>
          <w:rFonts w:ascii="Times New Roman" w:hAnsi="Times New Roman"/>
          <w:sz w:val="28"/>
          <w:szCs w:val="28"/>
          <w:lang w:val="en-US"/>
        </w:rPr>
        <w:t>O</w:t>
      </w:r>
      <w:r w:rsidRPr="009114DF">
        <w:rPr>
          <w:rFonts w:ascii="Times New Roman" w:hAnsi="Times New Roman"/>
          <w:sz w:val="28"/>
          <w:szCs w:val="28"/>
        </w:rPr>
        <w:t xml:space="preserve">стеопороз при ревматоидном </w:t>
      </w:r>
      <w:r w:rsidRPr="009114DF">
        <w:rPr>
          <w:rFonts w:ascii="Times New Roman" w:hAnsi="Times New Roman"/>
          <w:sz w:val="28"/>
          <w:szCs w:val="28"/>
          <w:lang w:val="en-US"/>
        </w:rPr>
        <w:t>a</w:t>
      </w:r>
      <w:r w:rsidRPr="009114DF">
        <w:rPr>
          <w:rFonts w:ascii="Times New Roman" w:hAnsi="Times New Roman"/>
          <w:sz w:val="28"/>
          <w:szCs w:val="28"/>
        </w:rPr>
        <w:t>ртрите: ди</w:t>
      </w:r>
      <w:r w:rsidRPr="009114DF">
        <w:rPr>
          <w:rFonts w:ascii="Times New Roman" w:hAnsi="Times New Roman"/>
          <w:sz w:val="28"/>
          <w:szCs w:val="28"/>
          <w:lang w:val="en-US"/>
        </w:rPr>
        <w:t>a</w:t>
      </w:r>
      <w:r w:rsidRPr="009114DF">
        <w:rPr>
          <w:rFonts w:ascii="Times New Roman" w:hAnsi="Times New Roman"/>
          <w:sz w:val="28"/>
          <w:szCs w:val="28"/>
        </w:rPr>
        <w:t>гностика, ф</w:t>
      </w:r>
      <w:r w:rsidRPr="009114DF">
        <w:rPr>
          <w:rFonts w:ascii="Times New Roman" w:hAnsi="Times New Roman"/>
          <w:sz w:val="28"/>
          <w:szCs w:val="28"/>
          <w:lang w:val="en-US"/>
        </w:rPr>
        <w:t>a</w:t>
      </w:r>
      <w:r w:rsidRPr="009114DF">
        <w:rPr>
          <w:rFonts w:ascii="Times New Roman" w:hAnsi="Times New Roman"/>
          <w:sz w:val="28"/>
          <w:szCs w:val="28"/>
        </w:rPr>
        <w:t>кторы риска, перел</w:t>
      </w:r>
      <w:r w:rsidRPr="009114DF">
        <w:rPr>
          <w:rFonts w:ascii="Times New Roman" w:hAnsi="Times New Roman"/>
          <w:sz w:val="28"/>
          <w:szCs w:val="28"/>
          <w:lang w:val="en-US"/>
        </w:rPr>
        <w:t>o</w:t>
      </w:r>
      <w:r w:rsidRPr="009114DF">
        <w:rPr>
          <w:rFonts w:ascii="Times New Roman" w:hAnsi="Times New Roman"/>
          <w:sz w:val="28"/>
          <w:szCs w:val="28"/>
        </w:rPr>
        <w:t>мы, лечение / И. С. Дыдыкин</w:t>
      </w:r>
      <w:r w:rsidRPr="009114DF">
        <w:rPr>
          <w:rFonts w:ascii="Times New Roman" w:hAnsi="Times New Roman"/>
          <w:sz w:val="28"/>
          <w:szCs w:val="28"/>
          <w:lang w:val="en-US"/>
        </w:rPr>
        <w:t>a</w:t>
      </w:r>
      <w:r w:rsidRPr="009114DF">
        <w:rPr>
          <w:rFonts w:ascii="Times New Roman" w:hAnsi="Times New Roman"/>
          <w:sz w:val="28"/>
          <w:szCs w:val="28"/>
        </w:rPr>
        <w:t>, Л. И. Алексеев</w:t>
      </w:r>
      <w:r w:rsidRPr="009114DF">
        <w:rPr>
          <w:rFonts w:ascii="Times New Roman" w:hAnsi="Times New Roman"/>
          <w:sz w:val="28"/>
          <w:szCs w:val="28"/>
          <w:lang w:val="en-US"/>
        </w:rPr>
        <w:t>a</w:t>
      </w:r>
      <w:r w:rsidRPr="009114DF">
        <w:rPr>
          <w:rFonts w:ascii="Times New Roman" w:hAnsi="Times New Roman"/>
          <w:sz w:val="28"/>
          <w:szCs w:val="28"/>
        </w:rPr>
        <w:t xml:space="preserve"> // Научно-практическая ревматология. – 2011. – № 5. – С. 13–17.</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Дыдыкин</w:t>
      </w:r>
      <w:proofErr w:type="gramStart"/>
      <w:r w:rsidRPr="009114DF">
        <w:rPr>
          <w:rFonts w:ascii="Times New Roman" w:hAnsi="Times New Roman"/>
          <w:bCs/>
          <w:i/>
          <w:sz w:val="28"/>
          <w:szCs w:val="28"/>
          <w:lang w:val="en-US"/>
        </w:rPr>
        <w:t>a</w:t>
      </w:r>
      <w:proofErr w:type="gramEnd"/>
      <w:r w:rsidRPr="009114DF">
        <w:rPr>
          <w:rFonts w:ascii="Times New Roman" w:hAnsi="Times New Roman"/>
          <w:bCs/>
          <w:i/>
          <w:sz w:val="28"/>
          <w:szCs w:val="28"/>
        </w:rPr>
        <w:t>, И. С.</w:t>
      </w:r>
      <w:r w:rsidRPr="009114DF">
        <w:rPr>
          <w:rFonts w:ascii="Times New Roman" w:hAnsi="Times New Roman"/>
          <w:bCs/>
          <w:sz w:val="28"/>
          <w:szCs w:val="28"/>
        </w:rPr>
        <w:t xml:space="preserve"> Ревмат</w:t>
      </w:r>
      <w:r w:rsidRPr="009114DF">
        <w:rPr>
          <w:rFonts w:ascii="Times New Roman" w:hAnsi="Times New Roman"/>
          <w:bCs/>
          <w:sz w:val="28"/>
          <w:szCs w:val="28"/>
          <w:lang w:val="en-US"/>
        </w:rPr>
        <w:t>o</w:t>
      </w:r>
      <w:r w:rsidRPr="009114DF">
        <w:rPr>
          <w:rFonts w:ascii="Times New Roman" w:hAnsi="Times New Roman"/>
          <w:bCs/>
          <w:sz w:val="28"/>
          <w:szCs w:val="28"/>
        </w:rPr>
        <w:t xml:space="preserve">идный </w:t>
      </w:r>
      <w:r w:rsidRPr="009114DF">
        <w:rPr>
          <w:rFonts w:ascii="Times New Roman" w:hAnsi="Times New Roman"/>
          <w:bCs/>
          <w:sz w:val="28"/>
          <w:szCs w:val="28"/>
          <w:lang w:val="en-US"/>
        </w:rPr>
        <w:t>a</w:t>
      </w:r>
      <w:r w:rsidRPr="009114DF">
        <w:rPr>
          <w:rFonts w:ascii="Times New Roman" w:hAnsi="Times New Roman"/>
          <w:bCs/>
          <w:sz w:val="28"/>
          <w:szCs w:val="28"/>
        </w:rPr>
        <w:t xml:space="preserve">ртрит и переломы / И. С. Дыдыкина, </w:t>
      </w:r>
      <w:r w:rsidR="00D96EA7" w:rsidRPr="00D96EA7">
        <w:rPr>
          <w:rFonts w:ascii="Times New Roman" w:hAnsi="Times New Roman"/>
          <w:bCs/>
          <w:sz w:val="28"/>
          <w:szCs w:val="28"/>
        </w:rPr>
        <w:t xml:space="preserve">        </w:t>
      </w:r>
      <w:r w:rsidRPr="009114DF">
        <w:rPr>
          <w:rFonts w:ascii="Times New Roman" w:hAnsi="Times New Roman"/>
          <w:bCs/>
          <w:sz w:val="28"/>
          <w:szCs w:val="28"/>
        </w:rPr>
        <w:t xml:space="preserve">Л. И. Беневоленская, Т. Н. Гавва // Научно-практическая ревматология. – 2005. – № 3. – С. 38.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Дыдыкин</w:t>
      </w:r>
      <w:proofErr w:type="gramStart"/>
      <w:r w:rsidRPr="009114DF">
        <w:rPr>
          <w:rFonts w:ascii="Times New Roman" w:hAnsi="Times New Roman"/>
          <w:bCs/>
          <w:i/>
          <w:sz w:val="28"/>
          <w:szCs w:val="28"/>
          <w:lang w:val="en-US"/>
        </w:rPr>
        <w:t>a</w:t>
      </w:r>
      <w:proofErr w:type="gramEnd"/>
      <w:r w:rsidRPr="009114DF">
        <w:rPr>
          <w:rFonts w:ascii="Times New Roman" w:hAnsi="Times New Roman"/>
          <w:bCs/>
          <w:i/>
          <w:sz w:val="28"/>
          <w:szCs w:val="28"/>
        </w:rPr>
        <w:t>, П. С.</w:t>
      </w:r>
      <w:r w:rsidRPr="009114DF">
        <w:rPr>
          <w:rFonts w:ascii="Times New Roman" w:hAnsi="Times New Roman"/>
          <w:bCs/>
          <w:sz w:val="28"/>
          <w:szCs w:val="28"/>
        </w:rPr>
        <w:t xml:space="preserve"> Влияни</w:t>
      </w:r>
      <w:r w:rsidR="00D96EA7">
        <w:rPr>
          <w:rFonts w:ascii="Times New Roman" w:hAnsi="Times New Roman"/>
          <w:bCs/>
          <w:sz w:val="28"/>
          <w:szCs w:val="28"/>
          <w:lang w:val="en-US"/>
        </w:rPr>
        <w:t>e</w:t>
      </w:r>
      <w:r w:rsidR="00D96EA7">
        <w:rPr>
          <w:rFonts w:ascii="Times New Roman" w:hAnsi="Times New Roman"/>
          <w:bCs/>
          <w:sz w:val="28"/>
          <w:szCs w:val="28"/>
        </w:rPr>
        <w:t xml:space="preserve"> т</w:t>
      </w:r>
      <w:r w:rsidR="00D96EA7">
        <w:rPr>
          <w:rFonts w:ascii="Times New Roman" w:hAnsi="Times New Roman"/>
          <w:bCs/>
          <w:sz w:val="28"/>
          <w:szCs w:val="28"/>
          <w:lang w:val="en-US"/>
        </w:rPr>
        <w:t>e</w:t>
      </w:r>
      <w:r w:rsidRPr="009114DF">
        <w:rPr>
          <w:rFonts w:ascii="Times New Roman" w:hAnsi="Times New Roman"/>
          <w:bCs/>
          <w:sz w:val="28"/>
          <w:szCs w:val="28"/>
        </w:rPr>
        <w:t>р</w:t>
      </w:r>
      <w:r w:rsidRPr="009114DF">
        <w:rPr>
          <w:rFonts w:ascii="Times New Roman" w:hAnsi="Times New Roman"/>
          <w:bCs/>
          <w:sz w:val="28"/>
          <w:szCs w:val="28"/>
          <w:lang w:val="en-US"/>
        </w:rPr>
        <w:t>a</w:t>
      </w:r>
      <w:r w:rsidR="00D96EA7">
        <w:rPr>
          <w:rFonts w:ascii="Times New Roman" w:hAnsi="Times New Roman"/>
          <w:bCs/>
          <w:sz w:val="28"/>
          <w:szCs w:val="28"/>
        </w:rPr>
        <w:t>пии гe</w:t>
      </w:r>
      <w:r w:rsidRPr="009114DF">
        <w:rPr>
          <w:rFonts w:ascii="Times New Roman" w:hAnsi="Times New Roman"/>
          <w:bCs/>
          <w:sz w:val="28"/>
          <w:szCs w:val="28"/>
        </w:rPr>
        <w:t>нно-инженерными биол</w:t>
      </w:r>
      <w:r w:rsidRPr="009114DF">
        <w:rPr>
          <w:rFonts w:ascii="Times New Roman" w:hAnsi="Times New Roman"/>
          <w:bCs/>
          <w:sz w:val="28"/>
          <w:szCs w:val="28"/>
          <w:lang w:val="en-US"/>
        </w:rPr>
        <w:t>o</w:t>
      </w:r>
      <w:r w:rsidR="00D96EA7">
        <w:rPr>
          <w:rFonts w:ascii="Times New Roman" w:hAnsi="Times New Roman"/>
          <w:bCs/>
          <w:sz w:val="28"/>
          <w:szCs w:val="28"/>
        </w:rPr>
        <w:t>гич</w:t>
      </w:r>
      <w:r w:rsidR="00D96EA7">
        <w:rPr>
          <w:rFonts w:ascii="Times New Roman" w:hAnsi="Times New Roman"/>
          <w:bCs/>
          <w:sz w:val="28"/>
          <w:szCs w:val="28"/>
          <w:lang w:val="en-US"/>
        </w:rPr>
        <w:t>e</w:t>
      </w:r>
      <w:r w:rsidRPr="009114DF">
        <w:rPr>
          <w:rFonts w:ascii="Times New Roman" w:hAnsi="Times New Roman"/>
          <w:bCs/>
          <w:sz w:val="28"/>
          <w:szCs w:val="28"/>
        </w:rPr>
        <w:t>скими препарат</w:t>
      </w:r>
      <w:r w:rsidRPr="009114DF">
        <w:rPr>
          <w:rFonts w:ascii="Times New Roman" w:hAnsi="Times New Roman"/>
          <w:bCs/>
          <w:sz w:val="28"/>
          <w:szCs w:val="28"/>
          <w:lang w:val="en-US"/>
        </w:rPr>
        <w:t>a</w:t>
      </w:r>
      <w:r w:rsidRPr="009114DF">
        <w:rPr>
          <w:rFonts w:ascii="Times New Roman" w:hAnsi="Times New Roman"/>
          <w:bCs/>
          <w:sz w:val="28"/>
          <w:szCs w:val="28"/>
        </w:rPr>
        <w:t>ми на к</w:t>
      </w:r>
      <w:r w:rsidRPr="009114DF">
        <w:rPr>
          <w:rFonts w:ascii="Times New Roman" w:hAnsi="Times New Roman"/>
          <w:bCs/>
          <w:sz w:val="28"/>
          <w:szCs w:val="28"/>
          <w:lang w:val="en-US"/>
        </w:rPr>
        <w:t>o</w:t>
      </w:r>
      <w:r w:rsidRPr="009114DF">
        <w:rPr>
          <w:rFonts w:ascii="Times New Roman" w:hAnsi="Times New Roman"/>
          <w:bCs/>
          <w:sz w:val="28"/>
          <w:szCs w:val="28"/>
        </w:rPr>
        <w:t>стную ткань б</w:t>
      </w:r>
      <w:r w:rsidRPr="009114DF">
        <w:rPr>
          <w:rFonts w:ascii="Times New Roman" w:hAnsi="Times New Roman"/>
          <w:bCs/>
          <w:sz w:val="28"/>
          <w:szCs w:val="28"/>
          <w:lang w:val="en-US"/>
        </w:rPr>
        <w:t>o</w:t>
      </w:r>
      <w:r w:rsidRPr="009114DF">
        <w:rPr>
          <w:rFonts w:ascii="Times New Roman" w:hAnsi="Times New Roman"/>
          <w:bCs/>
          <w:sz w:val="28"/>
          <w:szCs w:val="28"/>
        </w:rPr>
        <w:t xml:space="preserve">льных ревматоидным артритом / </w:t>
      </w:r>
      <w:r w:rsidR="00D96EA7">
        <w:rPr>
          <w:rFonts w:ascii="Times New Roman" w:hAnsi="Times New Roman"/>
          <w:bCs/>
          <w:sz w:val="28"/>
          <w:szCs w:val="28"/>
        </w:rPr>
        <w:t xml:space="preserve">               </w:t>
      </w:r>
      <w:r w:rsidRPr="009114DF">
        <w:rPr>
          <w:rFonts w:ascii="Times New Roman" w:hAnsi="Times New Roman"/>
          <w:bCs/>
          <w:sz w:val="28"/>
          <w:szCs w:val="28"/>
        </w:rPr>
        <w:t xml:space="preserve">П. С. Дыдыкина, И. С. Дыдыкина, Е. Л. Насонов // Научно-практическая ревматология. – 2014. – № 6. – С. 669–677.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Дыдыкина, П. С.</w:t>
      </w:r>
      <w:r w:rsidRPr="009114DF">
        <w:rPr>
          <w:rFonts w:ascii="Times New Roman" w:hAnsi="Times New Roman"/>
          <w:sz w:val="28"/>
          <w:szCs w:val="28"/>
        </w:rPr>
        <w:t xml:space="preserve"> Изучение влияния терапии антителами к CD20 антигену B-лимфоцитов (ритуксимабом) на минеральную плотность кости у больных ревматоидным артритом / П. С. Дыдыкина, И. С. Дыдыкина, Г. В. Лукина // Материалы VIII Национального конгресса терапевтов. – М.</w:t>
      </w:r>
      <w:proofErr w:type="gramStart"/>
      <w:r w:rsidRPr="009114DF">
        <w:rPr>
          <w:rFonts w:ascii="Times New Roman" w:hAnsi="Times New Roman"/>
          <w:sz w:val="28"/>
          <w:szCs w:val="28"/>
        </w:rPr>
        <w:t xml:space="preserve"> :</w:t>
      </w:r>
      <w:proofErr w:type="gramEnd"/>
      <w:r w:rsidRPr="009114DF">
        <w:rPr>
          <w:rFonts w:ascii="Times New Roman" w:hAnsi="Times New Roman"/>
          <w:sz w:val="28"/>
          <w:szCs w:val="28"/>
        </w:rPr>
        <w:t xml:space="preserve"> ООО «Бионика Медиа», 2013. – С. 105.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Зайцев, В. М.</w:t>
      </w:r>
      <w:r w:rsidRPr="009114DF">
        <w:rPr>
          <w:rFonts w:ascii="Times New Roman" w:hAnsi="Times New Roman"/>
          <w:sz w:val="28"/>
          <w:szCs w:val="28"/>
        </w:rPr>
        <w:t xml:space="preserve"> Прикладная медицинская статистика : учеб</w:t>
      </w:r>
      <w:proofErr w:type="gramStart"/>
      <w:r w:rsidRPr="009114DF">
        <w:rPr>
          <w:rFonts w:ascii="Times New Roman" w:hAnsi="Times New Roman"/>
          <w:sz w:val="28"/>
          <w:szCs w:val="28"/>
        </w:rPr>
        <w:t>.-</w:t>
      </w:r>
      <w:proofErr w:type="gramEnd"/>
      <w:r w:rsidRPr="009114DF">
        <w:rPr>
          <w:rFonts w:ascii="Times New Roman" w:hAnsi="Times New Roman"/>
          <w:sz w:val="28"/>
          <w:szCs w:val="28"/>
        </w:rPr>
        <w:t>практ. пособие / В. М. Зайцев. – СПб</w:t>
      </w:r>
      <w:proofErr w:type="gramStart"/>
      <w:r w:rsidRPr="009114DF">
        <w:rPr>
          <w:rFonts w:ascii="Times New Roman" w:hAnsi="Times New Roman"/>
          <w:sz w:val="28"/>
          <w:szCs w:val="28"/>
        </w:rPr>
        <w:t xml:space="preserve">. : </w:t>
      </w:r>
      <w:proofErr w:type="gramEnd"/>
      <w:r w:rsidRPr="009114DF">
        <w:rPr>
          <w:rFonts w:ascii="Times New Roman" w:hAnsi="Times New Roman"/>
          <w:sz w:val="28"/>
          <w:szCs w:val="28"/>
        </w:rPr>
        <w:t xml:space="preserve">Фолиант, 2006. – 432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Зорин, Н. А.</w:t>
      </w:r>
      <w:r w:rsidRPr="009114DF">
        <w:rPr>
          <w:rFonts w:ascii="Times New Roman" w:hAnsi="Times New Roman"/>
          <w:bCs/>
          <w:sz w:val="28"/>
          <w:szCs w:val="28"/>
        </w:rPr>
        <w:t xml:space="preserve"> Молекулярные механизмы иммунопатогенеза и терапии при ревматоидном артрите / Н. А. Зорин </w:t>
      </w:r>
      <w:r w:rsidRPr="009114DF">
        <w:rPr>
          <w:rFonts w:ascii="Times New Roman" w:hAnsi="Times New Roman"/>
          <w:sz w:val="28"/>
          <w:szCs w:val="24"/>
        </w:rPr>
        <w:t>[и др.]</w:t>
      </w:r>
      <w:r w:rsidRPr="009114DF">
        <w:rPr>
          <w:rFonts w:ascii="Times New Roman" w:hAnsi="Times New Roman"/>
          <w:bCs/>
          <w:sz w:val="28"/>
          <w:szCs w:val="28"/>
        </w:rPr>
        <w:t xml:space="preserve"> // Терапевтический архив – 2005. – № 12. – С. 88–91.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sz w:val="28"/>
          <w:szCs w:val="28"/>
        </w:rPr>
        <w:t xml:space="preserve">Клинико-экономический анализ / под ред. П. А. Воробьева. – </w:t>
      </w:r>
      <w:r w:rsidR="00D96EA7">
        <w:rPr>
          <w:rFonts w:ascii="Times New Roman" w:hAnsi="Times New Roman"/>
          <w:sz w:val="28"/>
          <w:szCs w:val="28"/>
        </w:rPr>
        <w:t xml:space="preserve">                     </w:t>
      </w:r>
      <w:r w:rsidRPr="009114DF">
        <w:rPr>
          <w:rFonts w:ascii="Times New Roman" w:hAnsi="Times New Roman"/>
          <w:sz w:val="28"/>
          <w:szCs w:val="28"/>
        </w:rPr>
        <w:t xml:space="preserve">М.: Ньюдиамед, 2004. – 240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Колотова, Г. Б.</w:t>
      </w:r>
      <w:r w:rsidRPr="009114DF">
        <w:rPr>
          <w:rFonts w:ascii="Times New Roman" w:hAnsi="Times New Roman"/>
          <w:bCs/>
          <w:sz w:val="28"/>
          <w:szCs w:val="28"/>
        </w:rPr>
        <w:t xml:space="preserve"> Особенности цитокинового профиля Т-лимфоцитов периферической крови и синовиальной жидкости при ревматоидном артрите / Г. Б. Колотова, Ю. Г. Лагерева, Я. Б. Бейкин // Терапевт</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а</w:t>
      </w:r>
      <w:proofErr w:type="gramEnd"/>
      <w:r w:rsidRPr="009114DF">
        <w:rPr>
          <w:rFonts w:ascii="Times New Roman" w:hAnsi="Times New Roman"/>
          <w:bCs/>
          <w:sz w:val="28"/>
          <w:szCs w:val="28"/>
        </w:rPr>
        <w:t xml:space="preserve">рх. – 2008. – № 5. – С. 21–25.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Котлубуй, О. В.</w:t>
      </w:r>
      <w:r w:rsidRPr="009114DF">
        <w:rPr>
          <w:rFonts w:ascii="Times New Roman" w:hAnsi="Times New Roman"/>
          <w:sz w:val="28"/>
          <w:szCs w:val="28"/>
        </w:rPr>
        <w:t xml:space="preserve"> Ренгенолог</w:t>
      </w:r>
      <w:proofErr w:type="gramStart"/>
      <w:r w:rsidRPr="009114DF">
        <w:rPr>
          <w:rFonts w:ascii="Times New Roman" w:hAnsi="Times New Roman"/>
          <w:sz w:val="28"/>
          <w:szCs w:val="28"/>
        </w:rPr>
        <w:t>i</w:t>
      </w:r>
      <w:proofErr w:type="gramEnd"/>
      <w:r w:rsidRPr="009114DF">
        <w:rPr>
          <w:rFonts w:ascii="Times New Roman" w:hAnsi="Times New Roman"/>
          <w:sz w:val="28"/>
          <w:szCs w:val="28"/>
        </w:rPr>
        <w:t xml:space="preserve">чна дiагностика остеопорозу при ревматоiдному артритi / О. В. Котлубуй // II Нацiон. конгресс ревматологiв </w:t>
      </w:r>
      <w:r w:rsidRPr="009114DF">
        <w:rPr>
          <w:rFonts w:ascii="Times New Roman" w:hAnsi="Times New Roman"/>
          <w:sz w:val="28"/>
          <w:szCs w:val="28"/>
        </w:rPr>
        <w:lastRenderedPageBreak/>
        <w:t>Украiни. Матерiали наук</w:t>
      </w:r>
      <w:proofErr w:type="gramStart"/>
      <w:r w:rsidRPr="009114DF">
        <w:rPr>
          <w:rFonts w:ascii="Times New Roman" w:hAnsi="Times New Roman"/>
          <w:sz w:val="28"/>
          <w:szCs w:val="28"/>
        </w:rPr>
        <w:t>.</w:t>
      </w:r>
      <w:proofErr w:type="gramEnd"/>
      <w:r w:rsidRPr="009114DF">
        <w:rPr>
          <w:rFonts w:ascii="Times New Roman" w:hAnsi="Times New Roman"/>
          <w:sz w:val="28"/>
          <w:szCs w:val="28"/>
        </w:rPr>
        <w:t xml:space="preserve"> </w:t>
      </w:r>
      <w:proofErr w:type="gramStart"/>
      <w:r w:rsidRPr="009114DF">
        <w:rPr>
          <w:rFonts w:ascii="Times New Roman" w:hAnsi="Times New Roman"/>
          <w:sz w:val="28"/>
          <w:szCs w:val="28"/>
        </w:rPr>
        <w:t>п</w:t>
      </w:r>
      <w:proofErr w:type="gramEnd"/>
      <w:r w:rsidRPr="009114DF">
        <w:rPr>
          <w:rFonts w:ascii="Times New Roman" w:hAnsi="Times New Roman"/>
          <w:sz w:val="28"/>
          <w:szCs w:val="28"/>
        </w:rPr>
        <w:t xml:space="preserve">раць конгрессу (Киiв, 16–19 вересня 1997). – </w:t>
      </w:r>
      <w:r w:rsidR="00D96EA7">
        <w:rPr>
          <w:rFonts w:ascii="Times New Roman" w:hAnsi="Times New Roman"/>
          <w:sz w:val="28"/>
          <w:szCs w:val="28"/>
        </w:rPr>
        <w:t xml:space="preserve">    </w:t>
      </w:r>
      <w:r w:rsidRPr="009114DF">
        <w:rPr>
          <w:rFonts w:ascii="Times New Roman" w:hAnsi="Times New Roman"/>
          <w:sz w:val="28"/>
          <w:szCs w:val="28"/>
        </w:rPr>
        <w:t xml:space="preserve">К., 1997. – С. 116.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Лесняк, О М.</w:t>
      </w:r>
      <w:r w:rsidRPr="009114DF">
        <w:rPr>
          <w:rFonts w:ascii="Times New Roman" w:hAnsi="Times New Roman"/>
          <w:bCs/>
          <w:sz w:val="28"/>
          <w:szCs w:val="28"/>
        </w:rPr>
        <w:t xml:space="preserve"> Остеопороз в Российской Федерации: проблемы и перспективы / О. М. Лесняк, Л. И. Беневоленская // Научно-практическая ревматология. – 2010 – № 5. – С. 14–19.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Лесняк, О. М.</w:t>
      </w:r>
      <w:r w:rsidRPr="009114DF">
        <w:rPr>
          <w:rFonts w:ascii="Times New Roman" w:hAnsi="Times New Roman"/>
          <w:bCs/>
          <w:sz w:val="28"/>
          <w:szCs w:val="28"/>
        </w:rPr>
        <w:t xml:space="preserve"> Клинические рекомендации. Остеопороз. Диагностика, профилактика и лечение / О. М. Лесняк, Л. И. Беневоленская. – М., 2011. – 270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Лесняк, О. М.</w:t>
      </w:r>
      <w:r w:rsidRPr="009114DF">
        <w:rPr>
          <w:rFonts w:ascii="Times New Roman" w:hAnsi="Times New Roman"/>
          <w:bCs/>
          <w:sz w:val="28"/>
          <w:szCs w:val="28"/>
        </w:rPr>
        <w:t xml:space="preserve"> Соблюдение кальциевой диеты и прием препаратов кальция и витамина </w:t>
      </w:r>
      <w:r w:rsidRPr="009114DF">
        <w:rPr>
          <w:rFonts w:ascii="Times New Roman" w:hAnsi="Times New Roman"/>
          <w:bCs/>
          <w:sz w:val="28"/>
          <w:szCs w:val="28"/>
          <w:lang w:val="en-US"/>
        </w:rPr>
        <w:t>D</w:t>
      </w:r>
      <w:r w:rsidRPr="009114DF">
        <w:rPr>
          <w:rFonts w:ascii="Times New Roman" w:hAnsi="Times New Roman"/>
          <w:bCs/>
          <w:sz w:val="28"/>
          <w:szCs w:val="28"/>
        </w:rPr>
        <w:t xml:space="preserve"> пациентами с остеопорозом / О. М.  Лесняк, Л. П. Евстигнеева // Тезисы докладов </w:t>
      </w:r>
      <w:r w:rsidRPr="009114DF">
        <w:rPr>
          <w:rFonts w:ascii="Times New Roman" w:hAnsi="Times New Roman"/>
          <w:bCs/>
          <w:sz w:val="28"/>
          <w:szCs w:val="28"/>
          <w:lang w:val="en-US"/>
        </w:rPr>
        <w:t>III</w:t>
      </w:r>
      <w:r w:rsidRPr="009114DF">
        <w:rPr>
          <w:rFonts w:ascii="Times New Roman" w:hAnsi="Times New Roman"/>
          <w:bCs/>
          <w:sz w:val="28"/>
          <w:szCs w:val="28"/>
        </w:rPr>
        <w:t xml:space="preserve"> Российского конгресса по остеопорозу с международным участием. – Екатеринбург, 2008. –</w:t>
      </w:r>
      <w:r w:rsidR="00D96EA7">
        <w:rPr>
          <w:rFonts w:ascii="Times New Roman" w:hAnsi="Times New Roman"/>
          <w:bCs/>
          <w:sz w:val="28"/>
          <w:szCs w:val="28"/>
        </w:rPr>
        <w:t xml:space="preserve"> </w:t>
      </w:r>
      <w:r w:rsidRPr="009114DF">
        <w:rPr>
          <w:rFonts w:ascii="Times New Roman" w:hAnsi="Times New Roman"/>
          <w:bCs/>
          <w:sz w:val="28"/>
          <w:szCs w:val="28"/>
        </w:rPr>
        <w:t xml:space="preserve">С. 101.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Летаева, М. В.</w:t>
      </w:r>
      <w:r w:rsidRPr="009114DF">
        <w:rPr>
          <w:rFonts w:ascii="Times New Roman" w:hAnsi="Times New Roman"/>
          <w:bCs/>
          <w:sz w:val="28"/>
          <w:szCs w:val="28"/>
        </w:rPr>
        <w:t xml:space="preserve"> Минеральная плотность кости и показатели костного метаболизма у мужчин с ревматоидным артритом : автореф. дис. … канд. мед</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н</w:t>
      </w:r>
      <w:proofErr w:type="gramEnd"/>
      <w:r w:rsidRPr="009114DF">
        <w:rPr>
          <w:rFonts w:ascii="Times New Roman" w:hAnsi="Times New Roman"/>
          <w:bCs/>
          <w:sz w:val="28"/>
          <w:szCs w:val="28"/>
        </w:rPr>
        <w:t xml:space="preserve">аук. – Барнаул,  2011. – 24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Лукина, Г. В.</w:t>
      </w:r>
      <w:r w:rsidRPr="009114DF">
        <w:rPr>
          <w:rFonts w:ascii="Times New Roman" w:hAnsi="Times New Roman"/>
          <w:bCs/>
          <w:sz w:val="28"/>
          <w:szCs w:val="28"/>
        </w:rPr>
        <w:t xml:space="preserve"> Анти-В-клеточная терапия ревматоидного артрита / Г. В. Лукина, Я. А. Сигидин // Научно-практическая ревматология. – 2009. –  </w:t>
      </w:r>
      <w:r w:rsidR="00D96EA7">
        <w:rPr>
          <w:rFonts w:ascii="Times New Roman" w:hAnsi="Times New Roman"/>
          <w:bCs/>
          <w:sz w:val="28"/>
          <w:szCs w:val="28"/>
        </w:rPr>
        <w:t xml:space="preserve">     </w:t>
      </w:r>
      <w:r w:rsidRPr="009114DF">
        <w:rPr>
          <w:rFonts w:ascii="Times New Roman" w:hAnsi="Times New Roman"/>
          <w:bCs/>
          <w:sz w:val="28"/>
          <w:szCs w:val="28"/>
        </w:rPr>
        <w:t>№ 1. – С. 50–55.</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Лукина, Г. В.</w:t>
      </w:r>
      <w:r w:rsidRPr="009114DF">
        <w:rPr>
          <w:rFonts w:ascii="Times New Roman" w:hAnsi="Times New Roman"/>
          <w:bCs/>
          <w:sz w:val="28"/>
          <w:szCs w:val="28"/>
        </w:rPr>
        <w:t xml:space="preserve"> Опыт применения ритуксимаба у больных ревматоидным артритом в реальной клинической практике по данным Российского регистра АРБИТР / Г. В. Лукина, Я. А. Сигидин, К. Х. Кузикянц // РМЖ. – 2011. – № 25. – С. 1518.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Лучихина, Е. Л.</w:t>
      </w:r>
      <w:r w:rsidRPr="009114DF">
        <w:rPr>
          <w:rFonts w:ascii="Times New Roman" w:hAnsi="Times New Roman"/>
          <w:bCs/>
          <w:sz w:val="28"/>
          <w:szCs w:val="28"/>
        </w:rPr>
        <w:t xml:space="preserve"> Актуальные вопросы </w:t>
      </w:r>
      <w:proofErr w:type="gramStart"/>
      <w:r w:rsidRPr="009114DF">
        <w:rPr>
          <w:rFonts w:ascii="Times New Roman" w:hAnsi="Times New Roman"/>
          <w:bCs/>
          <w:sz w:val="28"/>
          <w:szCs w:val="28"/>
        </w:rPr>
        <w:t>применения ингибиторов фактора некроза опухоли</w:t>
      </w:r>
      <w:proofErr w:type="gramEnd"/>
      <w:r w:rsidRPr="009114DF">
        <w:rPr>
          <w:rFonts w:ascii="Times New Roman" w:hAnsi="Times New Roman"/>
          <w:bCs/>
          <w:sz w:val="28"/>
          <w:szCs w:val="28"/>
        </w:rPr>
        <w:t xml:space="preserve"> α при ревматоидном артрите / Е. Л. Лучихина, </w:t>
      </w:r>
      <w:r w:rsidR="00D96EA7">
        <w:rPr>
          <w:rFonts w:ascii="Times New Roman" w:hAnsi="Times New Roman"/>
          <w:bCs/>
          <w:sz w:val="28"/>
          <w:szCs w:val="28"/>
        </w:rPr>
        <w:t xml:space="preserve">                   </w:t>
      </w:r>
      <w:r w:rsidRPr="009114DF">
        <w:rPr>
          <w:rFonts w:ascii="Times New Roman" w:hAnsi="Times New Roman"/>
          <w:bCs/>
          <w:sz w:val="28"/>
          <w:szCs w:val="28"/>
        </w:rPr>
        <w:t xml:space="preserve">Д. Е. Каратеев // Современная ревматология. – 2008. – № 4. – С. 46–51.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Лучихина, Е. Л.</w:t>
      </w:r>
      <w:r w:rsidRPr="009114DF">
        <w:rPr>
          <w:rFonts w:ascii="Times New Roman" w:hAnsi="Times New Roman"/>
          <w:bCs/>
          <w:sz w:val="28"/>
          <w:szCs w:val="28"/>
        </w:rPr>
        <w:t xml:space="preserve"> Ритуксимаб в современной терапии ревматоидного артрита / Е. Л. Лучихина // Современная ревматология. – 2008. – № 2. – С. 74–79.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Мазуров, В. И.</w:t>
      </w:r>
      <w:r w:rsidRPr="009114DF">
        <w:rPr>
          <w:rFonts w:ascii="Times New Roman" w:hAnsi="Times New Roman"/>
          <w:sz w:val="28"/>
          <w:szCs w:val="28"/>
        </w:rPr>
        <w:t xml:space="preserve"> Ревматоидный артрит / В. И. Мазуров, </w:t>
      </w:r>
      <w:r w:rsidRPr="009114DF">
        <w:rPr>
          <w:rFonts w:ascii="Times New Roman" w:hAnsi="Times New Roman"/>
          <w:sz w:val="28"/>
          <w:szCs w:val="28"/>
          <w:lang w:val="en-US"/>
        </w:rPr>
        <w:t>A</w:t>
      </w:r>
      <w:r w:rsidRPr="009114DF">
        <w:rPr>
          <w:rFonts w:ascii="Times New Roman" w:hAnsi="Times New Roman"/>
          <w:sz w:val="28"/>
          <w:szCs w:val="28"/>
        </w:rPr>
        <w:t xml:space="preserve">. </w:t>
      </w:r>
      <w:r w:rsidRPr="009114DF">
        <w:rPr>
          <w:rFonts w:ascii="Times New Roman" w:hAnsi="Times New Roman"/>
          <w:sz w:val="28"/>
          <w:szCs w:val="28"/>
          <w:lang w:val="en-US"/>
        </w:rPr>
        <w:t>M</w:t>
      </w:r>
      <w:r w:rsidRPr="009114DF">
        <w:rPr>
          <w:rFonts w:ascii="Times New Roman" w:hAnsi="Times New Roman"/>
          <w:sz w:val="28"/>
          <w:szCs w:val="28"/>
        </w:rPr>
        <w:t xml:space="preserve">. Лила. – </w:t>
      </w:r>
      <w:r w:rsidR="00D96EA7">
        <w:rPr>
          <w:rFonts w:ascii="Times New Roman" w:hAnsi="Times New Roman"/>
          <w:sz w:val="28"/>
          <w:szCs w:val="28"/>
        </w:rPr>
        <w:t xml:space="preserve">        </w:t>
      </w:r>
      <w:r w:rsidRPr="009114DF">
        <w:rPr>
          <w:rFonts w:ascii="Times New Roman" w:hAnsi="Times New Roman"/>
          <w:sz w:val="28"/>
          <w:szCs w:val="28"/>
        </w:rPr>
        <w:t>СПб</w:t>
      </w:r>
      <w:proofErr w:type="gramStart"/>
      <w:r w:rsidRPr="009114DF">
        <w:rPr>
          <w:rFonts w:ascii="Times New Roman" w:hAnsi="Times New Roman"/>
          <w:sz w:val="28"/>
          <w:szCs w:val="28"/>
        </w:rPr>
        <w:t>. :</w:t>
      </w:r>
      <w:proofErr w:type="gramEnd"/>
      <w:r w:rsidRPr="009114DF">
        <w:rPr>
          <w:rFonts w:ascii="Times New Roman" w:hAnsi="Times New Roman"/>
          <w:sz w:val="28"/>
          <w:szCs w:val="28"/>
        </w:rPr>
        <w:t xml:space="preserve"> Фолиант, 2005. – С. 87–140.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lastRenderedPageBreak/>
        <w:t>Меньшикова, Л. В.</w:t>
      </w:r>
      <w:r w:rsidRPr="009114DF">
        <w:rPr>
          <w:rFonts w:ascii="Times New Roman" w:hAnsi="Times New Roman"/>
          <w:bCs/>
          <w:sz w:val="28"/>
          <w:szCs w:val="28"/>
        </w:rPr>
        <w:t xml:space="preserve"> Исходы переломов бедренной кости и их медико-социальные последствия / Л. В. Меньшикова // Клин</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м</w:t>
      </w:r>
      <w:proofErr w:type="gramEnd"/>
      <w:r w:rsidRPr="009114DF">
        <w:rPr>
          <w:rFonts w:ascii="Times New Roman" w:hAnsi="Times New Roman"/>
          <w:bCs/>
          <w:sz w:val="28"/>
          <w:szCs w:val="28"/>
        </w:rPr>
        <w:t xml:space="preserve">едицина. – 2002. – </w:t>
      </w:r>
      <w:r w:rsidR="00D96EA7">
        <w:rPr>
          <w:rFonts w:ascii="Times New Roman" w:hAnsi="Times New Roman"/>
          <w:bCs/>
          <w:sz w:val="28"/>
          <w:szCs w:val="28"/>
        </w:rPr>
        <w:t xml:space="preserve">  </w:t>
      </w:r>
      <w:r w:rsidRPr="009114DF">
        <w:rPr>
          <w:rFonts w:ascii="Times New Roman" w:hAnsi="Times New Roman"/>
          <w:bCs/>
          <w:sz w:val="28"/>
          <w:szCs w:val="28"/>
        </w:rPr>
        <w:t>№ 6. – С. 39–41.</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Мурадянц, А. А.</w:t>
      </w:r>
      <w:r w:rsidRPr="009114DF">
        <w:rPr>
          <w:rFonts w:ascii="Times New Roman" w:hAnsi="Times New Roman"/>
          <w:bCs/>
          <w:sz w:val="28"/>
          <w:szCs w:val="28"/>
        </w:rPr>
        <w:t xml:space="preserve"> Состояние минеральной плотности костной ткани у больных на ранней стадии РА в зависимости от некоторых клинических показателей / А. А. Мурадянц, Н. А. Шостак, Т. К. Логинова // Научно-практическая ревматология. – 2005. – № 3. – С. 88.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Проблемы остеопороза в ревматологии / Е. Л. Насонов, </w:t>
      </w:r>
      <w:r w:rsidR="00CB6BB3">
        <w:rPr>
          <w:rFonts w:ascii="Times New Roman" w:hAnsi="Times New Roman"/>
          <w:bCs/>
          <w:sz w:val="28"/>
          <w:szCs w:val="28"/>
        </w:rPr>
        <w:t xml:space="preserve">        </w:t>
      </w:r>
      <w:r w:rsidRPr="009114DF">
        <w:rPr>
          <w:rFonts w:ascii="Times New Roman" w:hAnsi="Times New Roman"/>
          <w:bCs/>
          <w:sz w:val="28"/>
          <w:szCs w:val="28"/>
        </w:rPr>
        <w:t>И. А. Скрипникова, В. А. Насонова. –  М.</w:t>
      </w:r>
      <w:proofErr w:type="gramStart"/>
      <w:r w:rsidRPr="009114DF">
        <w:rPr>
          <w:rFonts w:ascii="Times New Roman" w:hAnsi="Times New Roman"/>
          <w:bCs/>
          <w:sz w:val="28"/>
          <w:szCs w:val="28"/>
        </w:rPr>
        <w:t xml:space="preserve"> :</w:t>
      </w:r>
      <w:proofErr w:type="gramEnd"/>
      <w:r w:rsidRPr="009114DF">
        <w:rPr>
          <w:rFonts w:ascii="Times New Roman" w:hAnsi="Times New Roman"/>
          <w:bCs/>
          <w:sz w:val="28"/>
          <w:szCs w:val="28"/>
        </w:rPr>
        <w:t xml:space="preserve"> СТИН, 1997.</w:t>
      </w:r>
      <w:r w:rsidRPr="009114DF">
        <w:rPr>
          <w:rFonts w:ascii="Times New Roman" w:hAnsi="Times New Roman"/>
          <w:sz w:val="28"/>
          <w:szCs w:val="28"/>
        </w:rPr>
        <w:t xml:space="preserve"> – 429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Фармакотерапия ревматоидного артрита в XXI веке: фокус на ритуксимаб / Е. Л. Насонов // Современная ревматология. – 2009. – № 4. –  С. 67–75.</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Лечение ревматоидного артрита: современное состояние проблемы / Е. Л. Насонов // РМЖ. – 2006. – № 14. – С. 573–577.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Метотрексат. Перспективы применения в ревматологии / </w:t>
      </w:r>
      <w:r w:rsidR="00CB6BB3">
        <w:rPr>
          <w:rFonts w:ascii="Times New Roman" w:hAnsi="Times New Roman"/>
          <w:bCs/>
          <w:sz w:val="28"/>
          <w:szCs w:val="28"/>
        </w:rPr>
        <w:t xml:space="preserve">     </w:t>
      </w:r>
      <w:r w:rsidRPr="009114DF">
        <w:rPr>
          <w:rFonts w:ascii="Times New Roman" w:hAnsi="Times New Roman"/>
          <w:bCs/>
          <w:sz w:val="28"/>
          <w:szCs w:val="28"/>
        </w:rPr>
        <w:t xml:space="preserve">Е. Л. Насонов. – М., 2009. – 196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Эффективность и безопасность тоцилизумаба при ревматоидном артрите / Е. Л. Насонов, Е. Ю. Панасюк, С. Г. Булдаков // Научно-практическая ревматология. – 2010. – № 2. – С. 21–29.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Новые направления фармакотерапии ревматических заболеваний – ингибиция интерлейкина 6 и интерлейкина 17 / Е. Л. Насонов // Современная ревматология. – 2013. – № 3. – С. 5–14.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Перспективы комбинированной терапии ревматоидного артрита – лефлуномид и инфликсимаб  / Е. Л. Насонов // РМЖ. –  2008. – № 16 (10). – С. 633–637.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Перспективы применения ритуксимаба при аутоиммунных заболеваниях человека / Е. Л. Насонов // РМЖ. –  2007. –  № 26. – С. 1–6.</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Насонов, Е. Л.</w:t>
      </w:r>
      <w:r w:rsidRPr="009114DF">
        <w:rPr>
          <w:rFonts w:ascii="Times New Roman" w:hAnsi="Times New Roman"/>
          <w:sz w:val="28"/>
          <w:szCs w:val="28"/>
        </w:rPr>
        <w:t xml:space="preserve"> Прогресс ревматологии в начале XXI века / Е. Л. Насонов // Современная ревматология. – 2014. – № 3. – С. 4–8.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lastRenderedPageBreak/>
        <w:t>Насонов, Е. Л</w:t>
      </w:r>
      <w:r w:rsidRPr="009114DF">
        <w:rPr>
          <w:rFonts w:ascii="Times New Roman" w:hAnsi="Times New Roman"/>
          <w:sz w:val="28"/>
          <w:szCs w:val="28"/>
        </w:rPr>
        <w:t>. Ревматоидный артрит / Е. Л. Насонов, Д. Е. Каратеев; под ред. Е. Л. Насонова, В. А. Насоновой // Ревматология. Национальное руководство. – М.</w:t>
      </w:r>
      <w:proofErr w:type="gramStart"/>
      <w:r w:rsidRPr="009114DF">
        <w:rPr>
          <w:rFonts w:ascii="Times New Roman" w:hAnsi="Times New Roman"/>
          <w:sz w:val="28"/>
          <w:szCs w:val="28"/>
        </w:rPr>
        <w:t xml:space="preserve"> :</w:t>
      </w:r>
      <w:proofErr w:type="gramEnd"/>
      <w:r w:rsidRPr="009114DF">
        <w:rPr>
          <w:rFonts w:ascii="Times New Roman" w:hAnsi="Times New Roman"/>
          <w:sz w:val="28"/>
          <w:szCs w:val="28"/>
        </w:rPr>
        <w:t xml:space="preserve"> ГЭОТАР-Медиа, 2008. – 852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Ревматоидный артрит как общемедицинская проблема / </w:t>
      </w:r>
      <w:r w:rsidR="00CB6BB3">
        <w:rPr>
          <w:rFonts w:ascii="Times New Roman" w:hAnsi="Times New Roman"/>
          <w:bCs/>
          <w:sz w:val="28"/>
          <w:szCs w:val="28"/>
        </w:rPr>
        <w:t xml:space="preserve">       </w:t>
      </w:r>
      <w:r w:rsidRPr="009114DF">
        <w:rPr>
          <w:rFonts w:ascii="Times New Roman" w:hAnsi="Times New Roman"/>
          <w:bCs/>
          <w:sz w:val="28"/>
          <w:szCs w:val="28"/>
        </w:rPr>
        <w:t>Е. Л. Насонов // Терапевт</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а</w:t>
      </w:r>
      <w:proofErr w:type="gramEnd"/>
      <w:r w:rsidRPr="009114DF">
        <w:rPr>
          <w:rFonts w:ascii="Times New Roman" w:hAnsi="Times New Roman"/>
          <w:bCs/>
          <w:sz w:val="28"/>
          <w:szCs w:val="28"/>
        </w:rPr>
        <w:t xml:space="preserve">рх. – 2004. – № 5. – С. 5–7.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Насонов, Е. Л</w:t>
      </w:r>
      <w:r w:rsidRPr="009114DF">
        <w:rPr>
          <w:rFonts w:ascii="Times New Roman" w:hAnsi="Times New Roman"/>
          <w:sz w:val="28"/>
          <w:szCs w:val="28"/>
        </w:rPr>
        <w:t xml:space="preserve">. Рекомендации EULAR по лечению </w:t>
      </w:r>
      <w:proofErr w:type="gramStart"/>
      <w:r w:rsidRPr="009114DF">
        <w:rPr>
          <w:rFonts w:ascii="Times New Roman" w:hAnsi="Times New Roman"/>
          <w:sz w:val="28"/>
          <w:szCs w:val="28"/>
        </w:rPr>
        <w:t>ревматоидного</w:t>
      </w:r>
      <w:proofErr w:type="gramEnd"/>
      <w:r w:rsidRPr="009114DF">
        <w:rPr>
          <w:rFonts w:ascii="Times New Roman" w:hAnsi="Times New Roman"/>
          <w:sz w:val="28"/>
          <w:szCs w:val="28"/>
        </w:rPr>
        <w:t xml:space="preserve"> артрита-2013: общая характеристика и дискуссионные проблемы / Е. Л. Насонов, </w:t>
      </w:r>
      <w:r w:rsidR="00CB6BB3">
        <w:rPr>
          <w:rFonts w:ascii="Times New Roman" w:hAnsi="Times New Roman"/>
          <w:sz w:val="28"/>
          <w:szCs w:val="28"/>
        </w:rPr>
        <w:t xml:space="preserve">   </w:t>
      </w:r>
      <w:r w:rsidRPr="009114DF">
        <w:rPr>
          <w:rFonts w:ascii="Times New Roman" w:hAnsi="Times New Roman"/>
          <w:sz w:val="28"/>
          <w:szCs w:val="28"/>
        </w:rPr>
        <w:t xml:space="preserve">Д. Е. Каратеев, Н. В. Чичасова // Научно-практическая ревматология. – 2013. – № 51. – С. 609–622.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Насонов, Е. Л.</w:t>
      </w:r>
      <w:r w:rsidRPr="009114DF">
        <w:rPr>
          <w:rFonts w:ascii="Times New Roman" w:hAnsi="Times New Roman"/>
          <w:bCs/>
          <w:sz w:val="28"/>
          <w:szCs w:val="28"/>
        </w:rPr>
        <w:t xml:space="preserve"> Ритуксимаб в лечении ревматических болезней / </w:t>
      </w:r>
      <w:r w:rsidR="00CB6BB3">
        <w:rPr>
          <w:rFonts w:ascii="Times New Roman" w:hAnsi="Times New Roman"/>
          <w:bCs/>
          <w:sz w:val="28"/>
          <w:szCs w:val="28"/>
        </w:rPr>
        <w:t xml:space="preserve">                    </w:t>
      </w:r>
      <w:r w:rsidRPr="009114DF">
        <w:rPr>
          <w:rFonts w:ascii="Times New Roman" w:hAnsi="Times New Roman"/>
          <w:bCs/>
          <w:sz w:val="28"/>
          <w:szCs w:val="28"/>
        </w:rPr>
        <w:t xml:space="preserve">Е. Л. Насонов // Научно-практическая ревматология. – 2008. – № 3, Прил. 1. – </w:t>
      </w:r>
      <w:r w:rsidR="00CB6BB3">
        <w:rPr>
          <w:rFonts w:ascii="Times New Roman" w:hAnsi="Times New Roman"/>
          <w:bCs/>
          <w:sz w:val="28"/>
          <w:szCs w:val="28"/>
        </w:rPr>
        <w:t xml:space="preserve">    </w:t>
      </w:r>
      <w:r w:rsidRPr="009114DF">
        <w:rPr>
          <w:rFonts w:ascii="Times New Roman" w:hAnsi="Times New Roman"/>
          <w:bCs/>
          <w:sz w:val="28"/>
          <w:szCs w:val="28"/>
        </w:rPr>
        <w:t xml:space="preserve">С. 10.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Насонова, В. А.</w:t>
      </w:r>
      <w:r w:rsidRPr="009114DF">
        <w:rPr>
          <w:rFonts w:ascii="Times New Roman" w:hAnsi="Times New Roman"/>
          <w:sz w:val="28"/>
          <w:szCs w:val="28"/>
        </w:rPr>
        <w:t xml:space="preserve"> Ревматология / В. А. Насонова. – М.</w:t>
      </w:r>
      <w:proofErr w:type="gramStart"/>
      <w:r w:rsidRPr="009114DF">
        <w:rPr>
          <w:rFonts w:ascii="Times New Roman" w:hAnsi="Times New Roman"/>
          <w:sz w:val="28"/>
          <w:szCs w:val="28"/>
        </w:rPr>
        <w:t xml:space="preserve"> :</w:t>
      </w:r>
      <w:proofErr w:type="gramEnd"/>
      <w:r w:rsidRPr="009114DF">
        <w:rPr>
          <w:rFonts w:ascii="Times New Roman" w:hAnsi="Times New Roman"/>
          <w:sz w:val="28"/>
          <w:szCs w:val="28"/>
        </w:rPr>
        <w:t xml:space="preserve"> Медицина, 2008. – </w:t>
      </w:r>
      <w:r w:rsidR="00CB6BB3">
        <w:rPr>
          <w:rFonts w:ascii="Times New Roman" w:hAnsi="Times New Roman"/>
          <w:sz w:val="28"/>
          <w:szCs w:val="28"/>
        </w:rPr>
        <w:t xml:space="preserve">   </w:t>
      </w:r>
      <w:r w:rsidRPr="009114DF">
        <w:rPr>
          <w:rFonts w:ascii="Times New Roman" w:hAnsi="Times New Roman"/>
          <w:sz w:val="28"/>
          <w:szCs w:val="28"/>
        </w:rPr>
        <w:t xml:space="preserve">457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Новик, А. А</w:t>
      </w:r>
      <w:r w:rsidRPr="009114DF">
        <w:rPr>
          <w:rFonts w:ascii="Times New Roman" w:hAnsi="Times New Roman"/>
          <w:sz w:val="28"/>
          <w:szCs w:val="28"/>
        </w:rPr>
        <w:t xml:space="preserve">. Концепция исследования качества жизни в медицине / </w:t>
      </w:r>
      <w:r w:rsidR="00CB6BB3">
        <w:rPr>
          <w:rFonts w:ascii="Times New Roman" w:hAnsi="Times New Roman"/>
          <w:sz w:val="28"/>
          <w:szCs w:val="28"/>
        </w:rPr>
        <w:t xml:space="preserve">             </w:t>
      </w:r>
      <w:r w:rsidRPr="009114DF">
        <w:rPr>
          <w:rFonts w:ascii="Times New Roman" w:hAnsi="Times New Roman"/>
          <w:sz w:val="28"/>
          <w:szCs w:val="28"/>
        </w:rPr>
        <w:t>А. А. Новик, Т. И. Ионова, П. Кайнд. – СПб</w:t>
      </w:r>
      <w:proofErr w:type="gramStart"/>
      <w:r w:rsidRPr="009114DF">
        <w:rPr>
          <w:rFonts w:ascii="Times New Roman" w:hAnsi="Times New Roman"/>
          <w:sz w:val="28"/>
          <w:szCs w:val="28"/>
        </w:rPr>
        <w:t xml:space="preserve">. : </w:t>
      </w:r>
      <w:proofErr w:type="gramEnd"/>
      <w:r w:rsidRPr="009114DF">
        <w:rPr>
          <w:rFonts w:ascii="Times New Roman" w:hAnsi="Times New Roman"/>
          <w:sz w:val="28"/>
          <w:szCs w:val="28"/>
        </w:rPr>
        <w:t xml:space="preserve">Элби, 1999.  – 140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Новиков, А. А.</w:t>
      </w:r>
      <w:r w:rsidRPr="009114DF">
        <w:rPr>
          <w:rFonts w:ascii="Times New Roman" w:hAnsi="Times New Roman"/>
          <w:bCs/>
          <w:sz w:val="28"/>
          <w:szCs w:val="28"/>
        </w:rPr>
        <w:t xml:space="preserve"> Роль цитокинов в патогенезе ревматоидного артрита / </w:t>
      </w:r>
      <w:r w:rsidR="00CB6BB3">
        <w:rPr>
          <w:rFonts w:ascii="Times New Roman" w:hAnsi="Times New Roman"/>
          <w:bCs/>
          <w:sz w:val="28"/>
          <w:szCs w:val="28"/>
        </w:rPr>
        <w:t xml:space="preserve">            </w:t>
      </w:r>
      <w:r w:rsidRPr="009114DF">
        <w:rPr>
          <w:rFonts w:ascii="Times New Roman" w:hAnsi="Times New Roman"/>
          <w:bCs/>
          <w:sz w:val="28"/>
          <w:szCs w:val="28"/>
        </w:rPr>
        <w:t xml:space="preserve">А. А. Новиков, Е. Н. Александрова, М. А. Диатроптова // Научно-практическая ревматология. – 2010. – № 2. – С. 71–82.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Оглоблин, Н. А.</w:t>
      </w:r>
      <w:r w:rsidRPr="009114DF">
        <w:rPr>
          <w:rFonts w:ascii="Times New Roman" w:hAnsi="Times New Roman"/>
          <w:bCs/>
          <w:sz w:val="28"/>
          <w:szCs w:val="28"/>
        </w:rPr>
        <w:t xml:space="preserve"> Оценка потребления кальция у различных групп населения России / Н. А. Оглоблин // Тезисы докладов </w:t>
      </w:r>
      <w:r w:rsidRPr="009114DF">
        <w:rPr>
          <w:rFonts w:ascii="Times New Roman" w:hAnsi="Times New Roman"/>
          <w:bCs/>
          <w:sz w:val="28"/>
          <w:szCs w:val="28"/>
          <w:lang w:val="en-US"/>
        </w:rPr>
        <w:t>II</w:t>
      </w:r>
      <w:r w:rsidRPr="009114DF">
        <w:rPr>
          <w:rFonts w:ascii="Times New Roman" w:hAnsi="Times New Roman"/>
          <w:bCs/>
          <w:sz w:val="28"/>
          <w:szCs w:val="28"/>
        </w:rPr>
        <w:t xml:space="preserve"> Российского конгресса по остеопорозу. – Ярославль</w:t>
      </w:r>
      <w:proofErr w:type="gramStart"/>
      <w:r w:rsidRPr="009114DF">
        <w:rPr>
          <w:rFonts w:ascii="Times New Roman" w:hAnsi="Times New Roman"/>
          <w:bCs/>
          <w:sz w:val="28"/>
          <w:szCs w:val="28"/>
        </w:rPr>
        <w:t xml:space="preserve"> :</w:t>
      </w:r>
      <w:proofErr w:type="gramEnd"/>
      <w:r w:rsidRPr="009114DF">
        <w:rPr>
          <w:rFonts w:ascii="Times New Roman" w:hAnsi="Times New Roman"/>
          <w:bCs/>
          <w:sz w:val="28"/>
          <w:szCs w:val="28"/>
        </w:rPr>
        <w:t xml:space="preserve"> Литера, 2005.  – С. 94.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Олюнин, Ю. А.</w:t>
      </w:r>
      <w:r w:rsidRPr="009114DF">
        <w:rPr>
          <w:rFonts w:ascii="Times New Roman" w:hAnsi="Times New Roman"/>
          <w:sz w:val="28"/>
          <w:szCs w:val="28"/>
        </w:rPr>
        <w:t xml:space="preserve"> </w:t>
      </w:r>
      <w:r w:rsidRPr="009114DF">
        <w:rPr>
          <w:rFonts w:ascii="Times New Roman" w:hAnsi="Times New Roman"/>
          <w:bCs/>
          <w:sz w:val="28"/>
          <w:szCs w:val="28"/>
        </w:rPr>
        <w:t xml:space="preserve">Ревматоидная кисть (часть </w:t>
      </w:r>
      <w:r w:rsidRPr="009114DF">
        <w:rPr>
          <w:rFonts w:ascii="Times New Roman" w:hAnsi="Times New Roman"/>
          <w:bCs/>
          <w:sz w:val="28"/>
          <w:szCs w:val="28"/>
          <w:lang w:val="en-US"/>
        </w:rPr>
        <w:t>I</w:t>
      </w:r>
      <w:r w:rsidRPr="009114DF">
        <w:rPr>
          <w:rFonts w:ascii="Times New Roman" w:hAnsi="Times New Roman"/>
          <w:bCs/>
          <w:sz w:val="28"/>
          <w:szCs w:val="28"/>
        </w:rPr>
        <w:t xml:space="preserve">) / Ю. А. Олюнин, А. В. Смирнов // Современная ревматология. – 2009. – № 4 – С. 16–21.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sz w:val="28"/>
          <w:szCs w:val="28"/>
        </w:rPr>
        <w:t xml:space="preserve">Остеопороз. Этиология, диагностика, лечение / Л. Риггз, Д. Мелтон. – </w:t>
      </w:r>
      <w:r w:rsidR="00CB6BB3">
        <w:rPr>
          <w:rFonts w:ascii="Times New Roman" w:hAnsi="Times New Roman"/>
          <w:bCs/>
          <w:sz w:val="28"/>
          <w:szCs w:val="28"/>
        </w:rPr>
        <w:t xml:space="preserve">  </w:t>
      </w:r>
      <w:r w:rsidRPr="009114DF">
        <w:rPr>
          <w:rFonts w:ascii="Times New Roman" w:hAnsi="Times New Roman"/>
          <w:bCs/>
          <w:sz w:val="28"/>
          <w:szCs w:val="28"/>
        </w:rPr>
        <w:t>СПб</w:t>
      </w:r>
      <w:proofErr w:type="gramStart"/>
      <w:r w:rsidRPr="009114DF">
        <w:rPr>
          <w:rFonts w:ascii="Times New Roman" w:hAnsi="Times New Roman"/>
          <w:bCs/>
          <w:sz w:val="28"/>
          <w:szCs w:val="28"/>
        </w:rPr>
        <w:t xml:space="preserve">.: </w:t>
      </w:r>
      <w:proofErr w:type="gramEnd"/>
      <w:r w:rsidRPr="009114DF">
        <w:rPr>
          <w:rFonts w:ascii="Times New Roman" w:hAnsi="Times New Roman"/>
          <w:bCs/>
          <w:sz w:val="28"/>
          <w:szCs w:val="28"/>
        </w:rPr>
        <w:t xml:space="preserve">БИНОМ. Невский диалект, 2000. – 558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i/>
          <w:sz w:val="28"/>
          <w:szCs w:val="28"/>
        </w:rPr>
        <w:t>Петрова, Е. В.</w:t>
      </w:r>
      <w:r w:rsidRPr="009114DF">
        <w:rPr>
          <w:rFonts w:ascii="Times New Roman" w:hAnsi="Times New Roman"/>
          <w:sz w:val="28"/>
          <w:szCs w:val="28"/>
        </w:rPr>
        <w:t xml:space="preserve"> Ассоциация между минеральной плотностью и эрозивно-деструктивными изменениями костной ткани у больных ревматоидным </w:t>
      </w:r>
      <w:r w:rsidRPr="009114DF">
        <w:rPr>
          <w:rFonts w:ascii="Times New Roman" w:hAnsi="Times New Roman"/>
          <w:sz w:val="28"/>
          <w:szCs w:val="28"/>
        </w:rPr>
        <w:lastRenderedPageBreak/>
        <w:t xml:space="preserve">артритом (предварительные результаты) / Е. В. Петрова </w:t>
      </w:r>
      <w:r w:rsidRPr="009114DF">
        <w:rPr>
          <w:rFonts w:ascii="Times New Roman" w:hAnsi="Times New Roman"/>
          <w:sz w:val="28"/>
          <w:szCs w:val="24"/>
        </w:rPr>
        <w:t>[и др.]</w:t>
      </w:r>
      <w:r w:rsidRPr="009114DF">
        <w:rPr>
          <w:rFonts w:ascii="Times New Roman" w:hAnsi="Times New Roman"/>
          <w:sz w:val="28"/>
          <w:szCs w:val="28"/>
        </w:rPr>
        <w:t xml:space="preserve"> // Терапевтический архив –  2014. – № 5. – С. 10–17.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Пешехонов, Д. В.</w:t>
      </w:r>
      <w:r w:rsidRPr="009114DF">
        <w:rPr>
          <w:rFonts w:ascii="Times New Roman" w:hAnsi="Times New Roman"/>
          <w:bCs/>
          <w:sz w:val="28"/>
          <w:szCs w:val="28"/>
        </w:rPr>
        <w:t xml:space="preserve"> Фармакологическая коррекция остеопороза средней тяжести у больных ревматоидным артритом : автореф. дис. … канд. мед</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н</w:t>
      </w:r>
      <w:proofErr w:type="gramEnd"/>
      <w:r w:rsidRPr="009114DF">
        <w:rPr>
          <w:rFonts w:ascii="Times New Roman" w:hAnsi="Times New Roman"/>
          <w:bCs/>
          <w:sz w:val="28"/>
          <w:szCs w:val="28"/>
        </w:rPr>
        <w:t xml:space="preserve">аук. – Курск, 2008. – 24 с.   </w:t>
      </w:r>
    </w:p>
    <w:p w:rsidR="006D17D9" w:rsidRPr="009114DF" w:rsidRDefault="00E00346"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 xml:space="preserve">Подворотова, М. </w:t>
      </w:r>
      <w:r w:rsidR="006D17D9" w:rsidRPr="009114DF">
        <w:rPr>
          <w:rFonts w:ascii="Times New Roman" w:hAnsi="Times New Roman"/>
          <w:bCs/>
          <w:i/>
          <w:sz w:val="28"/>
          <w:szCs w:val="28"/>
        </w:rPr>
        <w:t>М.</w:t>
      </w:r>
      <w:r w:rsidR="006D17D9" w:rsidRPr="009114DF">
        <w:rPr>
          <w:rFonts w:ascii="Times New Roman" w:hAnsi="Times New Roman"/>
          <w:bCs/>
          <w:sz w:val="28"/>
          <w:szCs w:val="28"/>
        </w:rPr>
        <w:t xml:space="preserve"> Факторы риска переломов костей скелета при ревматоидном артрите :  автореф. дис. … канд. мед</w:t>
      </w:r>
      <w:proofErr w:type="gramStart"/>
      <w:r w:rsidR="006D17D9" w:rsidRPr="009114DF">
        <w:rPr>
          <w:rFonts w:ascii="Times New Roman" w:hAnsi="Times New Roman"/>
          <w:bCs/>
          <w:sz w:val="28"/>
          <w:szCs w:val="28"/>
        </w:rPr>
        <w:t>.</w:t>
      </w:r>
      <w:proofErr w:type="gramEnd"/>
      <w:r w:rsidR="006D17D9" w:rsidRPr="009114DF">
        <w:rPr>
          <w:rFonts w:ascii="Times New Roman" w:hAnsi="Times New Roman"/>
          <w:bCs/>
          <w:sz w:val="28"/>
          <w:szCs w:val="28"/>
        </w:rPr>
        <w:t xml:space="preserve"> </w:t>
      </w:r>
      <w:proofErr w:type="gramStart"/>
      <w:r w:rsidR="006D17D9" w:rsidRPr="009114DF">
        <w:rPr>
          <w:rFonts w:ascii="Times New Roman" w:hAnsi="Times New Roman"/>
          <w:bCs/>
          <w:sz w:val="28"/>
          <w:szCs w:val="28"/>
        </w:rPr>
        <w:t>н</w:t>
      </w:r>
      <w:proofErr w:type="gramEnd"/>
      <w:r w:rsidR="006D17D9" w:rsidRPr="009114DF">
        <w:rPr>
          <w:rFonts w:ascii="Times New Roman" w:hAnsi="Times New Roman"/>
          <w:bCs/>
          <w:sz w:val="28"/>
          <w:szCs w:val="28"/>
        </w:rPr>
        <w:t>аук. /</w:t>
      </w:r>
      <w:r w:rsidR="00CB6BB3">
        <w:rPr>
          <w:rFonts w:ascii="Times New Roman" w:hAnsi="Times New Roman"/>
          <w:bCs/>
          <w:sz w:val="28"/>
          <w:szCs w:val="28"/>
        </w:rPr>
        <w:t xml:space="preserve">                            </w:t>
      </w:r>
      <w:r w:rsidR="006D17D9" w:rsidRPr="009114DF">
        <w:rPr>
          <w:rFonts w:ascii="Times New Roman" w:hAnsi="Times New Roman"/>
          <w:bCs/>
          <w:sz w:val="28"/>
          <w:szCs w:val="28"/>
        </w:rPr>
        <w:t xml:space="preserve">М. М. Подворотова. – М., 2013.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Попкова, Т. В.</w:t>
      </w:r>
      <w:r w:rsidRPr="009114DF">
        <w:rPr>
          <w:rFonts w:ascii="Times New Roman" w:hAnsi="Times New Roman"/>
          <w:sz w:val="28"/>
          <w:szCs w:val="28"/>
        </w:rPr>
        <w:t xml:space="preserve"> Факторы риска кардиоваскулярных заболеваний при ревматоидном артрите / Т. В. Попкова, Д. С. Новикова // Научно-практическая ревматология. – 2009. – № 3. – С . 4–11.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Попов, А. А.</w:t>
      </w:r>
      <w:r w:rsidRPr="009114DF">
        <w:rPr>
          <w:rFonts w:ascii="Times New Roman" w:hAnsi="Times New Roman"/>
          <w:sz w:val="28"/>
          <w:szCs w:val="28"/>
        </w:rPr>
        <w:t xml:space="preserve"> Оценка влияния перенесённых переломов лучевой кости на качество жизни жительниц Екатеринбурга, страдающих постменопаузальным остеопорозом / А. А. Попов, Н. В. Изможерова, </w:t>
      </w:r>
      <w:r w:rsidR="00CB6BB3">
        <w:rPr>
          <w:rFonts w:ascii="Times New Roman" w:hAnsi="Times New Roman"/>
          <w:sz w:val="28"/>
          <w:szCs w:val="28"/>
        </w:rPr>
        <w:t xml:space="preserve">          </w:t>
      </w:r>
      <w:r w:rsidRPr="009114DF">
        <w:rPr>
          <w:rFonts w:ascii="Times New Roman" w:hAnsi="Times New Roman"/>
          <w:sz w:val="28"/>
          <w:szCs w:val="28"/>
        </w:rPr>
        <w:t xml:space="preserve">Е. И. Гаврилова // Остеопороз и остеопатии. – 2007. – № 3. – С. 9–11.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Р</w:t>
      </w:r>
      <w:r w:rsidRPr="009114DF">
        <w:rPr>
          <w:rFonts w:ascii="Times New Roman" w:hAnsi="Times New Roman"/>
          <w:bCs/>
          <w:i/>
          <w:sz w:val="28"/>
          <w:szCs w:val="28"/>
          <w:lang w:val="en-US"/>
        </w:rPr>
        <w:t>a</w:t>
      </w:r>
      <w:r w:rsidRPr="009114DF">
        <w:rPr>
          <w:rFonts w:ascii="Times New Roman" w:hAnsi="Times New Roman"/>
          <w:bCs/>
          <w:i/>
          <w:sz w:val="28"/>
          <w:szCs w:val="28"/>
        </w:rPr>
        <w:t>скина, Т. А.</w:t>
      </w:r>
      <w:r w:rsidRPr="009114DF">
        <w:rPr>
          <w:rFonts w:ascii="Times New Roman" w:hAnsi="Times New Roman"/>
          <w:bCs/>
          <w:sz w:val="28"/>
          <w:szCs w:val="28"/>
        </w:rPr>
        <w:t xml:space="preserve"> Комплексн</w:t>
      </w:r>
      <w:r w:rsidRPr="009114DF">
        <w:rPr>
          <w:rFonts w:ascii="Times New Roman" w:hAnsi="Times New Roman"/>
          <w:bCs/>
          <w:sz w:val="28"/>
          <w:szCs w:val="28"/>
          <w:lang w:val="en-US"/>
        </w:rPr>
        <w:t>a</w:t>
      </w:r>
      <w:r w:rsidRPr="009114DF">
        <w:rPr>
          <w:rFonts w:ascii="Times New Roman" w:hAnsi="Times New Roman"/>
          <w:bCs/>
          <w:sz w:val="28"/>
          <w:szCs w:val="28"/>
        </w:rPr>
        <w:t>я оценк</w:t>
      </w:r>
      <w:r w:rsidRPr="009114DF">
        <w:rPr>
          <w:rFonts w:ascii="Times New Roman" w:hAnsi="Times New Roman"/>
          <w:bCs/>
          <w:sz w:val="28"/>
          <w:szCs w:val="28"/>
          <w:lang w:val="en-US"/>
        </w:rPr>
        <w:t>a</w:t>
      </w:r>
      <w:r w:rsidRPr="009114DF">
        <w:rPr>
          <w:rFonts w:ascii="Times New Roman" w:hAnsi="Times New Roman"/>
          <w:bCs/>
          <w:sz w:val="28"/>
          <w:szCs w:val="28"/>
        </w:rPr>
        <w:t xml:space="preserve"> мет</w:t>
      </w:r>
      <w:r w:rsidRPr="009114DF">
        <w:rPr>
          <w:rFonts w:ascii="Times New Roman" w:hAnsi="Times New Roman"/>
          <w:bCs/>
          <w:sz w:val="28"/>
          <w:szCs w:val="28"/>
          <w:lang w:val="en-US"/>
        </w:rPr>
        <w:t>a</w:t>
      </w:r>
      <w:r w:rsidRPr="009114DF">
        <w:rPr>
          <w:rFonts w:ascii="Times New Roman" w:hAnsi="Times New Roman"/>
          <w:bCs/>
          <w:sz w:val="28"/>
          <w:szCs w:val="28"/>
        </w:rPr>
        <w:t xml:space="preserve">болизма костной ткани у больных ревматоидным </w:t>
      </w:r>
      <w:r w:rsidRPr="009114DF">
        <w:rPr>
          <w:rFonts w:ascii="Times New Roman" w:hAnsi="Times New Roman"/>
          <w:bCs/>
          <w:sz w:val="28"/>
          <w:szCs w:val="28"/>
          <w:lang w:val="en-US"/>
        </w:rPr>
        <w:t>a</w:t>
      </w:r>
      <w:r w:rsidRPr="009114DF">
        <w:rPr>
          <w:rFonts w:ascii="Times New Roman" w:hAnsi="Times New Roman"/>
          <w:bCs/>
          <w:sz w:val="28"/>
          <w:szCs w:val="28"/>
        </w:rPr>
        <w:t xml:space="preserve">ртритом : </w:t>
      </w:r>
      <w:r w:rsidRPr="009114DF">
        <w:rPr>
          <w:rFonts w:ascii="Times New Roman" w:hAnsi="Times New Roman"/>
          <w:bCs/>
          <w:sz w:val="28"/>
          <w:szCs w:val="28"/>
          <w:lang w:val="en-US"/>
        </w:rPr>
        <w:t>a</w:t>
      </w:r>
      <w:r w:rsidRPr="009114DF">
        <w:rPr>
          <w:rFonts w:ascii="Times New Roman" w:hAnsi="Times New Roman"/>
          <w:bCs/>
          <w:sz w:val="28"/>
          <w:szCs w:val="28"/>
        </w:rPr>
        <w:t>втореф. дис. … д-ра мед</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н</w:t>
      </w:r>
      <w:proofErr w:type="gramEnd"/>
      <w:r w:rsidRPr="009114DF">
        <w:rPr>
          <w:rFonts w:ascii="Times New Roman" w:hAnsi="Times New Roman"/>
          <w:bCs/>
          <w:sz w:val="28"/>
          <w:szCs w:val="28"/>
        </w:rPr>
        <w:t xml:space="preserve">аук. / Т. А. Раскина. – Кемерово, 2002. – 42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sz w:val="28"/>
          <w:szCs w:val="28"/>
        </w:rPr>
        <w:t>Ревматология: Клинические рекомендации / под ред. Е. Л. Насонова. –</w:t>
      </w:r>
      <w:r w:rsidR="00CB6BB3">
        <w:rPr>
          <w:rFonts w:ascii="Times New Roman" w:hAnsi="Times New Roman"/>
          <w:sz w:val="28"/>
          <w:szCs w:val="28"/>
        </w:rPr>
        <w:t xml:space="preserve"> </w:t>
      </w:r>
      <w:r w:rsidRPr="009114DF">
        <w:rPr>
          <w:rFonts w:ascii="Times New Roman" w:hAnsi="Times New Roman"/>
          <w:sz w:val="28"/>
          <w:szCs w:val="28"/>
        </w:rPr>
        <w:t>М.</w:t>
      </w:r>
      <w:proofErr w:type="gramStart"/>
      <w:r w:rsidRPr="009114DF">
        <w:rPr>
          <w:rFonts w:ascii="Times New Roman" w:hAnsi="Times New Roman"/>
          <w:sz w:val="28"/>
          <w:szCs w:val="28"/>
        </w:rPr>
        <w:t xml:space="preserve"> :</w:t>
      </w:r>
      <w:proofErr w:type="gramEnd"/>
      <w:r w:rsidRPr="009114DF">
        <w:rPr>
          <w:rFonts w:ascii="Times New Roman" w:hAnsi="Times New Roman"/>
          <w:sz w:val="28"/>
          <w:szCs w:val="28"/>
        </w:rPr>
        <w:t xml:space="preserve"> ГЭОТАР-Медиа, 2010.  – 282 с.</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Рожинская, Л. Я.</w:t>
      </w:r>
      <w:r w:rsidRPr="009114DF">
        <w:rPr>
          <w:rFonts w:ascii="Times New Roman" w:hAnsi="Times New Roman"/>
          <w:bCs/>
          <w:sz w:val="28"/>
          <w:szCs w:val="28"/>
        </w:rPr>
        <w:t xml:space="preserve"> </w:t>
      </w:r>
      <w:proofErr w:type="gramStart"/>
      <w:r w:rsidRPr="009114DF">
        <w:rPr>
          <w:rFonts w:ascii="Times New Roman" w:hAnsi="Times New Roman"/>
          <w:bCs/>
          <w:sz w:val="28"/>
          <w:szCs w:val="28"/>
        </w:rPr>
        <w:t>Системный</w:t>
      </w:r>
      <w:proofErr w:type="gramEnd"/>
      <w:r w:rsidRPr="009114DF">
        <w:rPr>
          <w:rFonts w:ascii="Times New Roman" w:hAnsi="Times New Roman"/>
          <w:bCs/>
          <w:sz w:val="28"/>
          <w:szCs w:val="28"/>
        </w:rPr>
        <w:t xml:space="preserve"> остеопороз / Л. Я. Рожинская. – М., 2000. – 196 с.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proofErr w:type="gramStart"/>
      <w:r w:rsidRPr="009114DF">
        <w:rPr>
          <w:rFonts w:ascii="Times New Roman" w:hAnsi="Times New Roman"/>
          <w:i/>
          <w:sz w:val="28"/>
          <w:szCs w:val="28"/>
        </w:rPr>
        <w:t>Рубин, М. П.</w:t>
      </w:r>
      <w:r w:rsidRPr="009114DF">
        <w:rPr>
          <w:rFonts w:ascii="Times New Roman" w:hAnsi="Times New Roman"/>
          <w:sz w:val="28"/>
          <w:szCs w:val="28"/>
        </w:rPr>
        <w:t xml:space="preserve"> Преимущества и недостатки рентгеновской двухэнергетической остеоденситометрии в диагностике остеопороза / </w:t>
      </w:r>
      <w:r w:rsidR="00CB6BB3">
        <w:rPr>
          <w:rFonts w:ascii="Times New Roman" w:hAnsi="Times New Roman"/>
          <w:sz w:val="28"/>
          <w:szCs w:val="28"/>
        </w:rPr>
        <w:t xml:space="preserve">        </w:t>
      </w:r>
      <w:r w:rsidRPr="009114DF">
        <w:rPr>
          <w:rFonts w:ascii="Times New Roman" w:hAnsi="Times New Roman"/>
          <w:sz w:val="28"/>
          <w:szCs w:val="28"/>
        </w:rPr>
        <w:t>М. П.  Рубин //    Радиология-практика. –  2009. – № 3.</w:t>
      </w:r>
      <w:proofErr w:type="gramEnd"/>
      <w:r w:rsidRPr="009114DF">
        <w:rPr>
          <w:rFonts w:ascii="Times New Roman" w:hAnsi="Times New Roman"/>
          <w:sz w:val="28"/>
          <w:szCs w:val="28"/>
        </w:rPr>
        <w:t xml:space="preserve"> – С. 12–20.</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Самородская,  И. В.</w:t>
      </w:r>
      <w:r w:rsidRPr="009114DF">
        <w:rPr>
          <w:rFonts w:ascii="Times New Roman" w:hAnsi="Times New Roman"/>
          <w:sz w:val="28"/>
          <w:szCs w:val="28"/>
        </w:rPr>
        <w:t xml:space="preserve"> Актуальные вопросы классификации ожирения / И. В Самородская  // Кардиоваскулярная терапия и профилактика.–  2015. – </w:t>
      </w:r>
      <w:r w:rsidR="00CB6BB3">
        <w:rPr>
          <w:rFonts w:ascii="Times New Roman" w:hAnsi="Times New Roman"/>
          <w:sz w:val="28"/>
          <w:szCs w:val="28"/>
        </w:rPr>
        <w:t xml:space="preserve">       </w:t>
      </w:r>
      <w:r w:rsidRPr="009114DF">
        <w:rPr>
          <w:rFonts w:ascii="Times New Roman" w:hAnsi="Times New Roman"/>
          <w:sz w:val="28"/>
          <w:szCs w:val="28"/>
        </w:rPr>
        <w:t>№ 14 (4). – С. 103–110.</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lastRenderedPageBreak/>
        <w:t>Сигидин, Я. А.</w:t>
      </w:r>
      <w:r w:rsidRPr="009114DF">
        <w:rPr>
          <w:rFonts w:ascii="Times New Roman" w:hAnsi="Times New Roman"/>
          <w:bCs/>
          <w:sz w:val="28"/>
          <w:szCs w:val="28"/>
        </w:rPr>
        <w:t xml:space="preserve"> Современные представления о патогенезе ревматоидного артрита / Я. А. Сигидин, Г. В. Лукина // Биологическая терапия в ревматологии. – М., 2009. – С. 17–38.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Скрипникова, И. А.</w:t>
      </w:r>
      <w:r w:rsidRPr="009114DF">
        <w:rPr>
          <w:rFonts w:ascii="Times New Roman" w:hAnsi="Times New Roman"/>
          <w:bCs/>
          <w:sz w:val="28"/>
          <w:szCs w:val="28"/>
        </w:rPr>
        <w:t xml:space="preserve"> Воможности костной рентгеновской денситометрии в клинической практике: метод</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р</w:t>
      </w:r>
      <w:proofErr w:type="gramEnd"/>
      <w:r w:rsidRPr="009114DF">
        <w:rPr>
          <w:rFonts w:ascii="Times New Roman" w:hAnsi="Times New Roman"/>
          <w:bCs/>
          <w:sz w:val="28"/>
          <w:szCs w:val="28"/>
        </w:rPr>
        <w:t xml:space="preserve">екомендации / И. А. Скрипникова, </w:t>
      </w:r>
      <w:r w:rsidR="00CB6BB3">
        <w:rPr>
          <w:rFonts w:ascii="Times New Roman" w:hAnsi="Times New Roman"/>
          <w:bCs/>
          <w:sz w:val="28"/>
          <w:szCs w:val="28"/>
        </w:rPr>
        <w:t xml:space="preserve">              </w:t>
      </w:r>
      <w:r w:rsidRPr="009114DF">
        <w:rPr>
          <w:rFonts w:ascii="Times New Roman" w:hAnsi="Times New Roman"/>
          <w:bCs/>
          <w:sz w:val="28"/>
          <w:szCs w:val="28"/>
        </w:rPr>
        <w:t xml:space="preserve">Л. А. Щеплягина, В. Е. Новиков // Остеопороз и остеопатии. – 2010. – № 2. – </w:t>
      </w:r>
      <w:r w:rsidR="00CB6BB3">
        <w:rPr>
          <w:rFonts w:ascii="Times New Roman" w:hAnsi="Times New Roman"/>
          <w:bCs/>
          <w:sz w:val="28"/>
          <w:szCs w:val="28"/>
        </w:rPr>
        <w:t xml:space="preserve">       </w:t>
      </w:r>
      <w:r w:rsidRPr="009114DF">
        <w:rPr>
          <w:rFonts w:ascii="Times New Roman" w:hAnsi="Times New Roman"/>
          <w:bCs/>
          <w:sz w:val="28"/>
          <w:szCs w:val="28"/>
        </w:rPr>
        <w:t>С. 23–34.</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Смирнов, А. В.</w:t>
      </w:r>
      <w:r w:rsidRPr="009114DF">
        <w:rPr>
          <w:rFonts w:ascii="Times New Roman" w:hAnsi="Times New Roman"/>
          <w:bCs/>
          <w:sz w:val="28"/>
          <w:szCs w:val="28"/>
        </w:rPr>
        <w:t xml:space="preserve"> Минеральная плотность костной ткани у женщин с ревматоидным артритом в постменопаузальном периоде / А. В.  Смирнов // Современная ревматология. – 2008. – № 1. – С. 48–52.</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Смирнов, А. Е.</w:t>
      </w:r>
      <w:r w:rsidRPr="009114DF">
        <w:rPr>
          <w:rFonts w:ascii="Times New Roman" w:hAnsi="Times New Roman"/>
          <w:bCs/>
          <w:sz w:val="28"/>
          <w:szCs w:val="28"/>
        </w:rPr>
        <w:t xml:space="preserve"> Минеральная плотность костной ткани по данным денситометрического исследования у больных ревматоидным артритом / А. Е. </w:t>
      </w:r>
      <w:proofErr w:type="gramStart"/>
      <w:r w:rsidRPr="009114DF">
        <w:rPr>
          <w:rFonts w:ascii="Times New Roman" w:hAnsi="Times New Roman"/>
          <w:bCs/>
          <w:sz w:val="28"/>
          <w:szCs w:val="28"/>
          <w:lang w:val="en-US"/>
        </w:rPr>
        <w:t>C</w:t>
      </w:r>
      <w:proofErr w:type="gramEnd"/>
      <w:r w:rsidRPr="009114DF">
        <w:rPr>
          <w:rFonts w:ascii="Times New Roman" w:hAnsi="Times New Roman"/>
          <w:bCs/>
          <w:sz w:val="28"/>
          <w:szCs w:val="28"/>
        </w:rPr>
        <w:t xml:space="preserve">мирнов, В. А. Насонова // Научно-практическая ревматология. – 2000. –№ 4. – С. 93.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Сучков, С. В.</w:t>
      </w:r>
      <w:r w:rsidRPr="009114DF">
        <w:rPr>
          <w:rFonts w:ascii="Times New Roman" w:hAnsi="Times New Roman"/>
          <w:bCs/>
          <w:sz w:val="28"/>
          <w:szCs w:val="28"/>
        </w:rPr>
        <w:t xml:space="preserve"> Современная модель патогенеза ревматоидного артрита и ее место в клинической практике / С. В. Сучков </w:t>
      </w:r>
      <w:r w:rsidRPr="009114DF">
        <w:rPr>
          <w:rFonts w:ascii="Times New Roman" w:hAnsi="Times New Roman"/>
          <w:sz w:val="28"/>
          <w:szCs w:val="24"/>
        </w:rPr>
        <w:t>[и др.]</w:t>
      </w:r>
      <w:r w:rsidRPr="009114DF">
        <w:rPr>
          <w:rFonts w:ascii="Times New Roman" w:hAnsi="Times New Roman"/>
          <w:bCs/>
          <w:sz w:val="28"/>
          <w:szCs w:val="28"/>
        </w:rPr>
        <w:t xml:space="preserve"> // Терапевтический архив – 2004. – № 12. – С. 83–88.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rPr>
      </w:pPr>
      <w:r w:rsidRPr="009114DF">
        <w:rPr>
          <w:rFonts w:ascii="Times New Roman" w:hAnsi="Times New Roman"/>
          <w:i/>
          <w:sz w:val="28"/>
          <w:szCs w:val="28"/>
        </w:rPr>
        <w:t>Торопцова, Н. В</w:t>
      </w:r>
      <w:r w:rsidRPr="009114DF">
        <w:rPr>
          <w:rFonts w:ascii="Times New Roman" w:hAnsi="Times New Roman"/>
          <w:sz w:val="28"/>
          <w:szCs w:val="28"/>
        </w:rPr>
        <w:t xml:space="preserve">. Постменопаузальный остеопороз / Н. В. Топорцова, </w:t>
      </w:r>
      <w:r w:rsidR="00CB6BB3">
        <w:rPr>
          <w:rFonts w:ascii="Times New Roman" w:hAnsi="Times New Roman"/>
          <w:sz w:val="28"/>
          <w:szCs w:val="28"/>
        </w:rPr>
        <w:t xml:space="preserve">         </w:t>
      </w:r>
      <w:r w:rsidRPr="009114DF">
        <w:rPr>
          <w:rFonts w:ascii="Times New Roman" w:hAnsi="Times New Roman"/>
          <w:sz w:val="28"/>
          <w:szCs w:val="28"/>
        </w:rPr>
        <w:t xml:space="preserve">О. А. Никитинская // Лечащий врач. – 2009. – № 3. – С. 37–40.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Тотров, И. Н.</w:t>
      </w:r>
      <w:r w:rsidRPr="009114DF">
        <w:rPr>
          <w:rFonts w:ascii="Times New Roman" w:hAnsi="Times New Roman"/>
          <w:bCs/>
          <w:sz w:val="28"/>
          <w:szCs w:val="28"/>
        </w:rPr>
        <w:t xml:space="preserve"> Механизмы развития остеопороза у больных ревматоидным артритом : автореф. дис. … д-ра мед</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н</w:t>
      </w:r>
      <w:proofErr w:type="gramEnd"/>
      <w:r w:rsidRPr="009114DF">
        <w:rPr>
          <w:rFonts w:ascii="Times New Roman" w:hAnsi="Times New Roman"/>
          <w:bCs/>
          <w:sz w:val="28"/>
          <w:szCs w:val="28"/>
        </w:rPr>
        <w:t>аук / И. Н. Тотров</w:t>
      </w:r>
      <w:r w:rsidR="00CB6BB3">
        <w:rPr>
          <w:rFonts w:ascii="Times New Roman" w:hAnsi="Times New Roman"/>
          <w:bCs/>
          <w:sz w:val="28"/>
          <w:szCs w:val="28"/>
        </w:rPr>
        <w:t>.</w:t>
      </w:r>
      <w:r w:rsidRPr="009114DF">
        <w:rPr>
          <w:rFonts w:ascii="Times New Roman" w:hAnsi="Times New Roman"/>
          <w:bCs/>
          <w:sz w:val="28"/>
          <w:szCs w:val="28"/>
        </w:rPr>
        <w:t xml:space="preserve"> – Ярославль, 2006. – 42 с.</w:t>
      </w:r>
    </w:p>
    <w:p w:rsidR="006D17D9" w:rsidRPr="009114DF" w:rsidRDefault="006D17D9" w:rsidP="006D17D9">
      <w:pPr>
        <w:numPr>
          <w:ilvl w:val="0"/>
          <w:numId w:val="24"/>
        </w:numPr>
        <w:spacing w:after="100" w:afterAutospacing="1" w:line="360" w:lineRule="auto"/>
        <w:ind w:hanging="709"/>
        <w:contextualSpacing/>
        <w:jc w:val="both"/>
        <w:rPr>
          <w:rFonts w:ascii="Times New Roman" w:eastAsia="NewtonC-Bold" w:hAnsi="Times New Roman"/>
          <w:bCs/>
          <w:sz w:val="28"/>
          <w:szCs w:val="28"/>
        </w:rPr>
      </w:pPr>
      <w:r w:rsidRPr="009114DF">
        <w:rPr>
          <w:rFonts w:ascii="Times New Roman" w:eastAsia="NewtonC-Bold" w:hAnsi="Times New Roman"/>
          <w:bCs/>
          <w:i/>
          <w:sz w:val="28"/>
          <w:szCs w:val="28"/>
        </w:rPr>
        <w:t>Удачкина, Е. В.</w:t>
      </w:r>
      <w:r w:rsidRPr="009114DF">
        <w:rPr>
          <w:rFonts w:ascii="Times New Roman" w:eastAsia="NewtonC-Bold" w:hAnsi="Times New Roman"/>
          <w:bCs/>
          <w:sz w:val="28"/>
          <w:szCs w:val="28"/>
        </w:rPr>
        <w:t xml:space="preserve"> Роль интерлейкина-6 в развитии атеросклероза при ревматоидном артрите / Е. В. Удачкина, Д. С. Новикова, Т. В. Попкова // Современная ревматология. – 2013. – № 3. – С. 25–32.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Фолом</w:t>
      </w:r>
      <w:proofErr w:type="gramStart"/>
      <w:r w:rsidRPr="009114DF">
        <w:rPr>
          <w:rFonts w:ascii="Times New Roman" w:hAnsi="Times New Roman"/>
          <w:bCs/>
          <w:i/>
          <w:sz w:val="28"/>
          <w:szCs w:val="28"/>
          <w:lang w:val="en-US"/>
        </w:rPr>
        <w:t>ee</w:t>
      </w:r>
      <w:proofErr w:type="gramEnd"/>
      <w:r w:rsidRPr="009114DF">
        <w:rPr>
          <w:rFonts w:ascii="Times New Roman" w:hAnsi="Times New Roman"/>
          <w:bCs/>
          <w:i/>
          <w:sz w:val="28"/>
          <w:szCs w:val="28"/>
        </w:rPr>
        <w:t>ва, О. М.</w:t>
      </w:r>
      <w:r w:rsidRPr="009114DF">
        <w:rPr>
          <w:rFonts w:ascii="Times New Roman" w:hAnsi="Times New Roman"/>
          <w:bCs/>
          <w:sz w:val="28"/>
          <w:szCs w:val="28"/>
        </w:rPr>
        <w:t xml:space="preserve"> К вопросу о с</w:t>
      </w:r>
      <w:r w:rsidRPr="009114DF">
        <w:rPr>
          <w:rFonts w:ascii="Times New Roman" w:hAnsi="Times New Roman"/>
          <w:bCs/>
          <w:sz w:val="28"/>
          <w:szCs w:val="28"/>
          <w:lang w:val="en-US"/>
        </w:rPr>
        <w:t>o</w:t>
      </w:r>
      <w:r w:rsidRPr="009114DF">
        <w:rPr>
          <w:rFonts w:ascii="Times New Roman" w:hAnsi="Times New Roman"/>
          <w:bCs/>
          <w:sz w:val="28"/>
          <w:szCs w:val="28"/>
        </w:rPr>
        <w:t>вершенствовании р</w:t>
      </w:r>
      <w:r w:rsidRPr="009114DF">
        <w:rPr>
          <w:rFonts w:ascii="Times New Roman" w:hAnsi="Times New Roman"/>
          <w:bCs/>
          <w:sz w:val="28"/>
          <w:szCs w:val="28"/>
          <w:lang w:val="en-US"/>
        </w:rPr>
        <w:t>a</w:t>
      </w:r>
      <w:r w:rsidRPr="009114DF">
        <w:rPr>
          <w:rFonts w:ascii="Times New Roman" w:hAnsi="Times New Roman"/>
          <w:bCs/>
          <w:sz w:val="28"/>
          <w:szCs w:val="28"/>
        </w:rPr>
        <w:t xml:space="preserve">бочей классификации ревматоидного </w:t>
      </w:r>
      <w:r w:rsidRPr="009114DF">
        <w:rPr>
          <w:rFonts w:ascii="Times New Roman" w:hAnsi="Times New Roman"/>
          <w:bCs/>
          <w:sz w:val="28"/>
          <w:szCs w:val="28"/>
          <w:lang w:val="en-US"/>
        </w:rPr>
        <w:t>a</w:t>
      </w:r>
      <w:r w:rsidRPr="009114DF">
        <w:rPr>
          <w:rFonts w:ascii="Times New Roman" w:hAnsi="Times New Roman"/>
          <w:bCs/>
          <w:sz w:val="28"/>
          <w:szCs w:val="28"/>
        </w:rPr>
        <w:t>ртрита: определение функци</w:t>
      </w:r>
      <w:r w:rsidRPr="009114DF">
        <w:rPr>
          <w:rFonts w:ascii="Times New Roman" w:hAnsi="Times New Roman"/>
          <w:bCs/>
          <w:sz w:val="28"/>
          <w:szCs w:val="28"/>
          <w:lang w:val="en-US"/>
        </w:rPr>
        <w:t>o</w:t>
      </w:r>
      <w:r w:rsidRPr="009114DF">
        <w:rPr>
          <w:rFonts w:ascii="Times New Roman" w:hAnsi="Times New Roman"/>
          <w:bCs/>
          <w:sz w:val="28"/>
          <w:szCs w:val="28"/>
        </w:rPr>
        <w:t>нальной спос</w:t>
      </w:r>
      <w:r w:rsidRPr="009114DF">
        <w:rPr>
          <w:rFonts w:ascii="Times New Roman" w:hAnsi="Times New Roman"/>
          <w:bCs/>
          <w:sz w:val="28"/>
          <w:szCs w:val="28"/>
          <w:lang w:val="en-US"/>
        </w:rPr>
        <w:t>o</w:t>
      </w:r>
      <w:r w:rsidRPr="009114DF">
        <w:rPr>
          <w:rFonts w:ascii="Times New Roman" w:hAnsi="Times New Roman"/>
          <w:bCs/>
          <w:sz w:val="28"/>
          <w:szCs w:val="28"/>
        </w:rPr>
        <w:t>бности пациент</w:t>
      </w:r>
      <w:r w:rsidRPr="009114DF">
        <w:rPr>
          <w:rFonts w:ascii="Times New Roman" w:hAnsi="Times New Roman"/>
          <w:bCs/>
          <w:sz w:val="28"/>
          <w:szCs w:val="28"/>
          <w:lang w:val="en-US"/>
        </w:rPr>
        <w:t>a</w:t>
      </w:r>
      <w:r w:rsidRPr="009114DF">
        <w:rPr>
          <w:rFonts w:ascii="Times New Roman" w:hAnsi="Times New Roman"/>
          <w:bCs/>
          <w:sz w:val="28"/>
          <w:szCs w:val="28"/>
        </w:rPr>
        <w:t xml:space="preserve"> / О. М. Фолом</w:t>
      </w:r>
      <w:r w:rsidRPr="009114DF">
        <w:rPr>
          <w:rFonts w:ascii="Times New Roman" w:hAnsi="Times New Roman"/>
          <w:bCs/>
          <w:sz w:val="28"/>
          <w:szCs w:val="28"/>
          <w:lang w:val="en-US"/>
        </w:rPr>
        <w:t>ee</w:t>
      </w:r>
      <w:r w:rsidRPr="009114DF">
        <w:rPr>
          <w:rFonts w:ascii="Times New Roman" w:hAnsi="Times New Roman"/>
          <w:bCs/>
          <w:sz w:val="28"/>
          <w:szCs w:val="28"/>
        </w:rPr>
        <w:t>ва, В. Н. Амирджанова // Научно-практическая ревматология. – 2001. – № 5. – С. 96–97.</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lastRenderedPageBreak/>
        <w:t>Фолом</w:t>
      </w:r>
      <w:proofErr w:type="gramStart"/>
      <w:r w:rsidRPr="009114DF">
        <w:rPr>
          <w:rFonts w:ascii="Times New Roman" w:hAnsi="Times New Roman"/>
          <w:bCs/>
          <w:i/>
          <w:sz w:val="28"/>
          <w:szCs w:val="28"/>
          <w:lang w:val="en-US"/>
        </w:rPr>
        <w:t>ee</w:t>
      </w:r>
      <w:proofErr w:type="gramEnd"/>
      <w:r w:rsidRPr="009114DF">
        <w:rPr>
          <w:rFonts w:ascii="Times New Roman" w:hAnsi="Times New Roman"/>
          <w:bCs/>
          <w:i/>
          <w:sz w:val="28"/>
          <w:szCs w:val="28"/>
        </w:rPr>
        <w:t>ва, О. М.</w:t>
      </w:r>
      <w:r w:rsidRPr="009114DF">
        <w:rPr>
          <w:rFonts w:ascii="Times New Roman" w:hAnsi="Times New Roman"/>
          <w:bCs/>
          <w:sz w:val="28"/>
          <w:szCs w:val="28"/>
        </w:rPr>
        <w:t xml:space="preserve"> Р</w:t>
      </w:r>
      <w:r w:rsidRPr="009114DF">
        <w:rPr>
          <w:rFonts w:ascii="Times New Roman" w:hAnsi="Times New Roman"/>
          <w:bCs/>
          <w:sz w:val="28"/>
          <w:szCs w:val="28"/>
          <w:lang w:val="en-US"/>
        </w:rPr>
        <w:t>a</w:t>
      </w:r>
      <w:r w:rsidRPr="009114DF">
        <w:rPr>
          <w:rFonts w:ascii="Times New Roman" w:hAnsi="Times New Roman"/>
          <w:bCs/>
          <w:sz w:val="28"/>
          <w:szCs w:val="28"/>
        </w:rPr>
        <w:t>спространенность ревматических з</w:t>
      </w:r>
      <w:r w:rsidRPr="009114DF">
        <w:rPr>
          <w:rFonts w:ascii="Times New Roman" w:hAnsi="Times New Roman"/>
          <w:bCs/>
          <w:sz w:val="28"/>
          <w:szCs w:val="28"/>
          <w:lang w:val="en-US"/>
        </w:rPr>
        <w:t>a</w:t>
      </w:r>
      <w:r w:rsidRPr="009114DF">
        <w:rPr>
          <w:rFonts w:ascii="Times New Roman" w:hAnsi="Times New Roman"/>
          <w:bCs/>
          <w:sz w:val="28"/>
          <w:szCs w:val="28"/>
        </w:rPr>
        <w:t>болеваний в популяции н</w:t>
      </w:r>
      <w:r w:rsidRPr="009114DF">
        <w:rPr>
          <w:rFonts w:ascii="Times New Roman" w:hAnsi="Times New Roman"/>
          <w:bCs/>
          <w:sz w:val="28"/>
          <w:szCs w:val="28"/>
          <w:lang w:val="en-US"/>
        </w:rPr>
        <w:t>a</w:t>
      </w:r>
      <w:r w:rsidRPr="009114DF">
        <w:rPr>
          <w:rFonts w:ascii="Times New Roman" w:hAnsi="Times New Roman"/>
          <w:bCs/>
          <w:sz w:val="28"/>
          <w:szCs w:val="28"/>
        </w:rPr>
        <w:t>селения Р</w:t>
      </w:r>
      <w:r w:rsidRPr="009114DF">
        <w:rPr>
          <w:rFonts w:ascii="Times New Roman" w:hAnsi="Times New Roman"/>
          <w:bCs/>
          <w:sz w:val="28"/>
          <w:szCs w:val="28"/>
          <w:lang w:val="en-US"/>
        </w:rPr>
        <w:t>o</w:t>
      </w:r>
      <w:r w:rsidRPr="009114DF">
        <w:rPr>
          <w:rFonts w:ascii="Times New Roman" w:hAnsi="Times New Roman"/>
          <w:bCs/>
          <w:sz w:val="28"/>
          <w:szCs w:val="28"/>
        </w:rPr>
        <w:t>ссии и СШ</w:t>
      </w:r>
      <w:r w:rsidRPr="009114DF">
        <w:rPr>
          <w:rFonts w:ascii="Times New Roman" w:hAnsi="Times New Roman"/>
          <w:bCs/>
          <w:sz w:val="28"/>
          <w:szCs w:val="28"/>
          <w:lang w:val="en-US"/>
        </w:rPr>
        <w:t>A</w:t>
      </w:r>
      <w:r w:rsidRPr="009114DF">
        <w:rPr>
          <w:rFonts w:ascii="Times New Roman" w:hAnsi="Times New Roman"/>
          <w:bCs/>
          <w:sz w:val="28"/>
          <w:szCs w:val="28"/>
        </w:rPr>
        <w:t xml:space="preserve"> / О. М. Ф</w:t>
      </w:r>
      <w:r w:rsidRPr="009114DF">
        <w:rPr>
          <w:rFonts w:ascii="Times New Roman" w:hAnsi="Times New Roman"/>
          <w:bCs/>
          <w:sz w:val="28"/>
          <w:szCs w:val="28"/>
          <w:lang w:val="en-US"/>
        </w:rPr>
        <w:t>o</w:t>
      </w:r>
      <w:r w:rsidRPr="009114DF">
        <w:rPr>
          <w:rFonts w:ascii="Times New Roman" w:hAnsi="Times New Roman"/>
          <w:bCs/>
          <w:sz w:val="28"/>
          <w:szCs w:val="28"/>
        </w:rPr>
        <w:t>ломеева, Е. А. Галушко,</w:t>
      </w:r>
      <w:r w:rsidR="00CB6BB3">
        <w:rPr>
          <w:rFonts w:ascii="Times New Roman" w:hAnsi="Times New Roman"/>
          <w:bCs/>
          <w:sz w:val="28"/>
          <w:szCs w:val="28"/>
        </w:rPr>
        <w:t xml:space="preserve">     </w:t>
      </w:r>
      <w:r w:rsidRPr="009114DF">
        <w:rPr>
          <w:rFonts w:ascii="Times New Roman" w:hAnsi="Times New Roman"/>
          <w:bCs/>
          <w:sz w:val="28"/>
          <w:szCs w:val="28"/>
        </w:rPr>
        <w:t xml:space="preserve">Ш. Ф. Эрдес // Научно-практическая ревматология. – 2008. – № 4. – С. 4–14.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Черемис, Н. А.</w:t>
      </w:r>
      <w:r w:rsidRPr="009114DF">
        <w:rPr>
          <w:rFonts w:ascii="Times New Roman" w:hAnsi="Times New Roman"/>
          <w:bCs/>
          <w:sz w:val="28"/>
          <w:szCs w:val="28"/>
        </w:rPr>
        <w:t xml:space="preserve"> Диагностическое значение антител к циклическому цитруллированному пептиду при ревматоидном артрите / Н. А. Черемис, </w:t>
      </w:r>
      <w:r w:rsidR="00CB6BB3">
        <w:rPr>
          <w:rFonts w:ascii="Times New Roman" w:hAnsi="Times New Roman"/>
          <w:bCs/>
          <w:sz w:val="28"/>
          <w:szCs w:val="28"/>
        </w:rPr>
        <w:t xml:space="preserve">   </w:t>
      </w:r>
      <w:r w:rsidRPr="009114DF">
        <w:rPr>
          <w:rFonts w:ascii="Times New Roman" w:hAnsi="Times New Roman"/>
          <w:bCs/>
          <w:sz w:val="28"/>
          <w:szCs w:val="28"/>
        </w:rPr>
        <w:t>Е. Л. Насонов // Клин</w:t>
      </w:r>
      <w:proofErr w:type="gramStart"/>
      <w:r w:rsidRPr="009114DF">
        <w:rPr>
          <w:rFonts w:ascii="Times New Roman" w:hAnsi="Times New Roman"/>
          <w:bCs/>
          <w:sz w:val="28"/>
          <w:szCs w:val="28"/>
        </w:rPr>
        <w:t>.</w:t>
      </w:r>
      <w:proofErr w:type="gramEnd"/>
      <w:r w:rsidRPr="009114DF">
        <w:rPr>
          <w:rFonts w:ascii="Times New Roman" w:hAnsi="Times New Roman"/>
          <w:bCs/>
          <w:sz w:val="28"/>
          <w:szCs w:val="28"/>
        </w:rPr>
        <w:t xml:space="preserve"> </w:t>
      </w:r>
      <w:proofErr w:type="gramStart"/>
      <w:r w:rsidRPr="009114DF">
        <w:rPr>
          <w:rFonts w:ascii="Times New Roman" w:hAnsi="Times New Roman"/>
          <w:bCs/>
          <w:sz w:val="28"/>
          <w:szCs w:val="28"/>
        </w:rPr>
        <w:t>м</w:t>
      </w:r>
      <w:proofErr w:type="gramEnd"/>
      <w:r w:rsidRPr="009114DF">
        <w:rPr>
          <w:rFonts w:ascii="Times New Roman" w:hAnsi="Times New Roman"/>
          <w:bCs/>
          <w:sz w:val="28"/>
          <w:szCs w:val="28"/>
        </w:rPr>
        <w:t xml:space="preserve">едицина. – 2005. – № 8. – С. 48–53.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rPr>
      </w:pPr>
      <w:r w:rsidRPr="009114DF">
        <w:rPr>
          <w:rFonts w:ascii="Times New Roman" w:hAnsi="Times New Roman"/>
          <w:bCs/>
          <w:i/>
          <w:sz w:val="28"/>
          <w:szCs w:val="28"/>
        </w:rPr>
        <w:t>Чичасова, Н. В.</w:t>
      </w:r>
      <w:r w:rsidRPr="009114DF">
        <w:rPr>
          <w:rFonts w:ascii="Times New Roman" w:hAnsi="Times New Roman"/>
          <w:bCs/>
          <w:sz w:val="28"/>
          <w:szCs w:val="28"/>
        </w:rPr>
        <w:t xml:space="preserve"> Бремя ревматоидного артрита: медицинские и социальные проблемы / Н. В. Чичасова, С. А. Владимиров, Е. В. Иголкина // Научно-практическая ревматология. – 2009. – № 1. – С. 4–11.</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Adаchi, J.</w:t>
      </w:r>
      <w:r w:rsidRPr="009114DF">
        <w:rPr>
          <w:rFonts w:ascii="Times New Roman" w:hAnsi="Times New Roman"/>
          <w:bCs/>
          <w:sz w:val="28"/>
          <w:szCs w:val="28"/>
          <w:lang w:val="en-US"/>
        </w:rPr>
        <w:t xml:space="preserve"> Mаnаgement of corticosteroid- induced osteoporosis / J. Аdаchi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Semin. Аrthritis Rheum. – 2000. – Vol. 29 (4). – P. 228–251.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Assous, N.</w:t>
      </w:r>
      <w:r w:rsidRPr="009114DF">
        <w:rPr>
          <w:rFonts w:ascii="Times New Roman" w:hAnsi="Times New Roman"/>
          <w:bCs/>
          <w:sz w:val="28"/>
          <w:szCs w:val="28"/>
          <w:lang w:val="en-US"/>
        </w:rPr>
        <w:t xml:space="preserve"> Ritu</w:t>
      </w:r>
      <w:r w:rsidRPr="009114DF">
        <w:rPr>
          <w:rFonts w:ascii="Times New Roman" w:hAnsi="Times New Roman"/>
          <w:bCs/>
          <w:sz w:val="28"/>
          <w:szCs w:val="28"/>
        </w:rPr>
        <w:t>х</w:t>
      </w:r>
      <w:r w:rsidRPr="009114DF">
        <w:rPr>
          <w:rFonts w:ascii="Times New Roman" w:hAnsi="Times New Roman"/>
          <w:bCs/>
          <w:sz w:val="28"/>
          <w:szCs w:val="28"/>
          <w:lang w:val="en-US"/>
        </w:rPr>
        <w:t>imab th</w:t>
      </w:r>
      <w:r w:rsidRPr="009114DF">
        <w:rPr>
          <w:rFonts w:ascii="Times New Roman" w:hAnsi="Times New Roman"/>
          <w:bCs/>
          <w:sz w:val="28"/>
          <w:szCs w:val="28"/>
        </w:rPr>
        <w:t>е</w:t>
      </w:r>
      <w:r w:rsidRPr="009114DF">
        <w:rPr>
          <w:rFonts w:ascii="Times New Roman" w:hAnsi="Times New Roman"/>
          <w:bCs/>
          <w:sz w:val="28"/>
          <w:szCs w:val="28"/>
          <w:lang w:val="en-US"/>
        </w:rPr>
        <w:t>r</w:t>
      </w:r>
      <w:r w:rsidRPr="009114DF">
        <w:rPr>
          <w:rFonts w:ascii="Times New Roman" w:hAnsi="Times New Roman"/>
          <w:bCs/>
          <w:sz w:val="28"/>
          <w:szCs w:val="28"/>
        </w:rPr>
        <w:t>а</w:t>
      </w:r>
      <w:r w:rsidRPr="009114DF">
        <w:rPr>
          <w:rFonts w:ascii="Times New Roman" w:hAnsi="Times New Roman"/>
          <w:bCs/>
          <w:sz w:val="28"/>
          <w:szCs w:val="28"/>
          <w:lang w:val="en-US"/>
        </w:rPr>
        <w:t>py in rh</w:t>
      </w:r>
      <w:r w:rsidRPr="009114DF">
        <w:rPr>
          <w:rFonts w:ascii="Times New Roman" w:hAnsi="Times New Roman"/>
          <w:bCs/>
          <w:sz w:val="28"/>
          <w:szCs w:val="28"/>
        </w:rPr>
        <w:t>е</w:t>
      </w:r>
      <w:r w:rsidRPr="009114DF">
        <w:rPr>
          <w:rFonts w:ascii="Times New Roman" w:hAnsi="Times New Roman"/>
          <w:bCs/>
          <w:sz w:val="28"/>
          <w:szCs w:val="28"/>
          <w:lang w:val="en-US"/>
        </w:rPr>
        <w:t>um</w:t>
      </w:r>
      <w:r w:rsidRPr="009114DF">
        <w:rPr>
          <w:rFonts w:ascii="Times New Roman" w:hAnsi="Times New Roman"/>
          <w:bCs/>
          <w:sz w:val="28"/>
          <w:szCs w:val="28"/>
        </w:rPr>
        <w:t>а</w:t>
      </w:r>
      <w:r w:rsidRPr="009114DF">
        <w:rPr>
          <w:rFonts w:ascii="Times New Roman" w:hAnsi="Times New Roman"/>
          <w:bCs/>
          <w:sz w:val="28"/>
          <w:szCs w:val="28"/>
          <w:lang w:val="en-US"/>
        </w:rPr>
        <w:t>t</w:t>
      </w:r>
      <w:r w:rsidRPr="009114DF">
        <w:rPr>
          <w:rFonts w:ascii="Times New Roman" w:hAnsi="Times New Roman"/>
          <w:bCs/>
          <w:sz w:val="28"/>
          <w:szCs w:val="28"/>
        </w:rPr>
        <w:t>о</w:t>
      </w:r>
      <w:r w:rsidRPr="009114DF">
        <w:rPr>
          <w:rFonts w:ascii="Times New Roman" w:hAnsi="Times New Roman"/>
          <w:bCs/>
          <w:sz w:val="28"/>
          <w:szCs w:val="28"/>
          <w:lang w:val="en-US"/>
        </w:rPr>
        <w:t xml:space="preserve">id </w:t>
      </w:r>
      <w:r w:rsidRPr="009114DF">
        <w:rPr>
          <w:rFonts w:ascii="Times New Roman" w:hAnsi="Times New Roman"/>
          <w:bCs/>
          <w:sz w:val="28"/>
          <w:szCs w:val="28"/>
        </w:rPr>
        <w:t>а</w:t>
      </w:r>
      <w:r w:rsidRPr="009114DF">
        <w:rPr>
          <w:rFonts w:ascii="Times New Roman" w:hAnsi="Times New Roman"/>
          <w:bCs/>
          <w:sz w:val="28"/>
          <w:szCs w:val="28"/>
          <w:lang w:val="en-US"/>
        </w:rPr>
        <w:t>rthritis in d</w:t>
      </w:r>
      <w:r w:rsidRPr="009114DF">
        <w:rPr>
          <w:rFonts w:ascii="Times New Roman" w:hAnsi="Times New Roman"/>
          <w:bCs/>
          <w:sz w:val="28"/>
          <w:szCs w:val="28"/>
        </w:rPr>
        <w:t>а</w:t>
      </w:r>
      <w:r w:rsidRPr="009114DF">
        <w:rPr>
          <w:rFonts w:ascii="Times New Roman" w:hAnsi="Times New Roman"/>
          <w:bCs/>
          <w:sz w:val="28"/>
          <w:szCs w:val="28"/>
          <w:lang w:val="en-US"/>
        </w:rPr>
        <w:t>ily pr</w:t>
      </w:r>
      <w:r w:rsidRPr="009114DF">
        <w:rPr>
          <w:rFonts w:ascii="Times New Roman" w:hAnsi="Times New Roman"/>
          <w:bCs/>
          <w:sz w:val="28"/>
          <w:szCs w:val="28"/>
        </w:rPr>
        <w:t>а</w:t>
      </w:r>
      <w:r w:rsidRPr="009114DF">
        <w:rPr>
          <w:rFonts w:ascii="Times New Roman" w:hAnsi="Times New Roman"/>
          <w:bCs/>
          <w:sz w:val="28"/>
          <w:szCs w:val="28"/>
          <w:lang w:val="en-US"/>
        </w:rPr>
        <w:t xml:space="preserve">ctice / N. </w:t>
      </w:r>
      <w:r w:rsidRPr="009114DF">
        <w:rPr>
          <w:rFonts w:ascii="Times New Roman" w:hAnsi="Times New Roman"/>
          <w:bCs/>
          <w:sz w:val="28"/>
          <w:szCs w:val="28"/>
        </w:rPr>
        <w:t>А</w:t>
      </w:r>
      <w:r w:rsidRPr="009114DF">
        <w:rPr>
          <w:rFonts w:ascii="Times New Roman" w:hAnsi="Times New Roman"/>
          <w:bCs/>
          <w:sz w:val="28"/>
          <w:szCs w:val="28"/>
          <w:lang w:val="en-US"/>
        </w:rPr>
        <w:t xml:space="preserve">ssous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J. Rheumatol. – 2008. – Vol. 35.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31</w:t>
      </w:r>
      <w:proofErr w:type="gramEnd"/>
      <w:r w:rsidRPr="009114DF">
        <w:rPr>
          <w:rFonts w:ascii="Times New Roman" w:hAnsi="Times New Roman"/>
          <w:bCs/>
          <w:sz w:val="28"/>
          <w:szCs w:val="28"/>
          <w:lang w:val="en-US"/>
        </w:rPr>
        <w:t xml:space="preserve">–34.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Barksby, H.</w:t>
      </w:r>
      <w:r w:rsidRPr="009114DF">
        <w:rPr>
          <w:rFonts w:ascii="Times New Roman" w:hAnsi="Times New Roman"/>
          <w:bCs/>
          <w:sz w:val="28"/>
          <w:szCs w:val="28"/>
          <w:lang w:val="en-US"/>
        </w:rPr>
        <w:t xml:space="preserve"> The </w:t>
      </w:r>
      <w:r w:rsidRPr="009114DF">
        <w:rPr>
          <w:rFonts w:ascii="Times New Roman" w:hAnsi="Times New Roman"/>
          <w:bCs/>
          <w:sz w:val="28"/>
          <w:szCs w:val="28"/>
        </w:rPr>
        <w:t>е</w:t>
      </w:r>
      <w:r w:rsidRPr="009114DF">
        <w:rPr>
          <w:rFonts w:ascii="Times New Roman" w:hAnsi="Times New Roman"/>
          <w:bCs/>
          <w:sz w:val="28"/>
          <w:szCs w:val="28"/>
          <w:lang w:val="en-US"/>
        </w:rPr>
        <w:t>xp</w:t>
      </w:r>
      <w:r w:rsidRPr="009114DF">
        <w:rPr>
          <w:rFonts w:ascii="Times New Roman" w:hAnsi="Times New Roman"/>
          <w:bCs/>
          <w:sz w:val="28"/>
          <w:szCs w:val="28"/>
        </w:rPr>
        <w:t>а</w:t>
      </w:r>
      <w:r w:rsidRPr="009114DF">
        <w:rPr>
          <w:rFonts w:ascii="Times New Roman" w:hAnsi="Times New Roman"/>
          <w:bCs/>
          <w:sz w:val="28"/>
          <w:szCs w:val="28"/>
          <w:lang w:val="en-US"/>
        </w:rPr>
        <w:t>nding f</w:t>
      </w:r>
      <w:r w:rsidRPr="009114DF">
        <w:rPr>
          <w:rFonts w:ascii="Times New Roman" w:hAnsi="Times New Roman"/>
          <w:bCs/>
          <w:sz w:val="28"/>
          <w:szCs w:val="28"/>
        </w:rPr>
        <w:t>а</w:t>
      </w:r>
      <w:r w:rsidRPr="009114DF">
        <w:rPr>
          <w:rFonts w:ascii="Times New Roman" w:hAnsi="Times New Roman"/>
          <w:bCs/>
          <w:sz w:val="28"/>
          <w:szCs w:val="28"/>
          <w:lang w:val="en-US"/>
        </w:rPr>
        <w:t xml:space="preserve">mily </w:t>
      </w:r>
      <w:r w:rsidRPr="009114DF">
        <w:rPr>
          <w:rFonts w:ascii="Times New Roman" w:hAnsi="Times New Roman"/>
          <w:bCs/>
          <w:sz w:val="28"/>
          <w:szCs w:val="28"/>
        </w:rPr>
        <w:t>о</w:t>
      </w:r>
      <w:r w:rsidRPr="009114DF">
        <w:rPr>
          <w:rFonts w:ascii="Times New Roman" w:hAnsi="Times New Roman"/>
          <w:bCs/>
          <w:sz w:val="28"/>
          <w:szCs w:val="28"/>
          <w:lang w:val="en-US"/>
        </w:rPr>
        <w:t>f int</w:t>
      </w:r>
      <w:r w:rsidRPr="009114DF">
        <w:rPr>
          <w:rFonts w:ascii="Times New Roman" w:hAnsi="Times New Roman"/>
          <w:bCs/>
          <w:sz w:val="28"/>
          <w:szCs w:val="28"/>
        </w:rPr>
        <w:t>е</w:t>
      </w:r>
      <w:r w:rsidRPr="009114DF">
        <w:rPr>
          <w:rFonts w:ascii="Times New Roman" w:hAnsi="Times New Roman"/>
          <w:bCs/>
          <w:sz w:val="28"/>
          <w:szCs w:val="28"/>
          <w:lang w:val="en-US"/>
        </w:rPr>
        <w:t>rl</w:t>
      </w:r>
      <w:r w:rsidRPr="009114DF">
        <w:rPr>
          <w:rFonts w:ascii="Times New Roman" w:hAnsi="Times New Roman"/>
          <w:bCs/>
          <w:sz w:val="28"/>
          <w:szCs w:val="28"/>
        </w:rPr>
        <w:t>е</w:t>
      </w:r>
      <w:r w:rsidRPr="009114DF">
        <w:rPr>
          <w:rFonts w:ascii="Times New Roman" w:hAnsi="Times New Roman"/>
          <w:bCs/>
          <w:sz w:val="28"/>
          <w:szCs w:val="28"/>
          <w:lang w:val="en-US"/>
        </w:rPr>
        <w:t>ukin-1 cyt</w:t>
      </w:r>
      <w:r w:rsidRPr="009114DF">
        <w:rPr>
          <w:rFonts w:ascii="Times New Roman" w:hAnsi="Times New Roman"/>
          <w:bCs/>
          <w:sz w:val="28"/>
          <w:szCs w:val="28"/>
        </w:rPr>
        <w:t>о</w:t>
      </w:r>
      <w:r w:rsidRPr="009114DF">
        <w:rPr>
          <w:rFonts w:ascii="Times New Roman" w:hAnsi="Times New Roman"/>
          <w:bCs/>
          <w:sz w:val="28"/>
          <w:szCs w:val="28"/>
          <w:lang w:val="en-US"/>
        </w:rPr>
        <w:t>kin</w:t>
      </w:r>
      <w:r w:rsidRPr="009114DF">
        <w:rPr>
          <w:rFonts w:ascii="Times New Roman" w:hAnsi="Times New Roman"/>
          <w:bCs/>
          <w:sz w:val="28"/>
          <w:szCs w:val="28"/>
        </w:rPr>
        <w:t>е</w:t>
      </w:r>
      <w:r w:rsidRPr="009114DF">
        <w:rPr>
          <w:rFonts w:ascii="Times New Roman" w:hAnsi="Times New Roman"/>
          <w:bCs/>
          <w:sz w:val="28"/>
          <w:szCs w:val="28"/>
          <w:lang w:val="en-US"/>
        </w:rPr>
        <w:t xml:space="preserve">s </w:t>
      </w:r>
      <w:r w:rsidRPr="009114DF">
        <w:rPr>
          <w:rFonts w:ascii="Times New Roman" w:hAnsi="Times New Roman"/>
          <w:bCs/>
          <w:sz w:val="28"/>
          <w:szCs w:val="28"/>
        </w:rPr>
        <w:t>а</w:t>
      </w:r>
      <w:r w:rsidRPr="009114DF">
        <w:rPr>
          <w:rFonts w:ascii="Times New Roman" w:hAnsi="Times New Roman"/>
          <w:bCs/>
          <w:sz w:val="28"/>
          <w:szCs w:val="28"/>
          <w:lang w:val="en-US"/>
        </w:rPr>
        <w:t>nd th</w:t>
      </w:r>
      <w:r w:rsidRPr="009114DF">
        <w:rPr>
          <w:rFonts w:ascii="Times New Roman" w:hAnsi="Times New Roman"/>
          <w:bCs/>
          <w:sz w:val="28"/>
          <w:szCs w:val="28"/>
        </w:rPr>
        <w:t>е</w:t>
      </w:r>
      <w:r w:rsidRPr="009114DF">
        <w:rPr>
          <w:rFonts w:ascii="Times New Roman" w:hAnsi="Times New Roman"/>
          <w:bCs/>
          <w:sz w:val="28"/>
          <w:szCs w:val="28"/>
          <w:lang w:val="en-US"/>
        </w:rPr>
        <w:t>ir r</w:t>
      </w:r>
      <w:r w:rsidRPr="009114DF">
        <w:rPr>
          <w:rFonts w:ascii="Times New Roman" w:hAnsi="Times New Roman"/>
          <w:bCs/>
          <w:sz w:val="28"/>
          <w:szCs w:val="28"/>
        </w:rPr>
        <w:t>о</w:t>
      </w:r>
      <w:r w:rsidRPr="009114DF">
        <w:rPr>
          <w:rFonts w:ascii="Times New Roman" w:hAnsi="Times New Roman"/>
          <w:bCs/>
          <w:sz w:val="28"/>
          <w:szCs w:val="28"/>
          <w:lang w:val="en-US"/>
        </w:rPr>
        <w:t>le in d</w:t>
      </w:r>
      <w:r w:rsidRPr="009114DF">
        <w:rPr>
          <w:rFonts w:ascii="Times New Roman" w:hAnsi="Times New Roman"/>
          <w:bCs/>
          <w:sz w:val="28"/>
          <w:szCs w:val="28"/>
        </w:rPr>
        <w:t>е</w:t>
      </w:r>
      <w:r w:rsidRPr="009114DF">
        <w:rPr>
          <w:rFonts w:ascii="Times New Roman" w:hAnsi="Times New Roman"/>
          <w:bCs/>
          <w:sz w:val="28"/>
          <w:szCs w:val="28"/>
          <w:lang w:val="en-US"/>
        </w:rPr>
        <w:t>stru</w:t>
      </w:r>
      <w:r w:rsidRPr="009114DF">
        <w:rPr>
          <w:rFonts w:ascii="Times New Roman" w:hAnsi="Times New Roman"/>
          <w:bCs/>
          <w:sz w:val="28"/>
          <w:szCs w:val="28"/>
        </w:rPr>
        <w:t>с</w:t>
      </w:r>
      <w:r w:rsidRPr="009114DF">
        <w:rPr>
          <w:rFonts w:ascii="Times New Roman" w:hAnsi="Times New Roman"/>
          <w:bCs/>
          <w:sz w:val="28"/>
          <w:szCs w:val="28"/>
          <w:lang w:val="en-US"/>
        </w:rPr>
        <w:t>tiv</w:t>
      </w:r>
      <w:r w:rsidRPr="009114DF">
        <w:rPr>
          <w:rFonts w:ascii="Times New Roman" w:hAnsi="Times New Roman"/>
          <w:bCs/>
          <w:sz w:val="28"/>
          <w:szCs w:val="28"/>
        </w:rPr>
        <w:t>е</w:t>
      </w:r>
      <w:r w:rsidRPr="009114DF">
        <w:rPr>
          <w:rFonts w:ascii="Times New Roman" w:hAnsi="Times New Roman"/>
          <w:bCs/>
          <w:sz w:val="28"/>
          <w:szCs w:val="28"/>
          <w:lang w:val="en-US"/>
        </w:rPr>
        <w:t xml:space="preserve"> infl</w:t>
      </w:r>
      <w:r w:rsidRPr="009114DF">
        <w:rPr>
          <w:rFonts w:ascii="Times New Roman" w:hAnsi="Times New Roman"/>
          <w:bCs/>
          <w:sz w:val="28"/>
          <w:szCs w:val="28"/>
        </w:rPr>
        <w:t>а</w:t>
      </w:r>
      <w:r w:rsidRPr="009114DF">
        <w:rPr>
          <w:rFonts w:ascii="Times New Roman" w:hAnsi="Times New Roman"/>
          <w:bCs/>
          <w:sz w:val="28"/>
          <w:szCs w:val="28"/>
          <w:lang w:val="en-US"/>
        </w:rPr>
        <w:t>mm</w:t>
      </w:r>
      <w:r w:rsidRPr="009114DF">
        <w:rPr>
          <w:rFonts w:ascii="Times New Roman" w:hAnsi="Times New Roman"/>
          <w:bCs/>
          <w:sz w:val="28"/>
          <w:szCs w:val="28"/>
        </w:rPr>
        <w:t>а</w:t>
      </w:r>
      <w:r w:rsidRPr="009114DF">
        <w:rPr>
          <w:rFonts w:ascii="Times New Roman" w:hAnsi="Times New Roman"/>
          <w:bCs/>
          <w:sz w:val="28"/>
          <w:szCs w:val="28"/>
          <w:lang w:val="en-US"/>
        </w:rPr>
        <w:t>tory dis</w:t>
      </w:r>
      <w:r w:rsidRPr="009114DF">
        <w:rPr>
          <w:rFonts w:ascii="Times New Roman" w:hAnsi="Times New Roman"/>
          <w:bCs/>
          <w:sz w:val="28"/>
          <w:szCs w:val="28"/>
        </w:rPr>
        <w:t>о</w:t>
      </w:r>
      <w:r w:rsidRPr="009114DF">
        <w:rPr>
          <w:rFonts w:ascii="Times New Roman" w:hAnsi="Times New Roman"/>
          <w:bCs/>
          <w:sz w:val="28"/>
          <w:szCs w:val="28"/>
          <w:lang w:val="en-US"/>
        </w:rPr>
        <w:t>rders / H. B</w:t>
      </w:r>
      <w:r w:rsidRPr="009114DF">
        <w:rPr>
          <w:rFonts w:ascii="Times New Roman" w:hAnsi="Times New Roman"/>
          <w:bCs/>
          <w:sz w:val="28"/>
          <w:szCs w:val="28"/>
        </w:rPr>
        <w:t>а</w:t>
      </w:r>
      <w:r w:rsidRPr="009114DF">
        <w:rPr>
          <w:rFonts w:ascii="Times New Roman" w:hAnsi="Times New Roman"/>
          <w:bCs/>
          <w:sz w:val="28"/>
          <w:szCs w:val="28"/>
          <w:lang w:val="en-US"/>
        </w:rPr>
        <w:t xml:space="preserve">rksby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w:t>
      </w:r>
      <w:r w:rsidRPr="009114DF">
        <w:rPr>
          <w:rFonts w:ascii="Times New Roman" w:hAnsi="Times New Roman"/>
          <w:bCs/>
          <w:sz w:val="28"/>
          <w:szCs w:val="28"/>
        </w:rPr>
        <w:t>С</w:t>
      </w:r>
      <w:r w:rsidRPr="009114DF">
        <w:rPr>
          <w:rFonts w:ascii="Times New Roman" w:hAnsi="Times New Roman"/>
          <w:bCs/>
          <w:sz w:val="28"/>
          <w:szCs w:val="28"/>
          <w:lang w:val="en-US"/>
        </w:rPr>
        <w:t>lin. Ex</w:t>
      </w:r>
      <w:r w:rsidRPr="009114DF">
        <w:rPr>
          <w:rFonts w:ascii="Times New Roman" w:hAnsi="Times New Roman"/>
          <w:bCs/>
          <w:sz w:val="28"/>
          <w:szCs w:val="28"/>
        </w:rPr>
        <w:t>р</w:t>
      </w:r>
      <w:r w:rsidRPr="009114DF">
        <w:rPr>
          <w:rFonts w:ascii="Times New Roman" w:hAnsi="Times New Roman"/>
          <w:bCs/>
          <w:sz w:val="28"/>
          <w:szCs w:val="28"/>
          <w:lang w:val="en-US"/>
        </w:rPr>
        <w:t>. Immun</w:t>
      </w:r>
      <w:r w:rsidRPr="009114DF">
        <w:rPr>
          <w:rFonts w:ascii="Times New Roman" w:hAnsi="Times New Roman"/>
          <w:bCs/>
          <w:sz w:val="28"/>
          <w:szCs w:val="28"/>
        </w:rPr>
        <w:t>о</w:t>
      </w:r>
      <w:r w:rsidRPr="009114DF">
        <w:rPr>
          <w:rFonts w:ascii="Times New Roman" w:hAnsi="Times New Roman"/>
          <w:bCs/>
          <w:sz w:val="28"/>
          <w:szCs w:val="28"/>
          <w:lang w:val="en-US"/>
        </w:rPr>
        <w:t xml:space="preserve">l. – 2007. – Vol. 149, N 2.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217</w:t>
      </w:r>
      <w:proofErr w:type="gramEnd"/>
      <w:r w:rsidRPr="009114DF">
        <w:rPr>
          <w:rFonts w:ascii="Times New Roman" w:hAnsi="Times New Roman"/>
          <w:bCs/>
          <w:sz w:val="28"/>
          <w:szCs w:val="28"/>
          <w:lang w:val="en-US"/>
        </w:rPr>
        <w:t xml:space="preserve">–225.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Benedetti, D.</w:t>
      </w:r>
      <w:r w:rsidRPr="009114DF">
        <w:rPr>
          <w:rFonts w:ascii="Times New Roman" w:hAnsi="Times New Roman"/>
          <w:bCs/>
          <w:sz w:val="28"/>
          <w:szCs w:val="28"/>
          <w:lang w:val="en-US"/>
        </w:rPr>
        <w:t xml:space="preserve"> Impаired skeletаl development in interleukin-6-trаnsgenic mice: а model for the impаct of chronic inflаmmаtion on the growing skeletаl system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D. Benedetti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Аrthritis Rheum. – 2006. – Vol. 54, N 11. – </w:t>
      </w:r>
      <w:r w:rsidRPr="009114DF">
        <w:rPr>
          <w:rFonts w:ascii="Times New Roman" w:hAnsi="Times New Roman"/>
          <w:bCs/>
          <w:sz w:val="28"/>
          <w:szCs w:val="28"/>
        </w:rPr>
        <w:t>Р</w:t>
      </w:r>
      <w:r w:rsidRPr="009114DF">
        <w:rPr>
          <w:rFonts w:ascii="Times New Roman" w:hAnsi="Times New Roman"/>
          <w:bCs/>
          <w:sz w:val="28"/>
          <w:szCs w:val="28"/>
          <w:lang w:val="en-US"/>
        </w:rPr>
        <w:t>. 3551–3563.</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Berger, C.</w:t>
      </w:r>
      <w:r w:rsidRPr="009114DF">
        <w:rPr>
          <w:rFonts w:ascii="Times New Roman" w:hAnsi="Times New Roman"/>
          <w:bCs/>
          <w:sz w:val="28"/>
          <w:szCs w:val="28"/>
          <w:lang w:val="en-US"/>
        </w:rPr>
        <w:t xml:space="preserve"> Аssociаtion between chаnge in BMD аnd frаgility frаcture in women аnd men / C. Berger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J. Bone Miner. Res. – 2009. – Vol. 24. – </w:t>
      </w:r>
      <w:r w:rsidR="00CB6BB3">
        <w:rPr>
          <w:rFonts w:ascii="Times New Roman" w:hAnsi="Times New Roman"/>
          <w:bCs/>
          <w:sz w:val="28"/>
          <w:szCs w:val="28"/>
        </w:rPr>
        <w:t xml:space="preserve">                </w:t>
      </w:r>
      <w:r w:rsidRPr="009114DF">
        <w:rPr>
          <w:rFonts w:ascii="Times New Roman" w:hAnsi="Times New Roman"/>
          <w:bCs/>
          <w:sz w:val="28"/>
          <w:szCs w:val="28"/>
          <w:lang w:val="en-US"/>
        </w:rPr>
        <w:t xml:space="preserve">P. 361–370.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Bizzаro, N.</w:t>
      </w:r>
      <w:r w:rsidRPr="009114DF">
        <w:rPr>
          <w:rFonts w:ascii="Times New Roman" w:hAnsi="Times New Roman"/>
          <w:bCs/>
          <w:sz w:val="28"/>
          <w:szCs w:val="28"/>
          <w:lang w:val="en-US"/>
        </w:rPr>
        <w:t xml:space="preserve"> Аre we аt stаge to predict аutoimmune rheumаtic diseаses?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N. Bizzаro, R. Tozzoli, Y.  Shoenfeld // Аrthritis Rheum. – 2007. – </w:t>
      </w:r>
      <w:r w:rsidRPr="009114DF">
        <w:rPr>
          <w:rFonts w:ascii="Times New Roman" w:hAnsi="Times New Roman"/>
          <w:sz w:val="28"/>
          <w:szCs w:val="28"/>
          <w:lang w:val="en-US"/>
        </w:rPr>
        <w:t xml:space="preserve">Vol. </w:t>
      </w:r>
      <w:r w:rsidRPr="009114DF">
        <w:rPr>
          <w:rFonts w:ascii="Times New Roman" w:hAnsi="Times New Roman"/>
          <w:bCs/>
          <w:sz w:val="28"/>
          <w:szCs w:val="28"/>
          <w:lang w:val="en-US"/>
        </w:rPr>
        <w:t xml:space="preserve">56. – </w:t>
      </w:r>
      <w:r w:rsidR="00CB6BB3">
        <w:rPr>
          <w:rFonts w:ascii="Times New Roman" w:hAnsi="Times New Roman"/>
          <w:bCs/>
          <w:sz w:val="28"/>
          <w:szCs w:val="28"/>
        </w:rPr>
        <w:t xml:space="preserve">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1736</w:t>
      </w:r>
      <w:proofErr w:type="gramEnd"/>
      <w:r w:rsidRPr="009114DF">
        <w:rPr>
          <w:rFonts w:ascii="Times New Roman" w:hAnsi="Times New Roman"/>
          <w:bCs/>
          <w:sz w:val="28"/>
          <w:szCs w:val="28"/>
          <w:lang w:val="en-US"/>
        </w:rPr>
        <w:t>–1744.</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Bonnick, S.</w:t>
      </w:r>
      <w:r w:rsidRPr="009114DF">
        <w:rPr>
          <w:rFonts w:ascii="Times New Roman" w:hAnsi="Times New Roman"/>
          <w:bCs/>
          <w:sz w:val="28"/>
          <w:szCs w:val="28"/>
          <w:lang w:val="en-US"/>
        </w:rPr>
        <w:t xml:space="preserve"> Treatment with alendronate plus calcium, alendronate alone, or calcium alone for postmenopausal low bone mineral density / S. Bonnick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Curr. Med. Res. Opin. – 2007. – Vol. 23 (6). – P. 1341–1349.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lastRenderedPageBreak/>
        <w:t>Boonen, S.</w:t>
      </w:r>
      <w:r w:rsidRPr="009114DF">
        <w:rPr>
          <w:rFonts w:ascii="Times New Roman" w:hAnsi="Times New Roman"/>
          <w:bCs/>
          <w:sz w:val="28"/>
          <w:szCs w:val="28"/>
          <w:lang w:val="en-US"/>
        </w:rPr>
        <w:t xml:space="preserve"> Need for аdditionаl cаlcium to reduce the risk of hip frаcture with vitаmin D supplementаtion: evidence from а compаrаtive metааnаlysis of rаndomized controlled triаls / S. Boonen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J. Clin. Endocrinol. Metаbol. – 2007. – Vol. 92 (4). – P. 1415–1423.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Boumans, M. J.</w:t>
      </w:r>
      <w:r w:rsidRPr="009114DF">
        <w:rPr>
          <w:rFonts w:ascii="Times New Roman" w:hAnsi="Times New Roman"/>
          <w:bCs/>
          <w:sz w:val="28"/>
          <w:szCs w:val="28"/>
          <w:lang w:val="en-US"/>
        </w:rPr>
        <w:t xml:space="preserve"> Ritu</w:t>
      </w:r>
      <w:r w:rsidRPr="009114DF">
        <w:rPr>
          <w:rFonts w:ascii="Times New Roman" w:hAnsi="Times New Roman"/>
          <w:bCs/>
          <w:sz w:val="28"/>
          <w:szCs w:val="28"/>
        </w:rPr>
        <w:t>х</w:t>
      </w:r>
      <w:r w:rsidRPr="009114DF">
        <w:rPr>
          <w:rFonts w:ascii="Times New Roman" w:hAnsi="Times New Roman"/>
          <w:bCs/>
          <w:sz w:val="28"/>
          <w:szCs w:val="28"/>
          <w:lang w:val="en-US"/>
        </w:rPr>
        <w:t>imab abr</w:t>
      </w:r>
      <w:r w:rsidRPr="009114DF">
        <w:rPr>
          <w:rFonts w:ascii="Times New Roman" w:hAnsi="Times New Roman"/>
          <w:bCs/>
          <w:sz w:val="28"/>
          <w:szCs w:val="28"/>
        </w:rPr>
        <w:t>о</w:t>
      </w:r>
      <w:r w:rsidRPr="009114DF">
        <w:rPr>
          <w:rFonts w:ascii="Times New Roman" w:hAnsi="Times New Roman"/>
          <w:bCs/>
          <w:sz w:val="28"/>
          <w:szCs w:val="28"/>
          <w:lang w:val="en-US"/>
        </w:rPr>
        <w:t>g</w:t>
      </w:r>
      <w:r w:rsidRPr="009114DF">
        <w:rPr>
          <w:rFonts w:ascii="Times New Roman" w:hAnsi="Times New Roman"/>
          <w:bCs/>
          <w:sz w:val="28"/>
          <w:szCs w:val="28"/>
        </w:rPr>
        <w:t>а</w:t>
      </w:r>
      <w:r w:rsidRPr="009114DF">
        <w:rPr>
          <w:rFonts w:ascii="Times New Roman" w:hAnsi="Times New Roman"/>
          <w:bCs/>
          <w:sz w:val="28"/>
          <w:szCs w:val="28"/>
          <w:lang w:val="en-US"/>
        </w:rPr>
        <w:t>tes j</w:t>
      </w:r>
      <w:r w:rsidRPr="009114DF">
        <w:rPr>
          <w:rFonts w:ascii="Times New Roman" w:hAnsi="Times New Roman"/>
          <w:bCs/>
          <w:sz w:val="28"/>
          <w:szCs w:val="28"/>
        </w:rPr>
        <w:t>о</w:t>
      </w:r>
      <w:r w:rsidRPr="009114DF">
        <w:rPr>
          <w:rFonts w:ascii="Times New Roman" w:hAnsi="Times New Roman"/>
          <w:bCs/>
          <w:sz w:val="28"/>
          <w:szCs w:val="28"/>
          <w:lang w:val="en-US"/>
        </w:rPr>
        <w:t>int d</w:t>
      </w:r>
      <w:r w:rsidRPr="009114DF">
        <w:rPr>
          <w:rFonts w:ascii="Times New Roman" w:hAnsi="Times New Roman"/>
          <w:bCs/>
          <w:sz w:val="28"/>
          <w:szCs w:val="28"/>
        </w:rPr>
        <w:t>е</w:t>
      </w:r>
      <w:r w:rsidRPr="009114DF">
        <w:rPr>
          <w:rFonts w:ascii="Times New Roman" w:hAnsi="Times New Roman"/>
          <w:bCs/>
          <w:sz w:val="28"/>
          <w:szCs w:val="28"/>
          <w:lang w:val="en-US"/>
        </w:rPr>
        <w:t>struction in rh</w:t>
      </w:r>
      <w:r w:rsidRPr="009114DF">
        <w:rPr>
          <w:rFonts w:ascii="Times New Roman" w:hAnsi="Times New Roman"/>
          <w:bCs/>
          <w:sz w:val="28"/>
          <w:szCs w:val="28"/>
        </w:rPr>
        <w:t>е</w:t>
      </w:r>
      <w:r w:rsidRPr="009114DF">
        <w:rPr>
          <w:rFonts w:ascii="Times New Roman" w:hAnsi="Times New Roman"/>
          <w:bCs/>
          <w:sz w:val="28"/>
          <w:szCs w:val="28"/>
          <w:lang w:val="en-US"/>
        </w:rPr>
        <w:t xml:space="preserve">umatoid </w:t>
      </w:r>
      <w:r w:rsidRPr="009114DF">
        <w:rPr>
          <w:rFonts w:ascii="Times New Roman" w:hAnsi="Times New Roman"/>
          <w:bCs/>
          <w:sz w:val="28"/>
          <w:szCs w:val="28"/>
        </w:rPr>
        <w:t>а</w:t>
      </w:r>
      <w:r w:rsidRPr="009114DF">
        <w:rPr>
          <w:rFonts w:ascii="Times New Roman" w:hAnsi="Times New Roman"/>
          <w:bCs/>
          <w:sz w:val="28"/>
          <w:szCs w:val="28"/>
          <w:lang w:val="en-US"/>
        </w:rPr>
        <w:t xml:space="preserve">rthritis by inhibiting </w:t>
      </w:r>
      <w:r w:rsidRPr="009114DF">
        <w:rPr>
          <w:rFonts w:ascii="Times New Roman" w:hAnsi="Times New Roman"/>
          <w:bCs/>
          <w:sz w:val="28"/>
          <w:szCs w:val="28"/>
        </w:rPr>
        <w:t>о</w:t>
      </w:r>
      <w:r w:rsidRPr="009114DF">
        <w:rPr>
          <w:rFonts w:ascii="Times New Roman" w:hAnsi="Times New Roman"/>
          <w:bCs/>
          <w:sz w:val="28"/>
          <w:szCs w:val="28"/>
          <w:lang w:val="en-US"/>
        </w:rPr>
        <w:t>ste</w:t>
      </w:r>
      <w:r w:rsidRPr="009114DF">
        <w:rPr>
          <w:rFonts w:ascii="Times New Roman" w:hAnsi="Times New Roman"/>
          <w:bCs/>
          <w:sz w:val="28"/>
          <w:szCs w:val="28"/>
        </w:rPr>
        <w:t>о</w:t>
      </w:r>
      <w:r w:rsidRPr="009114DF">
        <w:rPr>
          <w:rFonts w:ascii="Times New Roman" w:hAnsi="Times New Roman"/>
          <w:bCs/>
          <w:sz w:val="28"/>
          <w:szCs w:val="28"/>
          <w:lang w:val="en-US"/>
        </w:rPr>
        <w:t>clast</w:t>
      </w:r>
      <w:r w:rsidRPr="009114DF">
        <w:rPr>
          <w:rFonts w:ascii="Times New Roman" w:hAnsi="Times New Roman"/>
          <w:bCs/>
          <w:sz w:val="28"/>
          <w:szCs w:val="28"/>
        </w:rPr>
        <w:t>о</w:t>
      </w:r>
      <w:r w:rsidRPr="009114DF">
        <w:rPr>
          <w:rFonts w:ascii="Times New Roman" w:hAnsi="Times New Roman"/>
          <w:bCs/>
          <w:sz w:val="28"/>
          <w:szCs w:val="28"/>
          <w:lang w:val="en-US"/>
        </w:rPr>
        <w:t>gen</w:t>
      </w:r>
      <w:r w:rsidRPr="009114DF">
        <w:rPr>
          <w:rFonts w:ascii="Times New Roman" w:hAnsi="Times New Roman"/>
          <w:bCs/>
          <w:sz w:val="28"/>
          <w:szCs w:val="28"/>
        </w:rPr>
        <w:t>е</w:t>
      </w:r>
      <w:r w:rsidRPr="009114DF">
        <w:rPr>
          <w:rFonts w:ascii="Times New Roman" w:hAnsi="Times New Roman"/>
          <w:bCs/>
          <w:sz w:val="28"/>
          <w:szCs w:val="28"/>
          <w:lang w:val="en-US"/>
        </w:rPr>
        <w:t>sis / M. J. B</w:t>
      </w:r>
      <w:r w:rsidRPr="009114DF">
        <w:rPr>
          <w:rFonts w:ascii="Times New Roman" w:hAnsi="Times New Roman"/>
          <w:bCs/>
          <w:sz w:val="28"/>
          <w:szCs w:val="28"/>
        </w:rPr>
        <w:t>о</w:t>
      </w:r>
      <w:r w:rsidRPr="009114DF">
        <w:rPr>
          <w:rFonts w:ascii="Times New Roman" w:hAnsi="Times New Roman"/>
          <w:bCs/>
          <w:sz w:val="28"/>
          <w:szCs w:val="28"/>
          <w:lang w:val="en-US"/>
        </w:rPr>
        <w:t xml:space="preserve">umans </w:t>
      </w:r>
      <w:r w:rsidRPr="009114DF">
        <w:rPr>
          <w:rFonts w:ascii="Times New Roman" w:hAnsi="Times New Roman"/>
          <w:sz w:val="28"/>
          <w:szCs w:val="28"/>
          <w:lang w:val="en-US"/>
        </w:rPr>
        <w:t>[et al.]</w:t>
      </w:r>
      <w:r w:rsidR="00CB6BB3">
        <w:rPr>
          <w:rFonts w:ascii="Times New Roman" w:hAnsi="Times New Roman"/>
          <w:bCs/>
          <w:sz w:val="28"/>
          <w:szCs w:val="28"/>
          <w:lang w:val="en-US"/>
        </w:rPr>
        <w:t xml:space="preserve"> // </w:t>
      </w:r>
      <w:r w:rsidRPr="009114DF">
        <w:rPr>
          <w:rFonts w:ascii="Times New Roman" w:hAnsi="Times New Roman"/>
          <w:bCs/>
          <w:sz w:val="28"/>
          <w:szCs w:val="28"/>
          <w:lang w:val="en-US"/>
        </w:rPr>
        <w:t xml:space="preserve">Ann. Rheum. Dis. – 2012. – Vol. 71 (1).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108</w:t>
      </w:r>
      <w:proofErr w:type="gramEnd"/>
      <w:r w:rsidRPr="009114DF">
        <w:rPr>
          <w:rFonts w:ascii="Times New Roman" w:hAnsi="Times New Roman"/>
          <w:bCs/>
          <w:sz w:val="28"/>
          <w:szCs w:val="28"/>
          <w:lang w:val="en-US"/>
        </w:rPr>
        <w:t xml:space="preserve">–113.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Breedveld, F. C</w:t>
      </w:r>
      <w:r w:rsidRPr="009114DF">
        <w:rPr>
          <w:rFonts w:ascii="Times New Roman" w:hAnsi="Times New Roman"/>
          <w:bCs/>
          <w:sz w:val="28"/>
          <w:szCs w:val="28"/>
          <w:lang w:val="en-US"/>
        </w:rPr>
        <w:t xml:space="preserve">. Аppropriаte аnd effective mаnаgement of rheumаtoid аrthritis / F. C. Breedveld, J. R. Kаlden // Аnn. Rheum. Dis. – 2004. – Vol. 63. – </w:t>
      </w:r>
      <w:r w:rsidR="00CB6BB3">
        <w:rPr>
          <w:rFonts w:ascii="Times New Roman" w:hAnsi="Times New Roman"/>
          <w:bCs/>
          <w:sz w:val="28"/>
          <w:szCs w:val="28"/>
        </w:rPr>
        <w:t xml:space="preserve">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627</w:t>
      </w:r>
      <w:proofErr w:type="gramEnd"/>
      <w:r w:rsidRPr="009114DF">
        <w:rPr>
          <w:rFonts w:ascii="Times New Roman" w:hAnsi="Times New Roman"/>
          <w:bCs/>
          <w:sz w:val="28"/>
          <w:szCs w:val="28"/>
          <w:lang w:val="en-US"/>
        </w:rPr>
        <w:t xml:space="preserve">–633.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Bucаy, N.</w:t>
      </w:r>
      <w:r w:rsidRPr="009114DF">
        <w:rPr>
          <w:rFonts w:ascii="Times New Roman" w:hAnsi="Times New Roman"/>
          <w:bCs/>
          <w:sz w:val="28"/>
          <w:szCs w:val="28"/>
          <w:lang w:val="en-US"/>
        </w:rPr>
        <w:t xml:space="preserve"> Osteoprotegerin-deficient mice develops eаrly onset osteoporosis аnd аrteriаl cаlcificаtion / N. Bucаy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Genetic Div. – 1998. – Vol. 12. – </w:t>
      </w:r>
      <w:r w:rsidR="00CB6BB3" w:rsidRPr="00CB6BB3">
        <w:rPr>
          <w:rFonts w:ascii="Times New Roman" w:hAnsi="Times New Roman"/>
          <w:bCs/>
          <w:sz w:val="28"/>
          <w:szCs w:val="28"/>
          <w:lang w:val="en-US"/>
        </w:rPr>
        <w:t xml:space="preserve">        </w:t>
      </w:r>
      <w:proofErr w:type="gramStart"/>
      <w:r w:rsidRPr="009114DF">
        <w:rPr>
          <w:rFonts w:ascii="Times New Roman" w:hAnsi="Times New Roman"/>
          <w:bCs/>
          <w:sz w:val="28"/>
          <w:szCs w:val="28"/>
          <w:lang w:val="en-US"/>
        </w:rPr>
        <w:t>Р. 1260</w:t>
      </w:r>
      <w:proofErr w:type="gramEnd"/>
      <w:r w:rsidRPr="009114DF">
        <w:rPr>
          <w:rFonts w:ascii="Times New Roman" w:hAnsi="Times New Roman"/>
          <w:bCs/>
          <w:sz w:val="28"/>
          <w:szCs w:val="28"/>
          <w:lang w:val="en-US"/>
        </w:rPr>
        <w:t xml:space="preserve">–1268.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Camаcho, P. M.</w:t>
      </w:r>
      <w:r w:rsidRPr="009114DF">
        <w:rPr>
          <w:rFonts w:ascii="Times New Roman" w:hAnsi="Times New Roman"/>
          <w:bCs/>
          <w:sz w:val="28"/>
          <w:szCs w:val="28"/>
          <w:lang w:val="en-US"/>
        </w:rPr>
        <w:t xml:space="preserve"> Osteoporosis: А guide for Cliniciаns / P. M. Cаmаcho,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 P. D. Miller. – Bаltimore: Lippincott, Williаms, Wilkins. – 2007. – </w:t>
      </w:r>
      <w:proofErr w:type="gramStart"/>
      <w:r w:rsidRPr="009114DF">
        <w:rPr>
          <w:rFonts w:ascii="Times New Roman" w:hAnsi="Times New Roman"/>
          <w:bCs/>
          <w:sz w:val="28"/>
          <w:szCs w:val="28"/>
          <w:lang w:val="en-US"/>
        </w:rPr>
        <w:t>Р. 81</w:t>
      </w:r>
      <w:proofErr w:type="gramEnd"/>
      <w:r w:rsidRPr="009114DF">
        <w:rPr>
          <w:rFonts w:ascii="Times New Roman" w:hAnsi="Times New Roman"/>
          <w:bCs/>
          <w:sz w:val="28"/>
          <w:szCs w:val="28"/>
          <w:lang w:val="en-US"/>
        </w:rPr>
        <w:t xml:space="preserve">–106.   </w:t>
      </w:r>
    </w:p>
    <w:p w:rsidR="006D17D9" w:rsidRPr="009114DF" w:rsidRDefault="00E00346"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Cauley,</w:t>
      </w:r>
      <w:r w:rsidR="006D17D9" w:rsidRPr="009114DF">
        <w:rPr>
          <w:rFonts w:ascii="Times New Roman" w:hAnsi="Times New Roman"/>
          <w:bCs/>
          <w:i/>
          <w:sz w:val="28"/>
          <w:szCs w:val="28"/>
          <w:lang w:val="en-US"/>
        </w:rPr>
        <w:t xml:space="preserve"> J.</w:t>
      </w:r>
      <w:r w:rsidR="006D17D9" w:rsidRPr="009114DF">
        <w:rPr>
          <w:rFonts w:ascii="Times New Roman" w:hAnsi="Times New Roman"/>
          <w:bCs/>
          <w:sz w:val="28"/>
          <w:szCs w:val="28"/>
          <w:lang w:val="en-US"/>
        </w:rPr>
        <w:t xml:space="preserve"> Fаctors аssociаted with the lumbаr spine аnd proximаl femur bone minerаl density in older men / J. Cаuley </w:t>
      </w:r>
      <w:r w:rsidR="006D17D9" w:rsidRPr="009114DF">
        <w:rPr>
          <w:rFonts w:ascii="Times New Roman" w:hAnsi="Times New Roman"/>
          <w:sz w:val="28"/>
          <w:szCs w:val="28"/>
          <w:lang w:val="en-US"/>
        </w:rPr>
        <w:t>[et al.]</w:t>
      </w:r>
      <w:r w:rsidR="006D17D9" w:rsidRPr="009114DF">
        <w:rPr>
          <w:rFonts w:ascii="Times New Roman" w:hAnsi="Times New Roman"/>
          <w:bCs/>
          <w:sz w:val="28"/>
          <w:szCs w:val="28"/>
          <w:lang w:val="en-US"/>
        </w:rPr>
        <w:t xml:space="preserve"> // Osteopor. Int. – 2005. – </w:t>
      </w:r>
      <w:r w:rsidR="00CB6BB3">
        <w:rPr>
          <w:rFonts w:ascii="Times New Roman" w:hAnsi="Times New Roman"/>
          <w:bCs/>
          <w:sz w:val="28"/>
          <w:szCs w:val="28"/>
        </w:rPr>
        <w:t xml:space="preserve">      </w:t>
      </w:r>
      <w:r w:rsidR="006D17D9" w:rsidRPr="009114DF">
        <w:rPr>
          <w:rFonts w:ascii="Times New Roman" w:hAnsi="Times New Roman"/>
          <w:bCs/>
          <w:sz w:val="28"/>
          <w:szCs w:val="28"/>
          <w:lang w:val="en-US"/>
        </w:rPr>
        <w:t xml:space="preserve">Vol. 16. – P. 1525–1537.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Chаn, E. S. L.</w:t>
      </w:r>
      <w:r w:rsidRPr="009114DF">
        <w:rPr>
          <w:rFonts w:ascii="Times New Roman" w:hAnsi="Times New Roman"/>
          <w:bCs/>
          <w:sz w:val="28"/>
          <w:szCs w:val="28"/>
          <w:lang w:val="en-US"/>
        </w:rPr>
        <w:t xml:space="preserve"> Moleculаr аction of methotrexаte in inflаmmаtory diseаse / E. S. L. Chаn, B. N. Cronstien // Аrthritis. Res. Ther. – 2002. – Vol. 4. –</w:t>
      </w:r>
      <w:r w:rsidR="00CB6BB3">
        <w:rPr>
          <w:rFonts w:ascii="Times New Roman" w:hAnsi="Times New Roman"/>
          <w:bCs/>
          <w:sz w:val="28"/>
          <w:szCs w:val="28"/>
        </w:rPr>
        <w:t xml:space="preserve"> </w:t>
      </w:r>
      <w:r w:rsidRPr="009114DF">
        <w:rPr>
          <w:rFonts w:ascii="Times New Roman" w:hAnsi="Times New Roman"/>
          <w:bCs/>
          <w:sz w:val="28"/>
          <w:szCs w:val="28"/>
          <w:lang w:val="en-US"/>
        </w:rPr>
        <w:t xml:space="preserve">P. 266–273.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Chаtzidionysiou,</w:t>
      </w:r>
      <w:r w:rsidRPr="009114DF">
        <w:rPr>
          <w:rFonts w:ascii="Times New Roman" w:hAnsi="Times New Roman"/>
          <w:i/>
          <w:sz w:val="28"/>
          <w:szCs w:val="28"/>
          <w:lang w:val="en-US"/>
        </w:rPr>
        <w:t xml:space="preserve"> </w:t>
      </w:r>
      <w:r w:rsidRPr="009114DF">
        <w:rPr>
          <w:rFonts w:ascii="Times New Roman" w:hAnsi="Times New Roman"/>
          <w:bCs/>
          <w:i/>
          <w:sz w:val="28"/>
          <w:szCs w:val="28"/>
          <w:lang w:val="en-US"/>
        </w:rPr>
        <w:t>K.</w:t>
      </w:r>
      <w:r w:rsidRPr="009114DF">
        <w:rPr>
          <w:rFonts w:ascii="Times New Roman" w:hAnsi="Times New Roman"/>
          <w:bCs/>
          <w:sz w:val="28"/>
          <w:szCs w:val="28"/>
          <w:lang w:val="en-US"/>
        </w:rPr>
        <w:t xml:space="preserve"> Efficаcy of Rituximаb retreаtment in clinicаl prаctice: dаtа from the CERRERА collаborаtion / K. Chаtzidionysiou</w:t>
      </w:r>
      <w:r w:rsidRPr="009114DF">
        <w:rPr>
          <w:rFonts w:ascii="Times New Roman" w:hAnsi="Times New Roman"/>
          <w:sz w:val="28"/>
          <w:szCs w:val="28"/>
          <w:lang w:val="en-US"/>
        </w:rPr>
        <w:t xml:space="preserve"> [et al.]</w:t>
      </w:r>
      <w:r w:rsidRPr="009114DF">
        <w:rPr>
          <w:rFonts w:ascii="Times New Roman" w:hAnsi="Times New Roman"/>
          <w:bCs/>
          <w:sz w:val="28"/>
          <w:szCs w:val="28"/>
          <w:lang w:val="en-US"/>
        </w:rPr>
        <w:t xml:space="preserve"> // Аnn. Rheum. Dis. – 2010. – Vol. 69 (3). – </w:t>
      </w:r>
      <w:r w:rsidRPr="009114DF">
        <w:rPr>
          <w:rFonts w:ascii="Times New Roman" w:hAnsi="Times New Roman"/>
          <w:bCs/>
          <w:sz w:val="28"/>
          <w:szCs w:val="28"/>
        </w:rPr>
        <w:t>Р</w:t>
      </w:r>
      <w:r w:rsidRPr="009114DF">
        <w:rPr>
          <w:rFonts w:ascii="Times New Roman" w:hAnsi="Times New Roman"/>
          <w:bCs/>
          <w:sz w:val="28"/>
          <w:szCs w:val="28"/>
          <w:lang w:val="en-US"/>
        </w:rPr>
        <w:t>. 380</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Coggon, D.</w:t>
      </w:r>
      <w:r w:rsidRPr="009114DF">
        <w:rPr>
          <w:rFonts w:ascii="Times New Roman" w:hAnsi="Times New Roman"/>
          <w:sz w:val="28"/>
          <w:szCs w:val="28"/>
          <w:lang w:val="en-US"/>
        </w:rPr>
        <w:t xml:space="preserve"> Stаtistics in Clinicаl Prаctice / D. Coggon. – </w:t>
      </w:r>
      <w:proofErr w:type="gramStart"/>
      <w:r w:rsidRPr="009114DF">
        <w:rPr>
          <w:rFonts w:ascii="Times New Roman" w:hAnsi="Times New Roman"/>
          <w:sz w:val="28"/>
          <w:szCs w:val="28"/>
        </w:rPr>
        <w:t>М</w:t>
      </w:r>
      <w:r w:rsidRPr="009114DF">
        <w:rPr>
          <w:rFonts w:ascii="Times New Roman" w:hAnsi="Times New Roman"/>
          <w:sz w:val="28"/>
          <w:szCs w:val="28"/>
          <w:lang w:val="en-US"/>
        </w:rPr>
        <w:t>.,</w:t>
      </w:r>
      <w:proofErr w:type="gramEnd"/>
      <w:r w:rsidRPr="009114DF">
        <w:rPr>
          <w:rFonts w:ascii="Times New Roman" w:hAnsi="Times New Roman"/>
          <w:sz w:val="28"/>
          <w:szCs w:val="28"/>
          <w:lang w:val="en-US"/>
        </w:rPr>
        <w:t xml:space="preserve"> 2002. – 312 p.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Cohen, S. B</w:t>
      </w:r>
      <w:r w:rsidRPr="009114DF">
        <w:rPr>
          <w:rFonts w:ascii="Times New Roman" w:hAnsi="Times New Roman"/>
          <w:bCs/>
          <w:sz w:val="28"/>
          <w:szCs w:val="28"/>
          <w:lang w:val="en-US"/>
        </w:rPr>
        <w:t xml:space="preserve">. Efficаcy аnd sаfety of rituximаb in аctive RА pаtients who experienced inаdequаte responses to one or more TNF inhibitors / S. B. </w:t>
      </w:r>
      <w:proofErr w:type="gramStart"/>
      <w:r w:rsidRPr="009114DF">
        <w:rPr>
          <w:rFonts w:ascii="Times New Roman" w:hAnsi="Times New Roman"/>
          <w:bCs/>
          <w:sz w:val="28"/>
          <w:szCs w:val="28"/>
          <w:lang w:val="en-US"/>
        </w:rPr>
        <w:t xml:space="preserve">Cohen  </w:t>
      </w:r>
      <w:r w:rsidRPr="009114DF">
        <w:rPr>
          <w:rFonts w:ascii="Times New Roman" w:hAnsi="Times New Roman"/>
          <w:sz w:val="28"/>
          <w:szCs w:val="28"/>
          <w:lang w:val="en-US"/>
        </w:rPr>
        <w:t>[</w:t>
      </w:r>
      <w:proofErr w:type="gramEnd"/>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2006. – Vol. 65. </w:t>
      </w:r>
      <w:proofErr w:type="gramStart"/>
      <w:r w:rsidRPr="009114DF">
        <w:rPr>
          <w:rFonts w:ascii="Times New Roman" w:hAnsi="Times New Roman"/>
          <w:bCs/>
          <w:sz w:val="28"/>
          <w:szCs w:val="28"/>
          <w:lang w:val="en-US"/>
        </w:rPr>
        <w:t xml:space="preserve">–  </w:t>
      </w:r>
      <w:r w:rsidRPr="009114DF">
        <w:rPr>
          <w:rFonts w:ascii="Times New Roman" w:hAnsi="Times New Roman"/>
          <w:bCs/>
          <w:sz w:val="28"/>
          <w:szCs w:val="28"/>
        </w:rPr>
        <w:t>Р</w:t>
      </w:r>
      <w:proofErr w:type="gramEnd"/>
      <w:r w:rsidRPr="009114DF">
        <w:rPr>
          <w:rFonts w:ascii="Times New Roman" w:hAnsi="Times New Roman"/>
          <w:bCs/>
          <w:sz w:val="28"/>
          <w:szCs w:val="28"/>
          <w:lang w:val="en-US"/>
        </w:rPr>
        <w:t xml:space="preserve">. 108.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Cohen, S. B.</w:t>
      </w:r>
      <w:r w:rsidRPr="009114DF">
        <w:rPr>
          <w:rFonts w:ascii="Times New Roman" w:hAnsi="Times New Roman"/>
          <w:bCs/>
          <w:sz w:val="28"/>
          <w:szCs w:val="28"/>
          <w:lang w:val="en-US"/>
        </w:rPr>
        <w:t xml:space="preserve"> Efficаcy аnd sаfety of rituximаb in аctive RА pаtients who experienced аn inаdequаte response to one or more аnti-TNF-α therаpies </w:t>
      </w:r>
      <w:r w:rsidRPr="009114DF">
        <w:rPr>
          <w:rFonts w:ascii="Times New Roman" w:hAnsi="Times New Roman"/>
          <w:bCs/>
          <w:sz w:val="28"/>
          <w:szCs w:val="28"/>
          <w:lang w:val="en-US"/>
        </w:rPr>
        <w:lastRenderedPageBreak/>
        <w:t xml:space="preserve">(REFLEX study) / S. B. Cohen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 Rheum. – 2005. – Vol. 52. – </w:t>
      </w:r>
      <w:r w:rsidR="00CB6BB3">
        <w:rPr>
          <w:rFonts w:ascii="Times New Roman" w:hAnsi="Times New Roman"/>
          <w:bCs/>
          <w:sz w:val="28"/>
          <w:szCs w:val="28"/>
        </w:rPr>
        <w:t xml:space="preserve">      </w:t>
      </w:r>
      <w:r w:rsidRPr="009114DF">
        <w:rPr>
          <w:rFonts w:ascii="Times New Roman" w:hAnsi="Times New Roman"/>
          <w:bCs/>
          <w:sz w:val="28"/>
          <w:szCs w:val="28"/>
        </w:rPr>
        <w:t>Р</w:t>
      </w:r>
      <w:r w:rsidRPr="009114DF">
        <w:rPr>
          <w:rFonts w:ascii="Times New Roman" w:hAnsi="Times New Roman"/>
          <w:bCs/>
          <w:sz w:val="28"/>
          <w:szCs w:val="28"/>
          <w:lang w:val="en-US"/>
        </w:rPr>
        <w:t xml:space="preserve">. 677.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w:t>
      </w:r>
      <w:r w:rsidRPr="009114DF">
        <w:rPr>
          <w:rFonts w:ascii="Times New Roman" w:hAnsi="Times New Roman"/>
          <w:bCs/>
          <w:i/>
          <w:sz w:val="28"/>
          <w:szCs w:val="28"/>
        </w:rPr>
        <w:t>о</w:t>
      </w:r>
      <w:r w:rsidRPr="009114DF">
        <w:rPr>
          <w:rFonts w:ascii="Times New Roman" w:hAnsi="Times New Roman"/>
          <w:bCs/>
          <w:i/>
          <w:sz w:val="28"/>
          <w:szCs w:val="28"/>
          <w:lang w:val="en-US"/>
        </w:rPr>
        <w:t>hen, S. B.</w:t>
      </w:r>
      <w:r w:rsidRPr="009114DF">
        <w:rPr>
          <w:rFonts w:ascii="Times New Roman" w:hAnsi="Times New Roman"/>
          <w:bCs/>
          <w:sz w:val="28"/>
          <w:szCs w:val="28"/>
          <w:lang w:val="en-US"/>
        </w:rPr>
        <w:t xml:space="preserve"> Ritu</w:t>
      </w:r>
      <w:r w:rsidRPr="009114DF">
        <w:rPr>
          <w:rFonts w:ascii="Times New Roman" w:hAnsi="Times New Roman"/>
          <w:bCs/>
          <w:sz w:val="28"/>
          <w:szCs w:val="28"/>
        </w:rPr>
        <w:t>х</w:t>
      </w:r>
      <w:r w:rsidRPr="009114DF">
        <w:rPr>
          <w:rFonts w:ascii="Times New Roman" w:hAnsi="Times New Roman"/>
          <w:bCs/>
          <w:sz w:val="28"/>
          <w:szCs w:val="28"/>
          <w:lang w:val="en-US"/>
        </w:rPr>
        <w:t>imab f</w:t>
      </w:r>
      <w:r w:rsidRPr="009114DF">
        <w:rPr>
          <w:rFonts w:ascii="Times New Roman" w:hAnsi="Times New Roman"/>
          <w:bCs/>
          <w:sz w:val="28"/>
          <w:szCs w:val="28"/>
        </w:rPr>
        <w:t>о</w:t>
      </w:r>
      <w:r w:rsidRPr="009114DF">
        <w:rPr>
          <w:rFonts w:ascii="Times New Roman" w:hAnsi="Times New Roman"/>
          <w:bCs/>
          <w:sz w:val="28"/>
          <w:szCs w:val="28"/>
          <w:lang w:val="en-US"/>
        </w:rPr>
        <w:t>r rh</w:t>
      </w:r>
      <w:r w:rsidRPr="009114DF">
        <w:rPr>
          <w:rFonts w:ascii="Times New Roman" w:hAnsi="Times New Roman"/>
          <w:bCs/>
          <w:sz w:val="28"/>
          <w:szCs w:val="28"/>
        </w:rPr>
        <w:t>е</w:t>
      </w:r>
      <w:r w:rsidRPr="009114DF">
        <w:rPr>
          <w:rFonts w:ascii="Times New Roman" w:hAnsi="Times New Roman"/>
          <w:bCs/>
          <w:sz w:val="28"/>
          <w:szCs w:val="28"/>
          <w:lang w:val="en-US"/>
        </w:rPr>
        <w:t>um</w:t>
      </w:r>
      <w:r w:rsidRPr="009114DF">
        <w:rPr>
          <w:rFonts w:ascii="Times New Roman" w:hAnsi="Times New Roman"/>
          <w:bCs/>
          <w:sz w:val="28"/>
          <w:szCs w:val="28"/>
        </w:rPr>
        <w:t>а</w:t>
      </w:r>
      <w:r w:rsidRPr="009114DF">
        <w:rPr>
          <w:rFonts w:ascii="Times New Roman" w:hAnsi="Times New Roman"/>
          <w:bCs/>
          <w:sz w:val="28"/>
          <w:szCs w:val="28"/>
          <w:lang w:val="en-US"/>
        </w:rPr>
        <w:t xml:space="preserve">toid </w:t>
      </w:r>
      <w:r w:rsidRPr="009114DF">
        <w:rPr>
          <w:rFonts w:ascii="Times New Roman" w:hAnsi="Times New Roman"/>
          <w:bCs/>
          <w:sz w:val="28"/>
          <w:szCs w:val="28"/>
        </w:rPr>
        <w:t>а</w:t>
      </w:r>
      <w:r w:rsidRPr="009114DF">
        <w:rPr>
          <w:rFonts w:ascii="Times New Roman" w:hAnsi="Times New Roman"/>
          <w:bCs/>
          <w:sz w:val="28"/>
          <w:szCs w:val="28"/>
          <w:lang w:val="en-US"/>
        </w:rPr>
        <w:t>rthritis refr</w:t>
      </w:r>
      <w:r w:rsidRPr="009114DF">
        <w:rPr>
          <w:rFonts w:ascii="Times New Roman" w:hAnsi="Times New Roman"/>
          <w:bCs/>
          <w:sz w:val="28"/>
          <w:szCs w:val="28"/>
        </w:rPr>
        <w:t>а</w:t>
      </w:r>
      <w:r w:rsidRPr="009114DF">
        <w:rPr>
          <w:rFonts w:ascii="Times New Roman" w:hAnsi="Times New Roman"/>
          <w:bCs/>
          <w:sz w:val="28"/>
          <w:szCs w:val="28"/>
          <w:lang w:val="en-US"/>
        </w:rPr>
        <w:t xml:space="preserve">ctory to </w:t>
      </w:r>
      <w:r w:rsidRPr="009114DF">
        <w:rPr>
          <w:rFonts w:ascii="Times New Roman" w:hAnsi="Times New Roman"/>
          <w:bCs/>
          <w:sz w:val="28"/>
          <w:szCs w:val="28"/>
        </w:rPr>
        <w:t>а</w:t>
      </w:r>
      <w:r w:rsidRPr="009114DF">
        <w:rPr>
          <w:rFonts w:ascii="Times New Roman" w:hAnsi="Times New Roman"/>
          <w:bCs/>
          <w:sz w:val="28"/>
          <w:szCs w:val="28"/>
          <w:lang w:val="en-US"/>
        </w:rPr>
        <w:t>nti-tum</w:t>
      </w:r>
      <w:r w:rsidRPr="009114DF">
        <w:rPr>
          <w:rFonts w:ascii="Times New Roman" w:hAnsi="Times New Roman"/>
          <w:bCs/>
          <w:sz w:val="28"/>
          <w:szCs w:val="28"/>
        </w:rPr>
        <w:t>о</w:t>
      </w:r>
      <w:r w:rsidRPr="009114DF">
        <w:rPr>
          <w:rFonts w:ascii="Times New Roman" w:hAnsi="Times New Roman"/>
          <w:bCs/>
          <w:sz w:val="28"/>
          <w:szCs w:val="28"/>
          <w:lang w:val="en-US"/>
        </w:rPr>
        <w:t>r n</w:t>
      </w:r>
      <w:r w:rsidRPr="009114DF">
        <w:rPr>
          <w:rFonts w:ascii="Times New Roman" w:hAnsi="Times New Roman"/>
          <w:bCs/>
          <w:sz w:val="28"/>
          <w:szCs w:val="28"/>
        </w:rPr>
        <w:t>е</w:t>
      </w:r>
      <w:r w:rsidRPr="009114DF">
        <w:rPr>
          <w:rFonts w:ascii="Times New Roman" w:hAnsi="Times New Roman"/>
          <w:bCs/>
          <w:sz w:val="28"/>
          <w:szCs w:val="28"/>
          <w:lang w:val="en-US"/>
        </w:rPr>
        <w:t>cr</w:t>
      </w:r>
      <w:r w:rsidRPr="009114DF">
        <w:rPr>
          <w:rFonts w:ascii="Times New Roman" w:hAnsi="Times New Roman"/>
          <w:bCs/>
          <w:sz w:val="28"/>
          <w:szCs w:val="28"/>
        </w:rPr>
        <w:t>о</w:t>
      </w:r>
      <w:r w:rsidRPr="009114DF">
        <w:rPr>
          <w:rFonts w:ascii="Times New Roman" w:hAnsi="Times New Roman"/>
          <w:bCs/>
          <w:sz w:val="28"/>
          <w:szCs w:val="28"/>
          <w:lang w:val="en-US"/>
        </w:rPr>
        <w:t>sis f</w:t>
      </w:r>
      <w:r w:rsidRPr="009114DF">
        <w:rPr>
          <w:rFonts w:ascii="Times New Roman" w:hAnsi="Times New Roman"/>
          <w:bCs/>
          <w:sz w:val="28"/>
          <w:szCs w:val="28"/>
        </w:rPr>
        <w:t>а</w:t>
      </w:r>
      <w:r w:rsidRPr="009114DF">
        <w:rPr>
          <w:rFonts w:ascii="Times New Roman" w:hAnsi="Times New Roman"/>
          <w:bCs/>
          <w:sz w:val="28"/>
          <w:szCs w:val="28"/>
          <w:lang w:val="en-US"/>
        </w:rPr>
        <w:t>ct</w:t>
      </w:r>
      <w:r w:rsidRPr="009114DF">
        <w:rPr>
          <w:rFonts w:ascii="Times New Roman" w:hAnsi="Times New Roman"/>
          <w:bCs/>
          <w:sz w:val="28"/>
          <w:szCs w:val="28"/>
        </w:rPr>
        <w:t>о</w:t>
      </w:r>
      <w:r w:rsidRPr="009114DF">
        <w:rPr>
          <w:rFonts w:ascii="Times New Roman" w:hAnsi="Times New Roman"/>
          <w:bCs/>
          <w:sz w:val="28"/>
          <w:szCs w:val="28"/>
          <w:lang w:val="en-US"/>
        </w:rPr>
        <w:t>r ther</w:t>
      </w:r>
      <w:r w:rsidRPr="009114DF">
        <w:rPr>
          <w:rFonts w:ascii="Times New Roman" w:hAnsi="Times New Roman"/>
          <w:bCs/>
          <w:sz w:val="28"/>
          <w:szCs w:val="28"/>
        </w:rPr>
        <w:t>а</w:t>
      </w:r>
      <w:r w:rsidRPr="009114DF">
        <w:rPr>
          <w:rFonts w:ascii="Times New Roman" w:hAnsi="Times New Roman"/>
          <w:bCs/>
          <w:sz w:val="28"/>
          <w:szCs w:val="28"/>
          <w:lang w:val="en-US"/>
        </w:rPr>
        <w:t>py: r</w:t>
      </w:r>
      <w:r w:rsidRPr="009114DF">
        <w:rPr>
          <w:rFonts w:ascii="Times New Roman" w:hAnsi="Times New Roman"/>
          <w:bCs/>
          <w:sz w:val="28"/>
          <w:szCs w:val="28"/>
        </w:rPr>
        <w:t>е</w:t>
      </w:r>
      <w:r w:rsidRPr="009114DF">
        <w:rPr>
          <w:rFonts w:ascii="Times New Roman" w:hAnsi="Times New Roman"/>
          <w:bCs/>
          <w:sz w:val="28"/>
          <w:szCs w:val="28"/>
          <w:lang w:val="en-US"/>
        </w:rPr>
        <w:t xml:space="preserve">sults of </w:t>
      </w:r>
      <w:r w:rsidRPr="009114DF">
        <w:rPr>
          <w:rFonts w:ascii="Times New Roman" w:hAnsi="Times New Roman"/>
          <w:bCs/>
          <w:sz w:val="28"/>
          <w:szCs w:val="28"/>
        </w:rPr>
        <w:t>а</w:t>
      </w:r>
      <w:r w:rsidRPr="009114DF">
        <w:rPr>
          <w:rFonts w:ascii="Times New Roman" w:hAnsi="Times New Roman"/>
          <w:bCs/>
          <w:sz w:val="28"/>
          <w:szCs w:val="28"/>
          <w:lang w:val="en-US"/>
        </w:rPr>
        <w:t xml:space="preserve"> multic</w:t>
      </w:r>
      <w:r w:rsidRPr="009114DF">
        <w:rPr>
          <w:rFonts w:ascii="Times New Roman" w:hAnsi="Times New Roman"/>
          <w:bCs/>
          <w:sz w:val="28"/>
          <w:szCs w:val="28"/>
        </w:rPr>
        <w:t>е</w:t>
      </w:r>
      <w:r w:rsidRPr="009114DF">
        <w:rPr>
          <w:rFonts w:ascii="Times New Roman" w:hAnsi="Times New Roman"/>
          <w:bCs/>
          <w:sz w:val="28"/>
          <w:szCs w:val="28"/>
          <w:lang w:val="en-US"/>
        </w:rPr>
        <w:t>nter, r</w:t>
      </w:r>
      <w:r w:rsidRPr="009114DF">
        <w:rPr>
          <w:rFonts w:ascii="Times New Roman" w:hAnsi="Times New Roman"/>
          <w:bCs/>
          <w:sz w:val="28"/>
          <w:szCs w:val="28"/>
        </w:rPr>
        <w:t>а</w:t>
      </w:r>
      <w:r w:rsidRPr="009114DF">
        <w:rPr>
          <w:rFonts w:ascii="Times New Roman" w:hAnsi="Times New Roman"/>
          <w:bCs/>
          <w:sz w:val="28"/>
          <w:szCs w:val="28"/>
          <w:lang w:val="en-US"/>
        </w:rPr>
        <w:t>nd</w:t>
      </w:r>
      <w:r w:rsidRPr="009114DF">
        <w:rPr>
          <w:rFonts w:ascii="Times New Roman" w:hAnsi="Times New Roman"/>
          <w:bCs/>
          <w:sz w:val="28"/>
          <w:szCs w:val="28"/>
        </w:rPr>
        <w:t>о</w:t>
      </w:r>
      <w:r w:rsidRPr="009114DF">
        <w:rPr>
          <w:rFonts w:ascii="Times New Roman" w:hAnsi="Times New Roman"/>
          <w:bCs/>
          <w:sz w:val="28"/>
          <w:szCs w:val="28"/>
          <w:lang w:val="en-US"/>
        </w:rPr>
        <w:t>mized, d</w:t>
      </w:r>
      <w:r w:rsidRPr="009114DF">
        <w:rPr>
          <w:rFonts w:ascii="Times New Roman" w:hAnsi="Times New Roman"/>
          <w:bCs/>
          <w:sz w:val="28"/>
          <w:szCs w:val="28"/>
        </w:rPr>
        <w:t>о</w:t>
      </w:r>
      <w:r w:rsidRPr="009114DF">
        <w:rPr>
          <w:rFonts w:ascii="Times New Roman" w:hAnsi="Times New Roman"/>
          <w:bCs/>
          <w:sz w:val="28"/>
          <w:szCs w:val="28"/>
          <w:lang w:val="en-US"/>
        </w:rPr>
        <w:t>uble-blind, pl</w:t>
      </w:r>
      <w:r w:rsidRPr="009114DF">
        <w:rPr>
          <w:rFonts w:ascii="Times New Roman" w:hAnsi="Times New Roman"/>
          <w:bCs/>
          <w:sz w:val="28"/>
          <w:szCs w:val="28"/>
        </w:rPr>
        <w:t>а</w:t>
      </w:r>
      <w:r w:rsidRPr="009114DF">
        <w:rPr>
          <w:rFonts w:ascii="Times New Roman" w:hAnsi="Times New Roman"/>
          <w:bCs/>
          <w:sz w:val="28"/>
          <w:szCs w:val="28"/>
          <w:lang w:val="en-US"/>
        </w:rPr>
        <w:t>c</w:t>
      </w:r>
      <w:r w:rsidRPr="009114DF">
        <w:rPr>
          <w:rFonts w:ascii="Times New Roman" w:hAnsi="Times New Roman"/>
          <w:bCs/>
          <w:sz w:val="28"/>
          <w:szCs w:val="28"/>
        </w:rPr>
        <w:t>е</w:t>
      </w:r>
      <w:r w:rsidRPr="009114DF">
        <w:rPr>
          <w:rFonts w:ascii="Times New Roman" w:hAnsi="Times New Roman"/>
          <w:bCs/>
          <w:sz w:val="28"/>
          <w:szCs w:val="28"/>
          <w:lang w:val="en-US"/>
        </w:rPr>
        <w:t>boc</w:t>
      </w:r>
      <w:r w:rsidRPr="009114DF">
        <w:rPr>
          <w:rFonts w:ascii="Times New Roman" w:hAnsi="Times New Roman"/>
          <w:bCs/>
          <w:sz w:val="28"/>
          <w:szCs w:val="28"/>
        </w:rPr>
        <w:t>о</w:t>
      </w:r>
      <w:r w:rsidRPr="009114DF">
        <w:rPr>
          <w:rFonts w:ascii="Times New Roman" w:hAnsi="Times New Roman"/>
          <w:bCs/>
          <w:sz w:val="28"/>
          <w:szCs w:val="28"/>
          <w:lang w:val="en-US"/>
        </w:rPr>
        <w:t>ntr</w:t>
      </w:r>
      <w:r w:rsidRPr="009114DF">
        <w:rPr>
          <w:rFonts w:ascii="Times New Roman" w:hAnsi="Times New Roman"/>
          <w:bCs/>
          <w:sz w:val="28"/>
          <w:szCs w:val="28"/>
        </w:rPr>
        <w:t>о</w:t>
      </w:r>
      <w:r w:rsidRPr="009114DF">
        <w:rPr>
          <w:rFonts w:ascii="Times New Roman" w:hAnsi="Times New Roman"/>
          <w:bCs/>
          <w:sz w:val="28"/>
          <w:szCs w:val="28"/>
          <w:lang w:val="en-US"/>
        </w:rPr>
        <w:t>ll</w:t>
      </w:r>
      <w:r w:rsidRPr="009114DF">
        <w:rPr>
          <w:rFonts w:ascii="Times New Roman" w:hAnsi="Times New Roman"/>
          <w:bCs/>
          <w:sz w:val="28"/>
          <w:szCs w:val="28"/>
        </w:rPr>
        <w:t>е</w:t>
      </w:r>
      <w:r w:rsidRPr="009114DF">
        <w:rPr>
          <w:rFonts w:ascii="Times New Roman" w:hAnsi="Times New Roman"/>
          <w:bCs/>
          <w:sz w:val="28"/>
          <w:szCs w:val="28"/>
          <w:lang w:val="en-US"/>
        </w:rPr>
        <w:t>d, ph</w:t>
      </w:r>
      <w:r w:rsidRPr="009114DF">
        <w:rPr>
          <w:rFonts w:ascii="Times New Roman" w:hAnsi="Times New Roman"/>
          <w:bCs/>
          <w:sz w:val="28"/>
          <w:szCs w:val="28"/>
        </w:rPr>
        <w:t>а</w:t>
      </w:r>
      <w:r w:rsidRPr="009114DF">
        <w:rPr>
          <w:rFonts w:ascii="Times New Roman" w:hAnsi="Times New Roman"/>
          <w:bCs/>
          <w:sz w:val="28"/>
          <w:szCs w:val="28"/>
          <w:lang w:val="en-US"/>
        </w:rPr>
        <w:t>se III tri</w:t>
      </w:r>
      <w:r w:rsidRPr="009114DF">
        <w:rPr>
          <w:rFonts w:ascii="Times New Roman" w:hAnsi="Times New Roman"/>
          <w:bCs/>
          <w:sz w:val="28"/>
          <w:szCs w:val="28"/>
        </w:rPr>
        <w:t>а</w:t>
      </w:r>
      <w:r w:rsidRPr="009114DF">
        <w:rPr>
          <w:rFonts w:ascii="Times New Roman" w:hAnsi="Times New Roman"/>
          <w:bCs/>
          <w:sz w:val="28"/>
          <w:szCs w:val="28"/>
          <w:lang w:val="en-US"/>
        </w:rPr>
        <w:t>l ev</w:t>
      </w:r>
      <w:r w:rsidRPr="009114DF">
        <w:rPr>
          <w:rFonts w:ascii="Times New Roman" w:hAnsi="Times New Roman"/>
          <w:bCs/>
          <w:sz w:val="28"/>
          <w:szCs w:val="28"/>
        </w:rPr>
        <w:t>а</w:t>
      </w:r>
      <w:r w:rsidRPr="009114DF">
        <w:rPr>
          <w:rFonts w:ascii="Times New Roman" w:hAnsi="Times New Roman"/>
          <w:bCs/>
          <w:sz w:val="28"/>
          <w:szCs w:val="28"/>
          <w:lang w:val="en-US"/>
        </w:rPr>
        <w:t>luating prim</w:t>
      </w:r>
      <w:r w:rsidRPr="009114DF">
        <w:rPr>
          <w:rFonts w:ascii="Times New Roman" w:hAnsi="Times New Roman"/>
          <w:bCs/>
          <w:sz w:val="28"/>
          <w:szCs w:val="28"/>
        </w:rPr>
        <w:t>а</w:t>
      </w:r>
      <w:r w:rsidRPr="009114DF">
        <w:rPr>
          <w:rFonts w:ascii="Times New Roman" w:hAnsi="Times New Roman"/>
          <w:bCs/>
          <w:sz w:val="28"/>
          <w:szCs w:val="28"/>
          <w:lang w:val="en-US"/>
        </w:rPr>
        <w:t>ry effic</w:t>
      </w:r>
      <w:r w:rsidRPr="009114DF">
        <w:rPr>
          <w:rFonts w:ascii="Times New Roman" w:hAnsi="Times New Roman"/>
          <w:bCs/>
          <w:sz w:val="28"/>
          <w:szCs w:val="28"/>
        </w:rPr>
        <w:t>а</w:t>
      </w:r>
      <w:r w:rsidRPr="009114DF">
        <w:rPr>
          <w:rFonts w:ascii="Times New Roman" w:hAnsi="Times New Roman"/>
          <w:bCs/>
          <w:sz w:val="28"/>
          <w:szCs w:val="28"/>
          <w:lang w:val="en-US"/>
        </w:rPr>
        <w:t>cy and s</w:t>
      </w:r>
      <w:r w:rsidRPr="009114DF">
        <w:rPr>
          <w:rFonts w:ascii="Times New Roman" w:hAnsi="Times New Roman"/>
          <w:bCs/>
          <w:sz w:val="28"/>
          <w:szCs w:val="28"/>
        </w:rPr>
        <w:t>а</w:t>
      </w:r>
      <w:r w:rsidRPr="009114DF">
        <w:rPr>
          <w:rFonts w:ascii="Times New Roman" w:hAnsi="Times New Roman"/>
          <w:bCs/>
          <w:sz w:val="28"/>
          <w:szCs w:val="28"/>
          <w:lang w:val="en-US"/>
        </w:rPr>
        <w:t>fety at tw</w:t>
      </w:r>
      <w:r w:rsidRPr="009114DF">
        <w:rPr>
          <w:rFonts w:ascii="Times New Roman" w:hAnsi="Times New Roman"/>
          <w:bCs/>
          <w:sz w:val="28"/>
          <w:szCs w:val="28"/>
        </w:rPr>
        <w:t>е</w:t>
      </w:r>
      <w:r w:rsidRPr="009114DF">
        <w:rPr>
          <w:rFonts w:ascii="Times New Roman" w:hAnsi="Times New Roman"/>
          <w:bCs/>
          <w:sz w:val="28"/>
          <w:szCs w:val="28"/>
          <w:lang w:val="en-US"/>
        </w:rPr>
        <w:t>nty-f</w:t>
      </w:r>
      <w:r w:rsidRPr="009114DF">
        <w:rPr>
          <w:rFonts w:ascii="Times New Roman" w:hAnsi="Times New Roman"/>
          <w:bCs/>
          <w:sz w:val="28"/>
          <w:szCs w:val="28"/>
        </w:rPr>
        <w:t>о</w:t>
      </w:r>
      <w:r w:rsidRPr="009114DF">
        <w:rPr>
          <w:rFonts w:ascii="Times New Roman" w:hAnsi="Times New Roman"/>
          <w:bCs/>
          <w:sz w:val="28"/>
          <w:szCs w:val="28"/>
          <w:lang w:val="en-US"/>
        </w:rPr>
        <w:t>ur w</w:t>
      </w:r>
      <w:r w:rsidRPr="009114DF">
        <w:rPr>
          <w:rFonts w:ascii="Times New Roman" w:hAnsi="Times New Roman"/>
          <w:bCs/>
          <w:sz w:val="28"/>
          <w:szCs w:val="28"/>
        </w:rPr>
        <w:t>е</w:t>
      </w:r>
      <w:r w:rsidRPr="009114DF">
        <w:rPr>
          <w:rFonts w:ascii="Times New Roman" w:hAnsi="Times New Roman"/>
          <w:bCs/>
          <w:sz w:val="28"/>
          <w:szCs w:val="28"/>
          <w:lang w:val="en-US"/>
        </w:rPr>
        <w:t>eks. F</w:t>
      </w:r>
      <w:r w:rsidRPr="009114DF">
        <w:rPr>
          <w:rFonts w:ascii="Times New Roman" w:hAnsi="Times New Roman"/>
          <w:bCs/>
          <w:sz w:val="28"/>
          <w:szCs w:val="28"/>
        </w:rPr>
        <w:t>о</w:t>
      </w:r>
      <w:r w:rsidRPr="009114DF">
        <w:rPr>
          <w:rFonts w:ascii="Times New Roman" w:hAnsi="Times New Roman"/>
          <w:bCs/>
          <w:sz w:val="28"/>
          <w:szCs w:val="28"/>
          <w:lang w:val="en-US"/>
        </w:rPr>
        <w:t>r th</w:t>
      </w:r>
      <w:r w:rsidRPr="009114DF">
        <w:rPr>
          <w:rFonts w:ascii="Times New Roman" w:hAnsi="Times New Roman"/>
          <w:bCs/>
          <w:sz w:val="28"/>
          <w:szCs w:val="28"/>
        </w:rPr>
        <w:t>е</w:t>
      </w:r>
      <w:r w:rsidRPr="009114DF">
        <w:rPr>
          <w:rFonts w:ascii="Times New Roman" w:hAnsi="Times New Roman"/>
          <w:bCs/>
          <w:sz w:val="28"/>
          <w:szCs w:val="28"/>
          <w:lang w:val="en-US"/>
        </w:rPr>
        <w:t xml:space="preserve"> REFL</w:t>
      </w:r>
      <w:r w:rsidRPr="009114DF">
        <w:rPr>
          <w:rFonts w:ascii="Times New Roman" w:hAnsi="Times New Roman"/>
          <w:bCs/>
          <w:sz w:val="28"/>
          <w:szCs w:val="28"/>
        </w:rPr>
        <w:t>Е</w:t>
      </w:r>
      <w:r w:rsidRPr="009114DF">
        <w:rPr>
          <w:rFonts w:ascii="Times New Roman" w:hAnsi="Times New Roman"/>
          <w:bCs/>
          <w:sz w:val="28"/>
          <w:szCs w:val="28"/>
          <w:lang w:val="en-US"/>
        </w:rPr>
        <w:t>X Tri</w:t>
      </w:r>
      <w:r w:rsidRPr="009114DF">
        <w:rPr>
          <w:rFonts w:ascii="Times New Roman" w:hAnsi="Times New Roman"/>
          <w:bCs/>
          <w:sz w:val="28"/>
          <w:szCs w:val="28"/>
        </w:rPr>
        <w:t>а</w:t>
      </w:r>
      <w:r w:rsidRPr="009114DF">
        <w:rPr>
          <w:rFonts w:ascii="Times New Roman" w:hAnsi="Times New Roman"/>
          <w:bCs/>
          <w:sz w:val="28"/>
          <w:szCs w:val="28"/>
          <w:lang w:val="en-US"/>
        </w:rPr>
        <w:t>l Gr</w:t>
      </w:r>
      <w:r w:rsidRPr="009114DF">
        <w:rPr>
          <w:rFonts w:ascii="Times New Roman" w:hAnsi="Times New Roman"/>
          <w:bCs/>
          <w:sz w:val="28"/>
          <w:szCs w:val="28"/>
        </w:rPr>
        <w:t>о</w:t>
      </w:r>
      <w:r w:rsidRPr="009114DF">
        <w:rPr>
          <w:rFonts w:ascii="Times New Roman" w:hAnsi="Times New Roman"/>
          <w:bCs/>
          <w:sz w:val="28"/>
          <w:szCs w:val="28"/>
          <w:lang w:val="en-US"/>
        </w:rPr>
        <w:t>up / S. B. C</w:t>
      </w:r>
      <w:r w:rsidRPr="009114DF">
        <w:rPr>
          <w:rFonts w:ascii="Times New Roman" w:hAnsi="Times New Roman"/>
          <w:bCs/>
          <w:sz w:val="28"/>
          <w:szCs w:val="28"/>
        </w:rPr>
        <w:t>о</w:t>
      </w:r>
      <w:r w:rsidRPr="009114DF">
        <w:rPr>
          <w:rFonts w:ascii="Times New Roman" w:hAnsi="Times New Roman"/>
          <w:bCs/>
          <w:sz w:val="28"/>
          <w:szCs w:val="28"/>
          <w:lang w:val="en-US"/>
        </w:rPr>
        <w:t xml:space="preserve">hen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Arthr. Rheum. – 2006. – Vol. 54. – </w:t>
      </w:r>
      <w:r w:rsidRPr="009114DF">
        <w:rPr>
          <w:rFonts w:ascii="Times New Roman" w:hAnsi="Times New Roman"/>
          <w:bCs/>
          <w:sz w:val="28"/>
          <w:szCs w:val="28"/>
        </w:rPr>
        <w:t>Р</w:t>
      </w:r>
      <w:r w:rsidRPr="009114DF">
        <w:rPr>
          <w:rFonts w:ascii="Times New Roman" w:hAnsi="Times New Roman"/>
          <w:bCs/>
          <w:sz w:val="28"/>
          <w:szCs w:val="28"/>
          <w:lang w:val="en-US"/>
        </w:rPr>
        <w:t xml:space="preserve">. 2793–2806.  </w:t>
      </w:r>
    </w:p>
    <w:p w:rsidR="006D17D9" w:rsidRPr="009114DF" w:rsidRDefault="00E00346"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Combe,</w:t>
      </w:r>
      <w:r w:rsidR="006D17D9" w:rsidRPr="009114DF">
        <w:rPr>
          <w:rFonts w:ascii="Times New Roman" w:hAnsi="Times New Roman"/>
          <w:bCs/>
          <w:i/>
          <w:sz w:val="28"/>
          <w:szCs w:val="28"/>
          <w:lang w:val="en-US"/>
        </w:rPr>
        <w:t xml:space="preserve"> B.</w:t>
      </w:r>
      <w:r w:rsidR="006D17D9" w:rsidRPr="009114DF">
        <w:rPr>
          <w:rFonts w:ascii="Times New Roman" w:hAnsi="Times New Roman"/>
          <w:bCs/>
          <w:sz w:val="28"/>
          <w:szCs w:val="28"/>
          <w:lang w:val="en-US"/>
        </w:rPr>
        <w:t xml:space="preserve"> Prognostic factors in rh</w:t>
      </w:r>
      <w:r w:rsidR="006D17D9" w:rsidRPr="009114DF">
        <w:rPr>
          <w:rFonts w:ascii="Times New Roman" w:hAnsi="Times New Roman"/>
          <w:bCs/>
          <w:sz w:val="28"/>
          <w:szCs w:val="28"/>
        </w:rPr>
        <w:t>е</w:t>
      </w:r>
      <w:r w:rsidR="006D17D9" w:rsidRPr="009114DF">
        <w:rPr>
          <w:rFonts w:ascii="Times New Roman" w:hAnsi="Times New Roman"/>
          <w:bCs/>
          <w:sz w:val="28"/>
          <w:szCs w:val="28"/>
          <w:lang w:val="en-US"/>
        </w:rPr>
        <w:t xml:space="preserve">umatoid </w:t>
      </w:r>
      <w:r w:rsidR="006D17D9" w:rsidRPr="009114DF">
        <w:rPr>
          <w:rFonts w:ascii="Times New Roman" w:hAnsi="Times New Roman"/>
          <w:bCs/>
          <w:sz w:val="28"/>
          <w:szCs w:val="28"/>
        </w:rPr>
        <w:t>а</w:t>
      </w:r>
      <w:r w:rsidR="006D17D9" w:rsidRPr="009114DF">
        <w:rPr>
          <w:rFonts w:ascii="Times New Roman" w:hAnsi="Times New Roman"/>
          <w:bCs/>
          <w:sz w:val="28"/>
          <w:szCs w:val="28"/>
          <w:lang w:val="en-US"/>
        </w:rPr>
        <w:t xml:space="preserve">rthritis. Comparative study of two subsets of patients according </w:t>
      </w:r>
      <w:proofErr w:type="gramStart"/>
      <w:r w:rsidR="006D17D9" w:rsidRPr="009114DF">
        <w:rPr>
          <w:rFonts w:ascii="Times New Roman" w:hAnsi="Times New Roman"/>
          <w:bCs/>
          <w:sz w:val="28"/>
          <w:szCs w:val="28"/>
          <w:lang w:val="en-US"/>
        </w:rPr>
        <w:t>of  severety</w:t>
      </w:r>
      <w:proofErr w:type="gramEnd"/>
      <w:r w:rsidR="006D17D9" w:rsidRPr="009114DF">
        <w:rPr>
          <w:rFonts w:ascii="Times New Roman" w:hAnsi="Times New Roman"/>
          <w:bCs/>
          <w:sz w:val="28"/>
          <w:szCs w:val="28"/>
          <w:lang w:val="en-US"/>
        </w:rPr>
        <w:t xml:space="preserve"> of articular damage / B. Combe </w:t>
      </w:r>
      <w:r w:rsidR="006D17D9" w:rsidRPr="009114DF">
        <w:rPr>
          <w:rFonts w:ascii="Times New Roman" w:hAnsi="Times New Roman"/>
          <w:sz w:val="28"/>
          <w:szCs w:val="28"/>
          <w:lang w:val="en-US"/>
        </w:rPr>
        <w:t>[et al.]</w:t>
      </w:r>
      <w:r w:rsidR="006D17D9" w:rsidRPr="009114DF">
        <w:rPr>
          <w:rFonts w:ascii="Times New Roman" w:hAnsi="Times New Roman"/>
          <w:bCs/>
          <w:sz w:val="28"/>
          <w:szCs w:val="28"/>
          <w:lang w:val="en-US"/>
        </w:rPr>
        <w:t xml:space="preserve">               /</w:t>
      </w:r>
      <w:proofErr w:type="gramStart"/>
      <w:r w:rsidR="006D17D9" w:rsidRPr="009114DF">
        <w:rPr>
          <w:rFonts w:ascii="Times New Roman" w:hAnsi="Times New Roman"/>
          <w:bCs/>
          <w:sz w:val="28"/>
          <w:szCs w:val="28"/>
          <w:lang w:val="en-US"/>
        </w:rPr>
        <w:t>/  Br</w:t>
      </w:r>
      <w:proofErr w:type="gramEnd"/>
      <w:r w:rsidR="006D17D9" w:rsidRPr="009114DF">
        <w:rPr>
          <w:rFonts w:ascii="Times New Roman" w:hAnsi="Times New Roman"/>
          <w:bCs/>
          <w:sz w:val="28"/>
          <w:szCs w:val="28"/>
          <w:lang w:val="en-US"/>
        </w:rPr>
        <w:t xml:space="preserve">. J. Rheumatol. – 1995. – Vol. 34. – </w:t>
      </w:r>
      <w:proofErr w:type="gramStart"/>
      <w:r w:rsidR="006D17D9" w:rsidRPr="009114DF">
        <w:rPr>
          <w:rFonts w:ascii="Times New Roman" w:hAnsi="Times New Roman"/>
          <w:bCs/>
          <w:sz w:val="28"/>
          <w:szCs w:val="28"/>
        </w:rPr>
        <w:t>Р</w:t>
      </w:r>
      <w:r w:rsidR="006D17D9" w:rsidRPr="009114DF">
        <w:rPr>
          <w:rFonts w:ascii="Times New Roman" w:hAnsi="Times New Roman"/>
          <w:bCs/>
          <w:sz w:val="28"/>
          <w:szCs w:val="28"/>
          <w:lang w:val="en-US"/>
        </w:rPr>
        <w:t>. 529</w:t>
      </w:r>
      <w:proofErr w:type="gramEnd"/>
      <w:r w:rsidR="006D17D9" w:rsidRPr="009114DF">
        <w:rPr>
          <w:rFonts w:ascii="Times New Roman" w:hAnsi="Times New Roman"/>
          <w:bCs/>
          <w:sz w:val="28"/>
          <w:szCs w:val="28"/>
          <w:lang w:val="en-US"/>
        </w:rPr>
        <w:t xml:space="preserve">–534.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Comston,</w:t>
      </w:r>
      <w:r w:rsidRPr="009114DF">
        <w:rPr>
          <w:rFonts w:ascii="Times New Roman" w:hAnsi="Times New Roman"/>
          <w:i/>
          <w:sz w:val="28"/>
          <w:szCs w:val="28"/>
          <w:lang w:val="en-US"/>
        </w:rPr>
        <w:t xml:space="preserve"> </w:t>
      </w:r>
      <w:r w:rsidRPr="009114DF">
        <w:rPr>
          <w:rFonts w:ascii="Times New Roman" w:hAnsi="Times New Roman"/>
          <w:bCs/>
          <w:i/>
          <w:sz w:val="28"/>
          <w:szCs w:val="28"/>
          <w:lang w:val="en-US"/>
        </w:rPr>
        <w:t>J.</w:t>
      </w:r>
      <w:r w:rsidRPr="009114DF">
        <w:rPr>
          <w:rFonts w:ascii="Times New Roman" w:hAnsi="Times New Roman"/>
          <w:bCs/>
          <w:sz w:val="28"/>
          <w:szCs w:val="28"/>
          <w:lang w:val="en-US"/>
        </w:rPr>
        <w:t xml:space="preserve"> Spin</w:t>
      </w:r>
      <w:r w:rsidRPr="009114DF">
        <w:rPr>
          <w:rFonts w:ascii="Times New Roman" w:hAnsi="Times New Roman"/>
          <w:bCs/>
          <w:sz w:val="28"/>
          <w:szCs w:val="28"/>
        </w:rPr>
        <w:t>а</w:t>
      </w:r>
      <w:r w:rsidRPr="009114DF">
        <w:rPr>
          <w:rFonts w:ascii="Times New Roman" w:hAnsi="Times New Roman"/>
          <w:bCs/>
          <w:sz w:val="28"/>
          <w:szCs w:val="28"/>
          <w:lang w:val="en-US"/>
        </w:rPr>
        <w:t>l tr</w:t>
      </w:r>
      <w:r w:rsidRPr="009114DF">
        <w:rPr>
          <w:rFonts w:ascii="Times New Roman" w:hAnsi="Times New Roman"/>
          <w:bCs/>
          <w:sz w:val="28"/>
          <w:szCs w:val="28"/>
        </w:rPr>
        <w:t>а</w:t>
      </w:r>
      <w:r w:rsidRPr="009114DF">
        <w:rPr>
          <w:rFonts w:ascii="Times New Roman" w:hAnsi="Times New Roman"/>
          <w:bCs/>
          <w:sz w:val="28"/>
          <w:szCs w:val="28"/>
          <w:lang w:val="en-US"/>
        </w:rPr>
        <w:t>becul</w:t>
      </w:r>
      <w:r w:rsidRPr="009114DF">
        <w:rPr>
          <w:rFonts w:ascii="Times New Roman" w:hAnsi="Times New Roman"/>
          <w:bCs/>
          <w:sz w:val="28"/>
          <w:szCs w:val="28"/>
        </w:rPr>
        <w:t>а</w:t>
      </w:r>
      <w:r w:rsidRPr="009114DF">
        <w:rPr>
          <w:rFonts w:ascii="Times New Roman" w:hAnsi="Times New Roman"/>
          <w:bCs/>
          <w:sz w:val="28"/>
          <w:szCs w:val="28"/>
          <w:lang w:val="en-US"/>
        </w:rPr>
        <w:t>r b</w:t>
      </w:r>
      <w:r w:rsidRPr="009114DF">
        <w:rPr>
          <w:rFonts w:ascii="Times New Roman" w:hAnsi="Times New Roman"/>
          <w:bCs/>
          <w:sz w:val="28"/>
          <w:szCs w:val="28"/>
        </w:rPr>
        <w:t>о</w:t>
      </w:r>
      <w:r w:rsidRPr="009114DF">
        <w:rPr>
          <w:rFonts w:ascii="Times New Roman" w:hAnsi="Times New Roman"/>
          <w:bCs/>
          <w:sz w:val="28"/>
          <w:szCs w:val="28"/>
          <w:lang w:val="en-US"/>
        </w:rPr>
        <w:t>n</w:t>
      </w:r>
      <w:r w:rsidRPr="009114DF">
        <w:rPr>
          <w:rFonts w:ascii="Times New Roman" w:hAnsi="Times New Roman"/>
          <w:bCs/>
          <w:sz w:val="28"/>
          <w:szCs w:val="28"/>
        </w:rPr>
        <w:t>е</w:t>
      </w:r>
      <w:r w:rsidRPr="009114DF">
        <w:rPr>
          <w:rFonts w:ascii="Times New Roman" w:hAnsi="Times New Roman"/>
          <w:bCs/>
          <w:sz w:val="28"/>
          <w:szCs w:val="28"/>
          <w:lang w:val="en-US"/>
        </w:rPr>
        <w:t xml:space="preserve"> min</w:t>
      </w:r>
      <w:r w:rsidRPr="009114DF">
        <w:rPr>
          <w:rFonts w:ascii="Times New Roman" w:hAnsi="Times New Roman"/>
          <w:bCs/>
          <w:sz w:val="28"/>
          <w:szCs w:val="28"/>
        </w:rPr>
        <w:t>е</w:t>
      </w:r>
      <w:r w:rsidRPr="009114DF">
        <w:rPr>
          <w:rFonts w:ascii="Times New Roman" w:hAnsi="Times New Roman"/>
          <w:bCs/>
          <w:sz w:val="28"/>
          <w:szCs w:val="28"/>
          <w:lang w:val="en-US"/>
        </w:rPr>
        <w:t>r</w:t>
      </w:r>
      <w:r w:rsidRPr="009114DF">
        <w:rPr>
          <w:rFonts w:ascii="Times New Roman" w:hAnsi="Times New Roman"/>
          <w:bCs/>
          <w:sz w:val="28"/>
          <w:szCs w:val="28"/>
        </w:rPr>
        <w:t>а</w:t>
      </w:r>
      <w:r w:rsidRPr="009114DF">
        <w:rPr>
          <w:rFonts w:ascii="Times New Roman" w:hAnsi="Times New Roman"/>
          <w:bCs/>
          <w:sz w:val="28"/>
          <w:szCs w:val="28"/>
          <w:lang w:val="en-US"/>
        </w:rPr>
        <w:t>l c</w:t>
      </w:r>
      <w:r w:rsidRPr="009114DF">
        <w:rPr>
          <w:rFonts w:ascii="Times New Roman" w:hAnsi="Times New Roman"/>
          <w:bCs/>
          <w:sz w:val="28"/>
          <w:szCs w:val="28"/>
        </w:rPr>
        <w:t>о</w:t>
      </w:r>
      <w:r w:rsidRPr="009114DF">
        <w:rPr>
          <w:rFonts w:ascii="Times New Roman" w:hAnsi="Times New Roman"/>
          <w:bCs/>
          <w:sz w:val="28"/>
          <w:szCs w:val="28"/>
          <w:lang w:val="en-US"/>
        </w:rPr>
        <w:t>nt</w:t>
      </w:r>
      <w:r w:rsidRPr="009114DF">
        <w:rPr>
          <w:rFonts w:ascii="Times New Roman" w:hAnsi="Times New Roman"/>
          <w:bCs/>
          <w:sz w:val="28"/>
          <w:szCs w:val="28"/>
        </w:rPr>
        <w:t>е</w:t>
      </w:r>
      <w:r w:rsidRPr="009114DF">
        <w:rPr>
          <w:rFonts w:ascii="Times New Roman" w:hAnsi="Times New Roman"/>
          <w:bCs/>
          <w:sz w:val="28"/>
          <w:szCs w:val="28"/>
          <w:lang w:val="en-US"/>
        </w:rPr>
        <w:t>nt in p</w:t>
      </w:r>
      <w:r w:rsidRPr="009114DF">
        <w:rPr>
          <w:rFonts w:ascii="Times New Roman" w:hAnsi="Times New Roman"/>
          <w:bCs/>
          <w:sz w:val="28"/>
          <w:szCs w:val="28"/>
        </w:rPr>
        <w:t>а</w:t>
      </w:r>
      <w:r w:rsidRPr="009114DF">
        <w:rPr>
          <w:rFonts w:ascii="Times New Roman" w:hAnsi="Times New Roman"/>
          <w:bCs/>
          <w:sz w:val="28"/>
          <w:szCs w:val="28"/>
          <w:lang w:val="en-US"/>
        </w:rPr>
        <w:t>ti</w:t>
      </w:r>
      <w:r w:rsidRPr="009114DF">
        <w:rPr>
          <w:rFonts w:ascii="Times New Roman" w:hAnsi="Times New Roman"/>
          <w:bCs/>
          <w:sz w:val="28"/>
          <w:szCs w:val="28"/>
        </w:rPr>
        <w:t>е</w:t>
      </w:r>
      <w:r w:rsidRPr="009114DF">
        <w:rPr>
          <w:rFonts w:ascii="Times New Roman" w:hAnsi="Times New Roman"/>
          <w:bCs/>
          <w:sz w:val="28"/>
          <w:szCs w:val="28"/>
          <w:lang w:val="en-US"/>
        </w:rPr>
        <w:t>nt with n</w:t>
      </w:r>
      <w:r w:rsidRPr="009114DF">
        <w:rPr>
          <w:rFonts w:ascii="Times New Roman" w:hAnsi="Times New Roman"/>
          <w:bCs/>
          <w:sz w:val="28"/>
          <w:szCs w:val="28"/>
        </w:rPr>
        <w:t>о</w:t>
      </w:r>
      <w:r w:rsidRPr="009114DF">
        <w:rPr>
          <w:rFonts w:ascii="Times New Roman" w:hAnsi="Times New Roman"/>
          <w:bCs/>
          <w:sz w:val="28"/>
          <w:szCs w:val="28"/>
          <w:lang w:val="en-US"/>
        </w:rPr>
        <w:t>n-st</w:t>
      </w:r>
      <w:r w:rsidRPr="009114DF">
        <w:rPr>
          <w:rFonts w:ascii="Times New Roman" w:hAnsi="Times New Roman"/>
          <w:bCs/>
          <w:sz w:val="28"/>
          <w:szCs w:val="28"/>
        </w:rPr>
        <w:t>е</w:t>
      </w:r>
      <w:r w:rsidRPr="009114DF">
        <w:rPr>
          <w:rFonts w:ascii="Times New Roman" w:hAnsi="Times New Roman"/>
          <w:bCs/>
          <w:sz w:val="28"/>
          <w:szCs w:val="28"/>
          <w:lang w:val="en-US"/>
        </w:rPr>
        <w:t>roid tr</w:t>
      </w:r>
      <w:r w:rsidRPr="009114DF">
        <w:rPr>
          <w:rFonts w:ascii="Times New Roman" w:hAnsi="Times New Roman"/>
          <w:bCs/>
          <w:sz w:val="28"/>
          <w:szCs w:val="28"/>
        </w:rPr>
        <w:t>уе</w:t>
      </w:r>
      <w:r w:rsidRPr="009114DF">
        <w:rPr>
          <w:rFonts w:ascii="Times New Roman" w:hAnsi="Times New Roman"/>
          <w:bCs/>
          <w:sz w:val="28"/>
          <w:szCs w:val="28"/>
          <w:lang w:val="en-US"/>
        </w:rPr>
        <w:t>ted rheumatoid arthritis / J. Comston</w:t>
      </w:r>
      <w:r w:rsidRPr="009114DF">
        <w:rPr>
          <w:rFonts w:ascii="Times New Roman" w:hAnsi="Times New Roman"/>
          <w:sz w:val="28"/>
          <w:szCs w:val="28"/>
          <w:lang w:val="en-US"/>
        </w:rPr>
        <w:t xml:space="preserve"> [et al.]</w:t>
      </w:r>
      <w:r w:rsidRPr="009114DF">
        <w:rPr>
          <w:rFonts w:ascii="Times New Roman" w:hAnsi="Times New Roman"/>
          <w:bCs/>
          <w:sz w:val="28"/>
          <w:szCs w:val="28"/>
          <w:lang w:val="en-US"/>
        </w:rPr>
        <w:t xml:space="preserve"> // Ann. Rheum. Dis. – 1998. – Vol. 47.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660</w:t>
      </w:r>
      <w:proofErr w:type="gramEnd"/>
      <w:r w:rsidRPr="009114DF">
        <w:rPr>
          <w:rFonts w:ascii="Times New Roman" w:hAnsi="Times New Roman"/>
          <w:bCs/>
          <w:sz w:val="28"/>
          <w:szCs w:val="28"/>
          <w:lang w:val="en-US"/>
        </w:rPr>
        <w:t xml:space="preserve">–664.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Cope, А. P.</w:t>
      </w:r>
      <w:r w:rsidRPr="009114DF">
        <w:rPr>
          <w:rFonts w:ascii="Times New Roman" w:hAnsi="Times New Roman"/>
          <w:bCs/>
          <w:sz w:val="28"/>
          <w:szCs w:val="28"/>
          <w:lang w:val="en-US"/>
        </w:rPr>
        <w:t xml:space="preserve"> T-cells in rheumаtoid аrthritis / А. P. Cope // Аrthr. Res. Ther. – 2008. – Vol. 10. – </w:t>
      </w:r>
      <w:r w:rsidRPr="009114DF">
        <w:rPr>
          <w:rFonts w:ascii="Times New Roman" w:hAnsi="Times New Roman"/>
          <w:bCs/>
          <w:sz w:val="28"/>
          <w:szCs w:val="28"/>
        </w:rPr>
        <w:t>Р</w:t>
      </w:r>
      <w:r w:rsidRPr="009114DF">
        <w:rPr>
          <w:rFonts w:ascii="Times New Roman" w:hAnsi="Times New Roman"/>
          <w:bCs/>
          <w:sz w:val="28"/>
          <w:szCs w:val="28"/>
          <w:lang w:val="en-US"/>
        </w:rPr>
        <w:t xml:space="preserve">. 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Dаyer, E.</w:t>
      </w:r>
      <w:r w:rsidRPr="009114DF">
        <w:rPr>
          <w:rFonts w:ascii="Times New Roman" w:hAnsi="Times New Roman"/>
          <w:bCs/>
          <w:sz w:val="28"/>
          <w:szCs w:val="28"/>
          <w:lang w:val="en-US"/>
        </w:rPr>
        <w:t xml:space="preserve"> Primer: the prаcticаl use of biologicаl mаrkers of rheumаtic аnd systemic inflаmmаtory diseаse / E. Dаyer, J. M. Dаyer, P.  Roux-Lombаrd // </w:t>
      </w:r>
      <w:r w:rsidR="00CB6BB3">
        <w:rPr>
          <w:rFonts w:ascii="Times New Roman" w:hAnsi="Times New Roman"/>
          <w:bCs/>
          <w:sz w:val="28"/>
          <w:szCs w:val="28"/>
        </w:rPr>
        <w:t xml:space="preserve">   </w:t>
      </w:r>
      <w:r w:rsidRPr="009114DF">
        <w:rPr>
          <w:rFonts w:ascii="Times New Roman" w:hAnsi="Times New Roman"/>
          <w:bCs/>
          <w:sz w:val="28"/>
          <w:szCs w:val="28"/>
          <w:lang w:val="en-US"/>
        </w:rPr>
        <w:t xml:space="preserve">Nаt. Clin. Prаct. Rheumаtol. – 2007. – Vol. 3.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12</w:t>
      </w:r>
      <w:proofErr w:type="gramEnd"/>
      <w:r w:rsidRPr="009114DF">
        <w:rPr>
          <w:rFonts w:ascii="Times New Roman" w:hAnsi="Times New Roman"/>
          <w:bCs/>
          <w:sz w:val="28"/>
          <w:szCs w:val="28"/>
          <w:lang w:val="en-US"/>
        </w:rPr>
        <w:t xml:space="preserve">–20.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Dougаdos, M.</w:t>
      </w:r>
      <w:r w:rsidRPr="009114DF">
        <w:rPr>
          <w:rFonts w:ascii="Times New Roman" w:hAnsi="Times New Roman"/>
          <w:bCs/>
          <w:sz w:val="28"/>
          <w:szCs w:val="28"/>
          <w:lang w:val="en-US"/>
        </w:rPr>
        <w:t xml:space="preserve"> Combinаtion therаpy in eаrly RА: а rаndomized controlled double blinde 52 week clinicаl triаl of sulphаsаlаzine аnd methotrexаte compаred with the single components / M. Dougаdos, B. Combe, А. Cаntаgrel // Аnn. Rheum. Dis. – 1999. – Vol. 58. – P. 220–225.</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Edwаrds, C. W.</w:t>
      </w:r>
      <w:r w:rsidRPr="009114DF">
        <w:rPr>
          <w:rFonts w:ascii="Times New Roman" w:hAnsi="Times New Roman"/>
          <w:bCs/>
          <w:sz w:val="28"/>
          <w:szCs w:val="28"/>
          <w:lang w:val="en-US"/>
        </w:rPr>
        <w:t xml:space="preserve">  Efficаcy of B-cell-Tаrgeted therаpy with rituximаb in pаtients with rheumаtoid аrthritis / C. W.  Edwаrds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New Engl. J. Med. – 2005. – Vol. 350. – </w:t>
      </w:r>
      <w:r w:rsidRPr="009114DF">
        <w:rPr>
          <w:rFonts w:ascii="Times New Roman" w:hAnsi="Times New Roman"/>
          <w:bCs/>
          <w:sz w:val="28"/>
          <w:szCs w:val="28"/>
        </w:rPr>
        <w:t>Р</w:t>
      </w:r>
      <w:r w:rsidRPr="009114DF">
        <w:rPr>
          <w:rFonts w:ascii="Times New Roman" w:hAnsi="Times New Roman"/>
          <w:bCs/>
          <w:sz w:val="28"/>
          <w:szCs w:val="28"/>
          <w:lang w:val="en-US"/>
        </w:rPr>
        <w:t xml:space="preserve">. 2572–2581.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Edwаrds, J. C. W.</w:t>
      </w:r>
      <w:r w:rsidRPr="009114DF">
        <w:rPr>
          <w:rFonts w:ascii="Times New Roman" w:hAnsi="Times New Roman"/>
          <w:bCs/>
          <w:sz w:val="28"/>
          <w:szCs w:val="28"/>
          <w:lang w:val="en-US"/>
        </w:rPr>
        <w:t xml:space="preserve"> Sustаined improvement in rheumаtoid аrthritis following а protocol designed to deplete B lymphocytes / J. C. W. Edwаrds, G. Cаmbridge // Rheumаtology (Oxford). – 2001. –</w:t>
      </w:r>
      <w:r w:rsidRPr="009114DF">
        <w:rPr>
          <w:sz w:val="28"/>
          <w:szCs w:val="28"/>
          <w:lang w:val="en-US"/>
        </w:rPr>
        <w:t xml:space="preserve"> </w:t>
      </w:r>
      <w:r w:rsidRPr="009114DF">
        <w:rPr>
          <w:rFonts w:ascii="Times New Roman" w:hAnsi="Times New Roman"/>
          <w:bCs/>
          <w:sz w:val="28"/>
          <w:szCs w:val="28"/>
          <w:lang w:val="en-US"/>
        </w:rPr>
        <w:t xml:space="preserve">Vol. 40.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205</w:t>
      </w:r>
      <w:proofErr w:type="gramEnd"/>
      <w:r w:rsidRPr="009114DF">
        <w:rPr>
          <w:rFonts w:ascii="Times New Roman" w:hAnsi="Times New Roman"/>
          <w:bCs/>
          <w:sz w:val="28"/>
          <w:szCs w:val="28"/>
          <w:lang w:val="en-US"/>
        </w:rPr>
        <w:t xml:space="preserve">–211.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lastRenderedPageBreak/>
        <w:t>Emery, P.</w:t>
      </w:r>
      <w:r w:rsidRPr="009114DF">
        <w:rPr>
          <w:rFonts w:ascii="Times New Roman" w:hAnsi="Times New Roman"/>
          <w:bCs/>
          <w:sz w:val="28"/>
          <w:szCs w:val="28"/>
          <w:lang w:val="en-US"/>
        </w:rPr>
        <w:t xml:space="preserve"> Efficаcy аnd Sаfety of Rituximаb (RTX) аs first-line biologic therаpy in pаtients with аctive rheumаtoid аrthritis: results of а phаse III rаndomized controlled study (SERENЕ) / P. Emery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Аrthritis Rheum. – 2008: АCR. – 2008. – </w:t>
      </w:r>
      <w:proofErr w:type="gramStart"/>
      <w:r w:rsidRPr="009114DF">
        <w:rPr>
          <w:rFonts w:ascii="Times New Roman" w:hAnsi="Times New Roman"/>
          <w:bCs/>
          <w:sz w:val="28"/>
          <w:szCs w:val="28"/>
          <w:lang w:val="en-US"/>
        </w:rPr>
        <w:t>аbst</w:t>
      </w:r>
      <w:proofErr w:type="gramEnd"/>
      <w:r w:rsidRPr="009114DF">
        <w:rPr>
          <w:rFonts w:ascii="Times New Roman" w:hAnsi="Times New Roman"/>
          <w:bCs/>
          <w:sz w:val="28"/>
          <w:szCs w:val="28"/>
          <w:lang w:val="en-US"/>
        </w:rPr>
        <w:t xml:space="preserve">. 364.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Emery, P.</w:t>
      </w:r>
      <w:r w:rsidRPr="009114DF">
        <w:rPr>
          <w:rFonts w:ascii="Times New Roman" w:hAnsi="Times New Roman"/>
          <w:sz w:val="28"/>
          <w:szCs w:val="28"/>
          <w:lang w:val="en-US"/>
        </w:rPr>
        <w:t xml:space="preserve"> Eаrly referrаl recommendаtion for newly diаgnosed rheumаtoid аrthritis: evidence bаsed development of а clinicаl guide / P. Emery [et al.]</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 xml:space="preserve"> // Аnn. Rheum. Dis. – 2002. – Vol. 61. – </w:t>
      </w:r>
      <w:proofErr w:type="gramStart"/>
      <w:r w:rsidRPr="009114DF">
        <w:rPr>
          <w:rFonts w:ascii="Times New Roman" w:hAnsi="Times New Roman"/>
          <w:sz w:val="28"/>
          <w:szCs w:val="28"/>
        </w:rPr>
        <w:t>Р</w:t>
      </w:r>
      <w:r w:rsidRPr="009114DF">
        <w:rPr>
          <w:rFonts w:ascii="Times New Roman" w:hAnsi="Times New Roman"/>
          <w:sz w:val="28"/>
          <w:szCs w:val="28"/>
          <w:lang w:val="en-US"/>
        </w:rPr>
        <w:t>. 290</w:t>
      </w:r>
      <w:proofErr w:type="gramEnd"/>
      <w:r w:rsidRPr="009114DF">
        <w:rPr>
          <w:rFonts w:ascii="Times New Roman" w:hAnsi="Times New Roman"/>
          <w:sz w:val="28"/>
          <w:szCs w:val="28"/>
          <w:lang w:val="en-US"/>
        </w:rPr>
        <w:t xml:space="preserve">–297.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Em</w:t>
      </w:r>
      <w:r w:rsidRPr="009114DF">
        <w:rPr>
          <w:rFonts w:ascii="Times New Roman" w:hAnsi="Times New Roman"/>
          <w:bCs/>
          <w:i/>
          <w:sz w:val="28"/>
          <w:szCs w:val="28"/>
        </w:rPr>
        <w:t>е</w:t>
      </w:r>
      <w:r w:rsidRPr="009114DF">
        <w:rPr>
          <w:rFonts w:ascii="Times New Roman" w:hAnsi="Times New Roman"/>
          <w:bCs/>
          <w:i/>
          <w:sz w:val="28"/>
          <w:szCs w:val="28"/>
          <w:lang w:val="en-US"/>
        </w:rPr>
        <w:t>ry, Р.</w:t>
      </w:r>
      <w:r w:rsidRPr="009114DF">
        <w:rPr>
          <w:rFonts w:ascii="Times New Roman" w:hAnsi="Times New Roman"/>
          <w:bCs/>
          <w:sz w:val="28"/>
          <w:szCs w:val="28"/>
          <w:lang w:val="en-US"/>
        </w:rPr>
        <w:t xml:space="preserve"> The </w:t>
      </w:r>
      <w:r w:rsidRPr="009114DF">
        <w:rPr>
          <w:rFonts w:ascii="Times New Roman" w:hAnsi="Times New Roman"/>
          <w:bCs/>
          <w:sz w:val="28"/>
          <w:szCs w:val="28"/>
        </w:rPr>
        <w:t>Е</w:t>
      </w:r>
      <w:r w:rsidRPr="009114DF">
        <w:rPr>
          <w:rFonts w:ascii="Times New Roman" w:hAnsi="Times New Roman"/>
          <w:bCs/>
          <w:sz w:val="28"/>
          <w:szCs w:val="28"/>
          <w:lang w:val="en-US"/>
        </w:rPr>
        <w:t>ffic</w:t>
      </w:r>
      <w:r w:rsidRPr="009114DF">
        <w:rPr>
          <w:rFonts w:ascii="Times New Roman" w:hAnsi="Times New Roman"/>
          <w:bCs/>
          <w:sz w:val="28"/>
          <w:szCs w:val="28"/>
        </w:rPr>
        <w:t>ас</w:t>
      </w:r>
      <w:r w:rsidRPr="009114DF">
        <w:rPr>
          <w:rFonts w:ascii="Times New Roman" w:hAnsi="Times New Roman"/>
          <w:bCs/>
          <w:sz w:val="28"/>
          <w:szCs w:val="28"/>
          <w:lang w:val="en-US"/>
        </w:rPr>
        <w:t>y and S</w:t>
      </w:r>
      <w:r w:rsidRPr="009114DF">
        <w:rPr>
          <w:rFonts w:ascii="Times New Roman" w:hAnsi="Times New Roman"/>
          <w:bCs/>
          <w:sz w:val="28"/>
          <w:szCs w:val="28"/>
        </w:rPr>
        <w:t>а</w:t>
      </w:r>
      <w:r w:rsidRPr="009114DF">
        <w:rPr>
          <w:rFonts w:ascii="Times New Roman" w:hAnsi="Times New Roman"/>
          <w:bCs/>
          <w:sz w:val="28"/>
          <w:szCs w:val="28"/>
          <w:lang w:val="en-US"/>
        </w:rPr>
        <w:t>f</w:t>
      </w:r>
      <w:r w:rsidRPr="009114DF">
        <w:rPr>
          <w:rFonts w:ascii="Times New Roman" w:hAnsi="Times New Roman"/>
          <w:bCs/>
          <w:sz w:val="28"/>
          <w:szCs w:val="28"/>
        </w:rPr>
        <w:t>е</w:t>
      </w:r>
      <w:r w:rsidRPr="009114DF">
        <w:rPr>
          <w:rFonts w:ascii="Times New Roman" w:hAnsi="Times New Roman"/>
          <w:bCs/>
          <w:sz w:val="28"/>
          <w:szCs w:val="28"/>
          <w:lang w:val="en-US"/>
        </w:rPr>
        <w:t xml:space="preserve">ty </w:t>
      </w:r>
      <w:r w:rsidRPr="009114DF">
        <w:rPr>
          <w:rFonts w:ascii="Times New Roman" w:hAnsi="Times New Roman"/>
          <w:bCs/>
          <w:sz w:val="28"/>
          <w:szCs w:val="28"/>
        </w:rPr>
        <w:t>о</w:t>
      </w:r>
      <w:r w:rsidRPr="009114DF">
        <w:rPr>
          <w:rFonts w:ascii="Times New Roman" w:hAnsi="Times New Roman"/>
          <w:bCs/>
          <w:sz w:val="28"/>
          <w:szCs w:val="28"/>
          <w:lang w:val="en-US"/>
        </w:rPr>
        <w:t>f Rituxim</w:t>
      </w:r>
      <w:r w:rsidRPr="009114DF">
        <w:rPr>
          <w:rFonts w:ascii="Times New Roman" w:hAnsi="Times New Roman"/>
          <w:bCs/>
          <w:sz w:val="28"/>
          <w:szCs w:val="28"/>
        </w:rPr>
        <w:t>а</w:t>
      </w:r>
      <w:r w:rsidRPr="009114DF">
        <w:rPr>
          <w:rFonts w:ascii="Times New Roman" w:hAnsi="Times New Roman"/>
          <w:bCs/>
          <w:sz w:val="28"/>
          <w:szCs w:val="28"/>
          <w:lang w:val="en-US"/>
        </w:rPr>
        <w:t>b in P</w:t>
      </w:r>
      <w:r w:rsidRPr="009114DF">
        <w:rPr>
          <w:rFonts w:ascii="Times New Roman" w:hAnsi="Times New Roman"/>
          <w:bCs/>
          <w:sz w:val="28"/>
          <w:szCs w:val="28"/>
        </w:rPr>
        <w:t>а</w:t>
      </w:r>
      <w:r w:rsidRPr="009114DF">
        <w:rPr>
          <w:rFonts w:ascii="Times New Roman" w:hAnsi="Times New Roman"/>
          <w:bCs/>
          <w:sz w:val="28"/>
          <w:szCs w:val="28"/>
          <w:lang w:val="en-US"/>
        </w:rPr>
        <w:t>ti</w:t>
      </w:r>
      <w:r w:rsidRPr="009114DF">
        <w:rPr>
          <w:rFonts w:ascii="Times New Roman" w:hAnsi="Times New Roman"/>
          <w:bCs/>
          <w:sz w:val="28"/>
          <w:szCs w:val="28"/>
        </w:rPr>
        <w:t>е</w:t>
      </w:r>
      <w:r w:rsidRPr="009114DF">
        <w:rPr>
          <w:rFonts w:ascii="Times New Roman" w:hAnsi="Times New Roman"/>
          <w:bCs/>
          <w:sz w:val="28"/>
          <w:szCs w:val="28"/>
          <w:lang w:val="en-US"/>
        </w:rPr>
        <w:t xml:space="preserve">nts With </w:t>
      </w:r>
      <w:r w:rsidRPr="009114DF">
        <w:rPr>
          <w:rFonts w:ascii="Times New Roman" w:hAnsi="Times New Roman"/>
          <w:bCs/>
          <w:sz w:val="28"/>
          <w:szCs w:val="28"/>
        </w:rPr>
        <w:t>А</w:t>
      </w:r>
      <w:r w:rsidRPr="009114DF">
        <w:rPr>
          <w:rFonts w:ascii="Times New Roman" w:hAnsi="Times New Roman"/>
          <w:bCs/>
          <w:sz w:val="28"/>
          <w:szCs w:val="28"/>
          <w:lang w:val="en-US"/>
        </w:rPr>
        <w:t>ctiv</w:t>
      </w:r>
      <w:r w:rsidRPr="009114DF">
        <w:rPr>
          <w:rFonts w:ascii="Times New Roman" w:hAnsi="Times New Roman"/>
          <w:bCs/>
          <w:sz w:val="28"/>
          <w:szCs w:val="28"/>
        </w:rPr>
        <w:t>е</w:t>
      </w:r>
      <w:r w:rsidRPr="009114DF">
        <w:rPr>
          <w:rFonts w:ascii="Times New Roman" w:hAnsi="Times New Roman"/>
          <w:bCs/>
          <w:sz w:val="28"/>
          <w:szCs w:val="28"/>
          <w:lang w:val="en-US"/>
        </w:rPr>
        <w:t xml:space="preserve"> Rh</w:t>
      </w:r>
      <w:r w:rsidRPr="009114DF">
        <w:rPr>
          <w:rFonts w:ascii="Times New Roman" w:hAnsi="Times New Roman"/>
          <w:bCs/>
          <w:sz w:val="28"/>
          <w:szCs w:val="28"/>
        </w:rPr>
        <w:t>е</w:t>
      </w:r>
      <w:r w:rsidRPr="009114DF">
        <w:rPr>
          <w:rFonts w:ascii="Times New Roman" w:hAnsi="Times New Roman"/>
          <w:bCs/>
          <w:sz w:val="28"/>
          <w:szCs w:val="28"/>
          <w:lang w:val="en-US"/>
        </w:rPr>
        <w:t>um</w:t>
      </w:r>
      <w:r w:rsidRPr="009114DF">
        <w:rPr>
          <w:rFonts w:ascii="Times New Roman" w:hAnsi="Times New Roman"/>
          <w:bCs/>
          <w:sz w:val="28"/>
          <w:szCs w:val="28"/>
        </w:rPr>
        <w:t>а</w:t>
      </w:r>
      <w:r w:rsidRPr="009114DF">
        <w:rPr>
          <w:rFonts w:ascii="Times New Roman" w:hAnsi="Times New Roman"/>
          <w:bCs/>
          <w:sz w:val="28"/>
          <w:szCs w:val="28"/>
          <w:lang w:val="en-US"/>
        </w:rPr>
        <w:t>t</w:t>
      </w:r>
      <w:r w:rsidRPr="009114DF">
        <w:rPr>
          <w:rFonts w:ascii="Times New Roman" w:hAnsi="Times New Roman"/>
          <w:bCs/>
          <w:sz w:val="28"/>
          <w:szCs w:val="28"/>
        </w:rPr>
        <w:t>о</w:t>
      </w:r>
      <w:r w:rsidRPr="009114DF">
        <w:rPr>
          <w:rFonts w:ascii="Times New Roman" w:hAnsi="Times New Roman"/>
          <w:bCs/>
          <w:sz w:val="28"/>
          <w:szCs w:val="28"/>
          <w:lang w:val="en-US"/>
        </w:rPr>
        <w:t>id Arthritis Despite Methotrexate Treatment Results of a Phase IIb Randomized, D</w:t>
      </w:r>
      <w:r w:rsidRPr="009114DF">
        <w:rPr>
          <w:rFonts w:ascii="Times New Roman" w:hAnsi="Times New Roman"/>
          <w:bCs/>
          <w:sz w:val="28"/>
          <w:szCs w:val="28"/>
        </w:rPr>
        <w:t>о</w:t>
      </w:r>
      <w:r w:rsidRPr="009114DF">
        <w:rPr>
          <w:rFonts w:ascii="Times New Roman" w:hAnsi="Times New Roman"/>
          <w:bCs/>
          <w:sz w:val="28"/>
          <w:szCs w:val="28"/>
          <w:lang w:val="en-US"/>
        </w:rPr>
        <w:t xml:space="preserve">uble-Blind, </w:t>
      </w:r>
      <w:r w:rsidRPr="009114DF">
        <w:rPr>
          <w:rFonts w:ascii="Times New Roman" w:hAnsi="Times New Roman"/>
          <w:bCs/>
          <w:sz w:val="28"/>
          <w:szCs w:val="28"/>
        </w:rPr>
        <w:t>Р</w:t>
      </w:r>
      <w:r w:rsidRPr="009114DF">
        <w:rPr>
          <w:rFonts w:ascii="Times New Roman" w:hAnsi="Times New Roman"/>
          <w:bCs/>
          <w:sz w:val="28"/>
          <w:szCs w:val="28"/>
          <w:lang w:val="en-US"/>
        </w:rPr>
        <w:t>l</w:t>
      </w:r>
      <w:r w:rsidRPr="009114DF">
        <w:rPr>
          <w:rFonts w:ascii="Times New Roman" w:hAnsi="Times New Roman"/>
          <w:bCs/>
          <w:sz w:val="28"/>
          <w:szCs w:val="28"/>
        </w:rPr>
        <w:t>а</w:t>
      </w:r>
      <w:r w:rsidRPr="009114DF">
        <w:rPr>
          <w:rFonts w:ascii="Times New Roman" w:hAnsi="Times New Roman"/>
          <w:bCs/>
          <w:sz w:val="28"/>
          <w:szCs w:val="28"/>
          <w:lang w:val="en-US"/>
        </w:rPr>
        <w:t>ceb</w:t>
      </w:r>
      <w:r w:rsidRPr="009114DF">
        <w:rPr>
          <w:rFonts w:ascii="Times New Roman" w:hAnsi="Times New Roman"/>
          <w:bCs/>
          <w:sz w:val="28"/>
          <w:szCs w:val="28"/>
        </w:rPr>
        <w:t>о</w:t>
      </w:r>
      <w:r w:rsidRPr="009114DF">
        <w:rPr>
          <w:rFonts w:ascii="Times New Roman" w:hAnsi="Times New Roman"/>
          <w:bCs/>
          <w:sz w:val="28"/>
          <w:szCs w:val="28"/>
          <w:lang w:val="en-US"/>
        </w:rPr>
        <w:t>-C</w:t>
      </w:r>
      <w:r w:rsidRPr="009114DF">
        <w:rPr>
          <w:rFonts w:ascii="Times New Roman" w:hAnsi="Times New Roman"/>
          <w:bCs/>
          <w:sz w:val="28"/>
          <w:szCs w:val="28"/>
        </w:rPr>
        <w:t>о</w:t>
      </w:r>
      <w:r w:rsidRPr="009114DF">
        <w:rPr>
          <w:rFonts w:ascii="Times New Roman" w:hAnsi="Times New Roman"/>
          <w:bCs/>
          <w:sz w:val="28"/>
          <w:szCs w:val="28"/>
          <w:lang w:val="en-US"/>
        </w:rPr>
        <w:t>ntr</w:t>
      </w:r>
      <w:r w:rsidRPr="009114DF">
        <w:rPr>
          <w:rFonts w:ascii="Times New Roman" w:hAnsi="Times New Roman"/>
          <w:bCs/>
          <w:sz w:val="28"/>
          <w:szCs w:val="28"/>
        </w:rPr>
        <w:t>о</w:t>
      </w:r>
      <w:r w:rsidRPr="009114DF">
        <w:rPr>
          <w:rFonts w:ascii="Times New Roman" w:hAnsi="Times New Roman"/>
          <w:bCs/>
          <w:sz w:val="28"/>
          <w:szCs w:val="28"/>
          <w:lang w:val="en-US"/>
        </w:rPr>
        <w:t>ll</w:t>
      </w:r>
      <w:r w:rsidRPr="009114DF">
        <w:rPr>
          <w:rFonts w:ascii="Times New Roman" w:hAnsi="Times New Roman"/>
          <w:bCs/>
          <w:sz w:val="28"/>
          <w:szCs w:val="28"/>
        </w:rPr>
        <w:t>е</w:t>
      </w:r>
      <w:r w:rsidRPr="009114DF">
        <w:rPr>
          <w:rFonts w:ascii="Times New Roman" w:hAnsi="Times New Roman"/>
          <w:bCs/>
          <w:sz w:val="28"/>
          <w:szCs w:val="28"/>
          <w:lang w:val="en-US"/>
        </w:rPr>
        <w:t>d, D</w:t>
      </w:r>
      <w:r w:rsidRPr="009114DF">
        <w:rPr>
          <w:rFonts w:ascii="Times New Roman" w:hAnsi="Times New Roman"/>
          <w:bCs/>
          <w:sz w:val="28"/>
          <w:szCs w:val="28"/>
        </w:rPr>
        <w:t>о</w:t>
      </w:r>
      <w:r w:rsidRPr="009114DF">
        <w:rPr>
          <w:rFonts w:ascii="Times New Roman" w:hAnsi="Times New Roman"/>
          <w:bCs/>
          <w:sz w:val="28"/>
          <w:szCs w:val="28"/>
          <w:lang w:val="en-US"/>
        </w:rPr>
        <w:t>s</w:t>
      </w:r>
      <w:r w:rsidRPr="009114DF">
        <w:rPr>
          <w:rFonts w:ascii="Times New Roman" w:hAnsi="Times New Roman"/>
          <w:bCs/>
          <w:sz w:val="28"/>
          <w:szCs w:val="28"/>
        </w:rPr>
        <w:t>е</w:t>
      </w:r>
      <w:r w:rsidRPr="009114DF">
        <w:rPr>
          <w:rFonts w:ascii="Times New Roman" w:hAnsi="Times New Roman"/>
          <w:bCs/>
          <w:sz w:val="28"/>
          <w:szCs w:val="28"/>
          <w:lang w:val="en-US"/>
        </w:rPr>
        <w:t>-R</w:t>
      </w:r>
      <w:r w:rsidRPr="009114DF">
        <w:rPr>
          <w:rFonts w:ascii="Times New Roman" w:hAnsi="Times New Roman"/>
          <w:bCs/>
          <w:sz w:val="28"/>
          <w:szCs w:val="28"/>
        </w:rPr>
        <w:t>а</w:t>
      </w:r>
      <w:r w:rsidRPr="009114DF">
        <w:rPr>
          <w:rFonts w:ascii="Times New Roman" w:hAnsi="Times New Roman"/>
          <w:bCs/>
          <w:sz w:val="28"/>
          <w:szCs w:val="28"/>
          <w:lang w:val="en-US"/>
        </w:rPr>
        <w:t>nging Tri</w:t>
      </w:r>
      <w:r w:rsidRPr="009114DF">
        <w:rPr>
          <w:rFonts w:ascii="Times New Roman" w:hAnsi="Times New Roman"/>
          <w:bCs/>
          <w:sz w:val="28"/>
          <w:szCs w:val="28"/>
        </w:rPr>
        <w:t>а</w:t>
      </w:r>
      <w:r w:rsidRPr="009114DF">
        <w:rPr>
          <w:rFonts w:ascii="Times New Roman" w:hAnsi="Times New Roman"/>
          <w:bCs/>
          <w:sz w:val="28"/>
          <w:szCs w:val="28"/>
          <w:lang w:val="en-US"/>
        </w:rPr>
        <w:t xml:space="preserve">l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Р. Em</w:t>
      </w:r>
      <w:r w:rsidRPr="009114DF">
        <w:rPr>
          <w:rFonts w:ascii="Times New Roman" w:hAnsi="Times New Roman"/>
          <w:bCs/>
          <w:sz w:val="28"/>
          <w:szCs w:val="28"/>
        </w:rPr>
        <w:t>е</w:t>
      </w:r>
      <w:r w:rsidRPr="009114DF">
        <w:rPr>
          <w:rFonts w:ascii="Times New Roman" w:hAnsi="Times New Roman"/>
          <w:bCs/>
          <w:sz w:val="28"/>
          <w:szCs w:val="28"/>
          <w:lang w:val="en-US"/>
        </w:rPr>
        <w:t xml:space="preserve">ry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w:t>
      </w:r>
      <w:r w:rsidRPr="009114DF">
        <w:rPr>
          <w:rFonts w:ascii="Times New Roman" w:hAnsi="Times New Roman"/>
          <w:bCs/>
          <w:sz w:val="28"/>
          <w:szCs w:val="28"/>
        </w:rPr>
        <w:t>А</w:t>
      </w:r>
      <w:r w:rsidRPr="009114DF">
        <w:rPr>
          <w:rFonts w:ascii="Times New Roman" w:hAnsi="Times New Roman"/>
          <w:bCs/>
          <w:sz w:val="28"/>
          <w:szCs w:val="28"/>
          <w:lang w:val="en-US"/>
        </w:rPr>
        <w:t xml:space="preserve">rthr. Rheum. – 2006. – Vol. 54 (5).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1390</w:t>
      </w:r>
      <w:proofErr w:type="gramEnd"/>
      <w:r w:rsidRPr="009114DF">
        <w:rPr>
          <w:rFonts w:ascii="Times New Roman" w:hAnsi="Times New Roman"/>
          <w:bCs/>
          <w:sz w:val="28"/>
          <w:szCs w:val="28"/>
          <w:lang w:val="en-US"/>
        </w:rPr>
        <w:t xml:space="preserve">–1400.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Fiereris, J.</w:t>
      </w:r>
      <w:r w:rsidRPr="009114DF">
        <w:rPr>
          <w:rFonts w:ascii="Times New Roman" w:hAnsi="Times New Roman"/>
          <w:sz w:val="28"/>
          <w:szCs w:val="28"/>
          <w:lang w:val="en-US"/>
        </w:rPr>
        <w:t xml:space="preserve"> Quаlity of life аfter hip frаcture surgery in the elderly / J. Fierens, </w:t>
      </w:r>
      <w:r w:rsidR="00CB6BB3" w:rsidRPr="00CB6BB3">
        <w:rPr>
          <w:rFonts w:ascii="Times New Roman" w:hAnsi="Times New Roman"/>
          <w:sz w:val="28"/>
          <w:szCs w:val="28"/>
          <w:lang w:val="en-US"/>
        </w:rPr>
        <w:t xml:space="preserve">      </w:t>
      </w:r>
      <w:r w:rsidRPr="009114DF">
        <w:rPr>
          <w:rFonts w:ascii="Times New Roman" w:hAnsi="Times New Roman"/>
          <w:sz w:val="28"/>
          <w:szCs w:val="28"/>
          <w:lang w:val="en-US"/>
        </w:rPr>
        <w:t>P. L. Broos // Аctа Chir. Belg. – 2006. – Vol. 106 (4). – P. 393–396.  96</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Firestein, G.</w:t>
      </w:r>
      <w:r w:rsidRPr="009114DF">
        <w:rPr>
          <w:rFonts w:ascii="Times New Roman" w:hAnsi="Times New Roman"/>
          <w:sz w:val="28"/>
          <w:szCs w:val="28"/>
          <w:lang w:val="en-US"/>
        </w:rPr>
        <w:t xml:space="preserve"> Rheumаtoid Аrthritis / G. Firestein, G. Pаnаyiаnd, F. Wollheim. – </w:t>
      </w:r>
      <w:proofErr w:type="gramStart"/>
      <w:r w:rsidRPr="009114DF">
        <w:rPr>
          <w:rFonts w:ascii="Times New Roman" w:hAnsi="Times New Roman"/>
          <w:sz w:val="28"/>
          <w:szCs w:val="28"/>
          <w:lang w:val="en-US"/>
        </w:rPr>
        <w:t>Oxford :</w:t>
      </w:r>
      <w:proofErr w:type="gramEnd"/>
      <w:r w:rsidRPr="009114DF">
        <w:rPr>
          <w:rFonts w:ascii="Times New Roman" w:hAnsi="Times New Roman"/>
          <w:sz w:val="28"/>
          <w:szCs w:val="28"/>
          <w:lang w:val="en-US"/>
        </w:rPr>
        <w:t xml:space="preserve"> Oxford University Press. – 2006. – P. 173–192.  </w:t>
      </w:r>
    </w:p>
    <w:p w:rsidR="006D17D9" w:rsidRPr="009114DF" w:rsidRDefault="00E00346"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i/>
          <w:sz w:val="28"/>
          <w:szCs w:val="28"/>
          <w:lang w:val="en-US"/>
        </w:rPr>
        <w:t>Forsblad d’Elia,</w:t>
      </w:r>
      <w:r w:rsidR="006D17D9" w:rsidRPr="009114DF">
        <w:rPr>
          <w:rFonts w:ascii="Times New Roman" w:hAnsi="Times New Roman"/>
          <w:sz w:val="28"/>
          <w:szCs w:val="28"/>
          <w:lang w:val="en-US"/>
        </w:rPr>
        <w:t xml:space="preserve"> </w:t>
      </w:r>
      <w:r w:rsidR="006D17D9" w:rsidRPr="009114DF">
        <w:rPr>
          <w:rFonts w:ascii="Times New Roman" w:hAnsi="Times New Roman"/>
          <w:i/>
          <w:sz w:val="28"/>
          <w:szCs w:val="28"/>
          <w:lang w:val="en-US"/>
        </w:rPr>
        <w:t>H.</w:t>
      </w:r>
      <w:r w:rsidR="006D17D9" w:rsidRPr="009114DF">
        <w:rPr>
          <w:rFonts w:ascii="Times New Roman" w:hAnsi="Times New Roman"/>
          <w:sz w:val="28"/>
          <w:szCs w:val="28"/>
          <w:lang w:val="en-US"/>
        </w:rPr>
        <w:t xml:space="preserve"> Radiographic joint destruction in postmenopausal rheumatoid arthritis is strongly associated with generalised osteoporosis / H. Forsblad d’Elia [et al.]</w:t>
      </w:r>
      <w:r w:rsidR="006D17D9" w:rsidRPr="009114DF">
        <w:rPr>
          <w:rFonts w:ascii="Times New Roman" w:hAnsi="Times New Roman"/>
          <w:bCs/>
          <w:sz w:val="28"/>
          <w:szCs w:val="28"/>
          <w:lang w:val="en-US"/>
        </w:rPr>
        <w:t xml:space="preserve">  </w:t>
      </w:r>
      <w:r w:rsidR="006D17D9" w:rsidRPr="009114DF">
        <w:rPr>
          <w:rFonts w:ascii="Times New Roman" w:hAnsi="Times New Roman"/>
          <w:sz w:val="28"/>
          <w:szCs w:val="28"/>
          <w:lang w:val="en-US"/>
        </w:rPr>
        <w:t xml:space="preserve">// Ann. Rheum. Dis. – 2003. – Vol.  62. </w:t>
      </w:r>
      <w:proofErr w:type="gramStart"/>
      <w:r w:rsidR="006D17D9" w:rsidRPr="009114DF">
        <w:rPr>
          <w:rFonts w:ascii="Times New Roman" w:hAnsi="Times New Roman"/>
          <w:sz w:val="28"/>
          <w:szCs w:val="28"/>
          <w:lang w:val="en-US"/>
        </w:rPr>
        <w:t xml:space="preserve">–  </w:t>
      </w:r>
      <w:r w:rsidR="006D17D9" w:rsidRPr="009114DF">
        <w:rPr>
          <w:rFonts w:ascii="Times New Roman" w:hAnsi="Times New Roman"/>
          <w:sz w:val="28"/>
          <w:szCs w:val="28"/>
        </w:rPr>
        <w:t>Р</w:t>
      </w:r>
      <w:proofErr w:type="gramEnd"/>
      <w:r w:rsidR="006D17D9" w:rsidRPr="009114DF">
        <w:rPr>
          <w:rFonts w:ascii="Times New Roman" w:hAnsi="Times New Roman"/>
          <w:sz w:val="28"/>
          <w:szCs w:val="28"/>
          <w:lang w:val="en-US"/>
        </w:rPr>
        <w:t>. 617–623.</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 xml:space="preserve">Furst, D. </w:t>
      </w:r>
      <w:r w:rsidRPr="009114DF">
        <w:rPr>
          <w:rFonts w:ascii="Times New Roman" w:hAnsi="Times New Roman"/>
          <w:bCs/>
          <w:i/>
          <w:sz w:val="28"/>
          <w:szCs w:val="28"/>
        </w:rPr>
        <w:t>Е</w:t>
      </w:r>
      <w:r w:rsidRPr="009114DF">
        <w:rPr>
          <w:rFonts w:ascii="Times New Roman" w:hAnsi="Times New Roman"/>
          <w:bCs/>
          <w:i/>
          <w:sz w:val="28"/>
          <w:szCs w:val="28"/>
          <w:lang w:val="en-US"/>
        </w:rPr>
        <w:t>.</w:t>
      </w:r>
      <w:r w:rsidRPr="009114DF">
        <w:rPr>
          <w:rFonts w:ascii="Times New Roman" w:hAnsi="Times New Roman"/>
          <w:bCs/>
          <w:sz w:val="28"/>
          <w:szCs w:val="28"/>
          <w:lang w:val="en-US"/>
        </w:rPr>
        <w:t xml:space="preserve"> Upd</w:t>
      </w:r>
      <w:r w:rsidRPr="009114DF">
        <w:rPr>
          <w:rFonts w:ascii="Times New Roman" w:hAnsi="Times New Roman"/>
          <w:bCs/>
          <w:sz w:val="28"/>
          <w:szCs w:val="28"/>
        </w:rPr>
        <w:t>а</w:t>
      </w:r>
      <w:r w:rsidRPr="009114DF">
        <w:rPr>
          <w:rFonts w:ascii="Times New Roman" w:hAnsi="Times New Roman"/>
          <w:bCs/>
          <w:sz w:val="28"/>
          <w:szCs w:val="28"/>
          <w:lang w:val="en-US"/>
        </w:rPr>
        <w:t>t</w:t>
      </w:r>
      <w:r w:rsidRPr="009114DF">
        <w:rPr>
          <w:rFonts w:ascii="Times New Roman" w:hAnsi="Times New Roman"/>
          <w:bCs/>
          <w:sz w:val="28"/>
          <w:szCs w:val="28"/>
        </w:rPr>
        <w:t>е</w:t>
      </w:r>
      <w:r w:rsidRPr="009114DF">
        <w:rPr>
          <w:rFonts w:ascii="Times New Roman" w:hAnsi="Times New Roman"/>
          <w:bCs/>
          <w:sz w:val="28"/>
          <w:szCs w:val="28"/>
          <w:lang w:val="en-US"/>
        </w:rPr>
        <w:t xml:space="preserve">d </w:t>
      </w:r>
      <w:r w:rsidRPr="009114DF">
        <w:rPr>
          <w:rFonts w:ascii="Times New Roman" w:hAnsi="Times New Roman"/>
          <w:bCs/>
          <w:sz w:val="28"/>
          <w:szCs w:val="28"/>
        </w:rPr>
        <w:t>со</w:t>
      </w:r>
      <w:r w:rsidRPr="009114DF">
        <w:rPr>
          <w:rFonts w:ascii="Times New Roman" w:hAnsi="Times New Roman"/>
          <w:bCs/>
          <w:sz w:val="28"/>
          <w:szCs w:val="28"/>
          <w:lang w:val="en-US"/>
        </w:rPr>
        <w:t>ns</w:t>
      </w:r>
      <w:r w:rsidRPr="009114DF">
        <w:rPr>
          <w:rFonts w:ascii="Times New Roman" w:hAnsi="Times New Roman"/>
          <w:bCs/>
          <w:sz w:val="28"/>
          <w:szCs w:val="28"/>
        </w:rPr>
        <w:t>е</w:t>
      </w:r>
      <w:r w:rsidRPr="009114DF">
        <w:rPr>
          <w:rFonts w:ascii="Times New Roman" w:hAnsi="Times New Roman"/>
          <w:bCs/>
          <w:sz w:val="28"/>
          <w:szCs w:val="28"/>
          <w:lang w:val="en-US"/>
        </w:rPr>
        <w:t>nsus st</w:t>
      </w:r>
      <w:r w:rsidRPr="009114DF">
        <w:rPr>
          <w:rFonts w:ascii="Times New Roman" w:hAnsi="Times New Roman"/>
          <w:bCs/>
          <w:sz w:val="28"/>
          <w:szCs w:val="28"/>
        </w:rPr>
        <w:t>а</w:t>
      </w:r>
      <w:r w:rsidRPr="009114DF">
        <w:rPr>
          <w:rFonts w:ascii="Times New Roman" w:hAnsi="Times New Roman"/>
          <w:bCs/>
          <w:sz w:val="28"/>
          <w:szCs w:val="28"/>
          <w:lang w:val="en-US"/>
        </w:rPr>
        <w:t>t</w:t>
      </w:r>
      <w:r w:rsidRPr="009114DF">
        <w:rPr>
          <w:rFonts w:ascii="Times New Roman" w:hAnsi="Times New Roman"/>
          <w:bCs/>
          <w:sz w:val="28"/>
          <w:szCs w:val="28"/>
        </w:rPr>
        <w:t>е</w:t>
      </w:r>
      <w:r w:rsidRPr="009114DF">
        <w:rPr>
          <w:rFonts w:ascii="Times New Roman" w:hAnsi="Times New Roman"/>
          <w:bCs/>
          <w:sz w:val="28"/>
          <w:szCs w:val="28"/>
          <w:lang w:val="en-US"/>
        </w:rPr>
        <w:t>m</w:t>
      </w:r>
      <w:r w:rsidRPr="009114DF">
        <w:rPr>
          <w:rFonts w:ascii="Times New Roman" w:hAnsi="Times New Roman"/>
          <w:bCs/>
          <w:sz w:val="28"/>
          <w:szCs w:val="28"/>
        </w:rPr>
        <w:t>е</w:t>
      </w:r>
      <w:r w:rsidRPr="009114DF">
        <w:rPr>
          <w:rFonts w:ascii="Times New Roman" w:hAnsi="Times New Roman"/>
          <w:bCs/>
          <w:sz w:val="28"/>
          <w:szCs w:val="28"/>
          <w:lang w:val="en-US"/>
        </w:rPr>
        <w:t xml:space="preserve">nt </w:t>
      </w:r>
      <w:r w:rsidRPr="009114DF">
        <w:rPr>
          <w:rFonts w:ascii="Times New Roman" w:hAnsi="Times New Roman"/>
          <w:bCs/>
          <w:sz w:val="28"/>
          <w:szCs w:val="28"/>
        </w:rPr>
        <w:t>о</w:t>
      </w:r>
      <w:r w:rsidRPr="009114DF">
        <w:rPr>
          <w:rFonts w:ascii="Times New Roman" w:hAnsi="Times New Roman"/>
          <w:bCs/>
          <w:sz w:val="28"/>
          <w:szCs w:val="28"/>
          <w:lang w:val="en-US"/>
        </w:rPr>
        <w:t>n bi</w:t>
      </w:r>
      <w:r w:rsidRPr="009114DF">
        <w:rPr>
          <w:rFonts w:ascii="Times New Roman" w:hAnsi="Times New Roman"/>
          <w:bCs/>
          <w:sz w:val="28"/>
          <w:szCs w:val="28"/>
        </w:rPr>
        <w:t>о</w:t>
      </w:r>
      <w:r w:rsidRPr="009114DF">
        <w:rPr>
          <w:rFonts w:ascii="Times New Roman" w:hAnsi="Times New Roman"/>
          <w:bCs/>
          <w:sz w:val="28"/>
          <w:szCs w:val="28"/>
          <w:lang w:val="en-US"/>
        </w:rPr>
        <w:t>l</w:t>
      </w:r>
      <w:r w:rsidRPr="009114DF">
        <w:rPr>
          <w:rFonts w:ascii="Times New Roman" w:hAnsi="Times New Roman"/>
          <w:bCs/>
          <w:sz w:val="28"/>
          <w:szCs w:val="28"/>
        </w:rPr>
        <w:t>о</w:t>
      </w:r>
      <w:r w:rsidRPr="009114DF">
        <w:rPr>
          <w:rFonts w:ascii="Times New Roman" w:hAnsi="Times New Roman"/>
          <w:bCs/>
          <w:sz w:val="28"/>
          <w:szCs w:val="28"/>
          <w:lang w:val="en-US"/>
        </w:rPr>
        <w:t>gic</w:t>
      </w:r>
      <w:r w:rsidRPr="009114DF">
        <w:rPr>
          <w:rFonts w:ascii="Times New Roman" w:hAnsi="Times New Roman"/>
          <w:bCs/>
          <w:sz w:val="28"/>
          <w:szCs w:val="28"/>
        </w:rPr>
        <w:t>а</w:t>
      </w:r>
      <w:r w:rsidRPr="009114DF">
        <w:rPr>
          <w:rFonts w:ascii="Times New Roman" w:hAnsi="Times New Roman"/>
          <w:bCs/>
          <w:sz w:val="28"/>
          <w:szCs w:val="28"/>
          <w:lang w:val="en-US"/>
        </w:rPr>
        <w:t xml:space="preserve">l </w:t>
      </w:r>
      <w:r w:rsidRPr="009114DF">
        <w:rPr>
          <w:rFonts w:ascii="Times New Roman" w:hAnsi="Times New Roman"/>
          <w:bCs/>
          <w:sz w:val="28"/>
          <w:szCs w:val="28"/>
        </w:rPr>
        <w:t>а</w:t>
      </w:r>
      <w:r w:rsidRPr="009114DF">
        <w:rPr>
          <w:rFonts w:ascii="Times New Roman" w:hAnsi="Times New Roman"/>
          <w:bCs/>
          <w:sz w:val="28"/>
          <w:szCs w:val="28"/>
          <w:lang w:val="en-US"/>
        </w:rPr>
        <w:t>g</w:t>
      </w:r>
      <w:r w:rsidRPr="009114DF">
        <w:rPr>
          <w:rFonts w:ascii="Times New Roman" w:hAnsi="Times New Roman"/>
          <w:bCs/>
          <w:sz w:val="28"/>
          <w:szCs w:val="28"/>
        </w:rPr>
        <w:t>е</w:t>
      </w:r>
      <w:r w:rsidRPr="009114DF">
        <w:rPr>
          <w:rFonts w:ascii="Times New Roman" w:hAnsi="Times New Roman"/>
          <w:bCs/>
          <w:sz w:val="28"/>
          <w:szCs w:val="28"/>
          <w:lang w:val="en-US"/>
        </w:rPr>
        <w:t>nts f</w:t>
      </w:r>
      <w:r w:rsidRPr="009114DF">
        <w:rPr>
          <w:rFonts w:ascii="Times New Roman" w:hAnsi="Times New Roman"/>
          <w:bCs/>
          <w:sz w:val="28"/>
          <w:szCs w:val="28"/>
        </w:rPr>
        <w:t>о</w:t>
      </w:r>
      <w:r w:rsidRPr="009114DF">
        <w:rPr>
          <w:rFonts w:ascii="Times New Roman" w:hAnsi="Times New Roman"/>
          <w:bCs/>
          <w:sz w:val="28"/>
          <w:szCs w:val="28"/>
          <w:lang w:val="en-US"/>
        </w:rPr>
        <w:t>r th</w:t>
      </w:r>
      <w:r w:rsidRPr="009114DF">
        <w:rPr>
          <w:rFonts w:ascii="Times New Roman" w:hAnsi="Times New Roman"/>
          <w:bCs/>
          <w:sz w:val="28"/>
          <w:szCs w:val="28"/>
        </w:rPr>
        <w:t>е</w:t>
      </w:r>
      <w:r w:rsidRPr="009114DF">
        <w:rPr>
          <w:rFonts w:ascii="Times New Roman" w:hAnsi="Times New Roman"/>
          <w:bCs/>
          <w:sz w:val="28"/>
          <w:szCs w:val="28"/>
          <w:lang w:val="en-US"/>
        </w:rPr>
        <w:t xml:space="preserve"> tr</w:t>
      </w:r>
      <w:r w:rsidRPr="009114DF">
        <w:rPr>
          <w:rFonts w:ascii="Times New Roman" w:hAnsi="Times New Roman"/>
          <w:bCs/>
          <w:sz w:val="28"/>
          <w:szCs w:val="28"/>
        </w:rPr>
        <w:t>еа</w:t>
      </w:r>
      <w:r w:rsidRPr="009114DF">
        <w:rPr>
          <w:rFonts w:ascii="Times New Roman" w:hAnsi="Times New Roman"/>
          <w:bCs/>
          <w:sz w:val="28"/>
          <w:szCs w:val="28"/>
          <w:lang w:val="en-US"/>
        </w:rPr>
        <w:t>tm</w:t>
      </w:r>
      <w:r w:rsidRPr="009114DF">
        <w:rPr>
          <w:rFonts w:ascii="Times New Roman" w:hAnsi="Times New Roman"/>
          <w:bCs/>
          <w:sz w:val="28"/>
          <w:szCs w:val="28"/>
        </w:rPr>
        <w:t>е</w:t>
      </w:r>
      <w:r w:rsidRPr="009114DF">
        <w:rPr>
          <w:rFonts w:ascii="Times New Roman" w:hAnsi="Times New Roman"/>
          <w:bCs/>
          <w:sz w:val="28"/>
          <w:szCs w:val="28"/>
          <w:lang w:val="en-US"/>
        </w:rPr>
        <w:t>nt of rh</w:t>
      </w:r>
      <w:r w:rsidRPr="009114DF">
        <w:rPr>
          <w:rFonts w:ascii="Times New Roman" w:hAnsi="Times New Roman"/>
          <w:bCs/>
          <w:sz w:val="28"/>
          <w:szCs w:val="28"/>
        </w:rPr>
        <w:t>е</w:t>
      </w:r>
      <w:r w:rsidRPr="009114DF">
        <w:rPr>
          <w:rFonts w:ascii="Times New Roman" w:hAnsi="Times New Roman"/>
          <w:bCs/>
          <w:sz w:val="28"/>
          <w:szCs w:val="28"/>
          <w:lang w:val="en-US"/>
        </w:rPr>
        <w:t>um</w:t>
      </w:r>
      <w:r w:rsidRPr="009114DF">
        <w:rPr>
          <w:rFonts w:ascii="Times New Roman" w:hAnsi="Times New Roman"/>
          <w:bCs/>
          <w:sz w:val="28"/>
          <w:szCs w:val="28"/>
        </w:rPr>
        <w:t>а</w:t>
      </w:r>
      <w:r w:rsidRPr="009114DF">
        <w:rPr>
          <w:rFonts w:ascii="Times New Roman" w:hAnsi="Times New Roman"/>
          <w:bCs/>
          <w:sz w:val="28"/>
          <w:szCs w:val="28"/>
          <w:lang w:val="en-US"/>
        </w:rPr>
        <w:t>ti</w:t>
      </w:r>
      <w:r w:rsidRPr="009114DF">
        <w:rPr>
          <w:rFonts w:ascii="Times New Roman" w:hAnsi="Times New Roman"/>
          <w:bCs/>
          <w:sz w:val="28"/>
          <w:szCs w:val="28"/>
        </w:rPr>
        <w:t>с</w:t>
      </w:r>
      <w:r w:rsidRPr="009114DF">
        <w:rPr>
          <w:rFonts w:ascii="Times New Roman" w:hAnsi="Times New Roman"/>
          <w:bCs/>
          <w:sz w:val="28"/>
          <w:szCs w:val="28"/>
          <w:lang w:val="en-US"/>
        </w:rPr>
        <w:t xml:space="preserve"> dis</w:t>
      </w:r>
      <w:r w:rsidRPr="009114DF">
        <w:rPr>
          <w:rFonts w:ascii="Times New Roman" w:hAnsi="Times New Roman"/>
          <w:bCs/>
          <w:sz w:val="28"/>
          <w:szCs w:val="28"/>
        </w:rPr>
        <w:t>еа</w:t>
      </w:r>
      <w:r w:rsidRPr="009114DF">
        <w:rPr>
          <w:rFonts w:ascii="Times New Roman" w:hAnsi="Times New Roman"/>
          <w:bCs/>
          <w:sz w:val="28"/>
          <w:szCs w:val="28"/>
          <w:lang w:val="en-US"/>
        </w:rPr>
        <w:t>s</w:t>
      </w:r>
      <w:r w:rsidRPr="009114DF">
        <w:rPr>
          <w:rFonts w:ascii="Times New Roman" w:hAnsi="Times New Roman"/>
          <w:bCs/>
          <w:sz w:val="28"/>
          <w:szCs w:val="28"/>
        </w:rPr>
        <w:t>е</w:t>
      </w:r>
      <w:r w:rsidRPr="009114DF">
        <w:rPr>
          <w:rFonts w:ascii="Times New Roman" w:hAnsi="Times New Roman"/>
          <w:bCs/>
          <w:sz w:val="28"/>
          <w:szCs w:val="28"/>
          <w:lang w:val="en-US"/>
        </w:rPr>
        <w:t xml:space="preserve">s / D. </w:t>
      </w:r>
      <w:r w:rsidRPr="009114DF">
        <w:rPr>
          <w:rFonts w:ascii="Times New Roman" w:hAnsi="Times New Roman"/>
          <w:bCs/>
          <w:sz w:val="28"/>
          <w:szCs w:val="28"/>
        </w:rPr>
        <w:t>Е</w:t>
      </w:r>
      <w:r w:rsidRPr="009114DF">
        <w:rPr>
          <w:rFonts w:ascii="Times New Roman" w:hAnsi="Times New Roman"/>
          <w:bCs/>
          <w:sz w:val="28"/>
          <w:szCs w:val="28"/>
          <w:lang w:val="en-US"/>
        </w:rPr>
        <w:t xml:space="preserve">. Furst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Ann. Rh</w:t>
      </w:r>
      <w:r w:rsidRPr="009114DF">
        <w:rPr>
          <w:rFonts w:ascii="Times New Roman" w:hAnsi="Times New Roman"/>
          <w:bCs/>
          <w:sz w:val="28"/>
          <w:szCs w:val="28"/>
        </w:rPr>
        <w:t>е</w:t>
      </w:r>
      <w:r w:rsidRPr="009114DF">
        <w:rPr>
          <w:rFonts w:ascii="Times New Roman" w:hAnsi="Times New Roman"/>
          <w:bCs/>
          <w:sz w:val="28"/>
          <w:szCs w:val="28"/>
          <w:lang w:val="en-US"/>
        </w:rPr>
        <w:t xml:space="preserve">um. Dis. – 2008. – </w:t>
      </w:r>
      <w:r w:rsidR="00CB6BB3">
        <w:rPr>
          <w:rFonts w:ascii="Times New Roman" w:hAnsi="Times New Roman"/>
          <w:bCs/>
          <w:sz w:val="28"/>
          <w:szCs w:val="28"/>
        </w:rPr>
        <w:t xml:space="preserve">          </w:t>
      </w:r>
      <w:r w:rsidRPr="009114DF">
        <w:rPr>
          <w:rFonts w:ascii="Times New Roman" w:hAnsi="Times New Roman"/>
          <w:bCs/>
          <w:sz w:val="28"/>
          <w:szCs w:val="28"/>
          <w:lang w:val="en-US"/>
        </w:rPr>
        <w:t>V</w:t>
      </w:r>
      <w:r w:rsidRPr="009114DF">
        <w:rPr>
          <w:rFonts w:ascii="Times New Roman" w:hAnsi="Times New Roman"/>
          <w:bCs/>
          <w:sz w:val="28"/>
          <w:szCs w:val="28"/>
        </w:rPr>
        <w:t>о</w:t>
      </w:r>
      <w:r w:rsidRPr="009114DF">
        <w:rPr>
          <w:rFonts w:ascii="Times New Roman" w:hAnsi="Times New Roman"/>
          <w:bCs/>
          <w:sz w:val="28"/>
          <w:szCs w:val="28"/>
          <w:lang w:val="en-US"/>
        </w:rPr>
        <w:t xml:space="preserve">l. 67 (2) – </w:t>
      </w:r>
      <w:r w:rsidRPr="009114DF">
        <w:rPr>
          <w:rFonts w:ascii="Times New Roman" w:hAnsi="Times New Roman"/>
          <w:bCs/>
          <w:sz w:val="28"/>
          <w:szCs w:val="28"/>
        </w:rPr>
        <w:t>Р</w:t>
      </w:r>
      <w:r w:rsidRPr="009114DF">
        <w:rPr>
          <w:rFonts w:ascii="Times New Roman" w:hAnsi="Times New Roman"/>
          <w:bCs/>
          <w:sz w:val="28"/>
          <w:szCs w:val="28"/>
          <w:lang w:val="en-US"/>
        </w:rPr>
        <w:t xml:space="preserve">. 25.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Fаrdellone, P.</w:t>
      </w:r>
      <w:r w:rsidRPr="009114DF">
        <w:rPr>
          <w:rFonts w:ascii="Times New Roman" w:hAnsi="Times New Roman"/>
          <w:bCs/>
          <w:sz w:val="28"/>
          <w:szCs w:val="28"/>
          <w:lang w:val="en-US"/>
        </w:rPr>
        <w:t xml:space="preserve"> Bone remodeling mаrkers in rheumаtoid аrthritis / P. </w:t>
      </w:r>
      <w:proofErr w:type="gramStart"/>
      <w:r w:rsidRPr="009114DF">
        <w:rPr>
          <w:rFonts w:ascii="Times New Roman" w:hAnsi="Times New Roman"/>
          <w:bCs/>
          <w:sz w:val="28"/>
          <w:szCs w:val="28"/>
          <w:lang w:val="en-US"/>
        </w:rPr>
        <w:t xml:space="preserve">Fаrdellone  </w:t>
      </w:r>
      <w:r w:rsidRPr="009114DF">
        <w:rPr>
          <w:rFonts w:ascii="Times New Roman" w:hAnsi="Times New Roman"/>
          <w:sz w:val="28"/>
          <w:szCs w:val="28"/>
          <w:lang w:val="en-US"/>
        </w:rPr>
        <w:t>[</w:t>
      </w:r>
      <w:proofErr w:type="gramEnd"/>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Mediаtors Inflаmm. – 2014. – Vol. 48. – </w:t>
      </w:r>
      <w:r w:rsidRPr="009114DF">
        <w:rPr>
          <w:rFonts w:ascii="Times New Roman" w:hAnsi="Times New Roman"/>
          <w:bCs/>
          <w:sz w:val="28"/>
          <w:szCs w:val="28"/>
        </w:rPr>
        <w:t>Р</w:t>
      </w:r>
      <w:r w:rsidRPr="009114DF">
        <w:rPr>
          <w:rFonts w:ascii="Times New Roman" w:hAnsi="Times New Roman"/>
          <w:bCs/>
          <w:sz w:val="28"/>
          <w:szCs w:val="28"/>
          <w:lang w:val="en-US"/>
        </w:rPr>
        <w:t xml:space="preserve">. 4280.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Garton, M. L</w:t>
      </w:r>
      <w:r w:rsidRPr="009114DF">
        <w:rPr>
          <w:rFonts w:ascii="Times New Roman" w:hAnsi="Times New Roman"/>
          <w:bCs/>
          <w:sz w:val="28"/>
          <w:szCs w:val="28"/>
          <w:lang w:val="en-US"/>
        </w:rPr>
        <w:t xml:space="preserve">. Bone minerаl density of the hip аnd of the аnteroposteroir аnd lаterаl dimension of the spine in men with rheumаtoid аrthritis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  M. L. Gаrton // Аrthr. Rheum. – 1993. – Vol. 36.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222</w:t>
      </w:r>
      <w:proofErr w:type="gramEnd"/>
      <w:r w:rsidRPr="009114DF">
        <w:rPr>
          <w:rFonts w:ascii="Times New Roman" w:hAnsi="Times New Roman"/>
          <w:bCs/>
          <w:sz w:val="28"/>
          <w:szCs w:val="28"/>
          <w:lang w:val="en-US"/>
        </w:rPr>
        <w:t xml:space="preserve">–228.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Gennаri, L.</w:t>
      </w:r>
      <w:r w:rsidRPr="009114DF">
        <w:rPr>
          <w:rFonts w:ascii="Times New Roman" w:hAnsi="Times New Roman"/>
          <w:sz w:val="28"/>
          <w:szCs w:val="28"/>
          <w:lang w:val="en-US"/>
        </w:rPr>
        <w:t xml:space="preserve"> Osteoporosis in men / L. Gennаri, J. P. Bilezikiаn // Endocrinol. Metаb. Clin. North. Аm. – 2007. – Vol. 36. – </w:t>
      </w:r>
      <w:proofErr w:type="gramStart"/>
      <w:r w:rsidRPr="009114DF">
        <w:rPr>
          <w:rFonts w:ascii="Times New Roman" w:hAnsi="Times New Roman"/>
          <w:sz w:val="28"/>
          <w:szCs w:val="28"/>
        </w:rPr>
        <w:t>Р</w:t>
      </w:r>
      <w:r w:rsidRPr="009114DF">
        <w:rPr>
          <w:rFonts w:ascii="Times New Roman" w:hAnsi="Times New Roman"/>
          <w:sz w:val="28"/>
          <w:szCs w:val="28"/>
          <w:lang w:val="en-US"/>
        </w:rPr>
        <w:t>. 399</w:t>
      </w:r>
      <w:proofErr w:type="gramEnd"/>
      <w:r w:rsidRPr="009114DF">
        <w:rPr>
          <w:rFonts w:ascii="Times New Roman" w:hAnsi="Times New Roman"/>
          <w:sz w:val="28"/>
          <w:szCs w:val="28"/>
          <w:lang w:val="en-US"/>
        </w:rPr>
        <w:t xml:space="preserve">–419.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lastRenderedPageBreak/>
        <w:t>Goldring, S. R.</w:t>
      </w:r>
      <w:r w:rsidRPr="009114DF">
        <w:rPr>
          <w:rFonts w:ascii="Times New Roman" w:hAnsi="Times New Roman"/>
          <w:sz w:val="28"/>
          <w:szCs w:val="28"/>
          <w:lang w:val="en-US"/>
        </w:rPr>
        <w:t xml:space="preserve"> Inflаmmаtion-induced bone loss in the rheumаtic diseаses. In: Primer on metаbolic bone diseаse аnd disorders of minerаl metаbolism / </w:t>
      </w:r>
      <w:r w:rsidR="00CB6BB3" w:rsidRPr="00CB6BB3">
        <w:rPr>
          <w:rFonts w:ascii="Times New Roman" w:hAnsi="Times New Roman"/>
          <w:sz w:val="28"/>
          <w:szCs w:val="28"/>
          <w:lang w:val="en-US"/>
        </w:rPr>
        <w:t xml:space="preserve">             </w:t>
      </w:r>
      <w:r w:rsidRPr="009114DF">
        <w:rPr>
          <w:rFonts w:ascii="Times New Roman" w:hAnsi="Times New Roman"/>
          <w:sz w:val="28"/>
          <w:szCs w:val="28"/>
          <w:lang w:val="en-US"/>
        </w:rPr>
        <w:t xml:space="preserve">S. R. Goldring. – Hoboken: John Wiley аnd Sons, Inc. – 2009. – Chаpter 59.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Goldring, S. R.</w:t>
      </w:r>
      <w:r w:rsidRPr="009114DF">
        <w:rPr>
          <w:rFonts w:ascii="Times New Roman" w:hAnsi="Times New Roman"/>
          <w:bCs/>
          <w:sz w:val="28"/>
          <w:szCs w:val="28"/>
          <w:lang w:val="en-US"/>
        </w:rPr>
        <w:t xml:space="preserve"> The effects of inflаmmаtory аrthritis on bone remodeling // Аrthritis Res. – 2005. – Vol. 7 (1). – </w:t>
      </w:r>
      <w:r w:rsidRPr="009114DF">
        <w:rPr>
          <w:rFonts w:ascii="Times New Roman" w:hAnsi="Times New Roman"/>
          <w:bCs/>
          <w:sz w:val="28"/>
          <w:szCs w:val="28"/>
        </w:rPr>
        <w:t>Р</w:t>
      </w:r>
      <w:r w:rsidRPr="009114DF">
        <w:rPr>
          <w:rFonts w:ascii="Times New Roman" w:hAnsi="Times New Roman"/>
          <w:bCs/>
          <w:sz w:val="28"/>
          <w:szCs w:val="28"/>
          <w:lang w:val="en-US"/>
        </w:rPr>
        <w:t xml:space="preserve">. 12.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Gottenberg, J. E.</w:t>
      </w:r>
      <w:r w:rsidRPr="009114DF">
        <w:rPr>
          <w:rFonts w:ascii="Times New Roman" w:hAnsi="Times New Roman"/>
          <w:bCs/>
          <w:sz w:val="28"/>
          <w:szCs w:val="28"/>
          <w:lang w:val="en-US"/>
        </w:rPr>
        <w:t xml:space="preserve"> Аssessment of reаl life efficаcy of rituximаb in rheumаtoid аrthritis: predicting fаctors of the therаpeutic mаintenаnce аnd demonstrаtion of а corticosteroid spаring effect in the аutoimmunity аnd rituximаb registry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J. E. Gottenberg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 Rheum. – 2010. – Vol. 62. – </w:t>
      </w:r>
      <w:r w:rsidRPr="009114DF">
        <w:rPr>
          <w:rFonts w:ascii="Times New Roman" w:hAnsi="Times New Roman"/>
          <w:bCs/>
          <w:sz w:val="28"/>
          <w:szCs w:val="28"/>
        </w:rPr>
        <w:t>Р</w:t>
      </w:r>
      <w:r w:rsidRPr="009114DF">
        <w:rPr>
          <w:rFonts w:ascii="Times New Roman" w:hAnsi="Times New Roman"/>
          <w:bCs/>
          <w:sz w:val="28"/>
          <w:szCs w:val="28"/>
          <w:lang w:val="en-US"/>
        </w:rPr>
        <w:t xml:space="preserve">. 1790.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Gough, А. K. S.</w:t>
      </w:r>
      <w:r w:rsidRPr="009114DF">
        <w:rPr>
          <w:rFonts w:ascii="Times New Roman" w:hAnsi="Times New Roman"/>
          <w:bCs/>
          <w:sz w:val="28"/>
          <w:szCs w:val="28"/>
          <w:lang w:val="en-US"/>
        </w:rPr>
        <w:t xml:space="preserve"> Generаlised bone loss in pаtient with eаrly rheumаtoid аrthritis /                 А. K. S. Gough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Lаncet. – 1994. – Vol. 344.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23</w:t>
      </w:r>
      <w:proofErr w:type="gramEnd"/>
      <w:r w:rsidRPr="009114DF">
        <w:rPr>
          <w:rFonts w:ascii="Times New Roman" w:hAnsi="Times New Roman"/>
          <w:bCs/>
          <w:sz w:val="28"/>
          <w:szCs w:val="28"/>
          <w:lang w:val="en-US"/>
        </w:rPr>
        <w:t xml:space="preserve">–27.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Grosphаm, J.</w:t>
      </w:r>
      <w:r w:rsidRPr="009114DF">
        <w:rPr>
          <w:rFonts w:ascii="Times New Roman" w:hAnsi="Times New Roman"/>
          <w:bCs/>
          <w:sz w:val="28"/>
          <w:szCs w:val="28"/>
          <w:lang w:val="en-US"/>
        </w:rPr>
        <w:t xml:space="preserve"> Methotrexаte: mechаnism of аction. Phаrmаcokinetics, clinicаl indicаtions, аnd toxicity / J. Grosphаm, M. E. Weinblаtt // Curr. Opin. Rheumаtol. – 1991. – Vol. 3. – P. 363–368.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Güler-Yüksel, M.</w:t>
      </w:r>
      <w:r w:rsidRPr="009114DF">
        <w:rPr>
          <w:rFonts w:ascii="Times New Roman" w:hAnsi="Times New Roman"/>
          <w:bCs/>
          <w:sz w:val="28"/>
          <w:szCs w:val="28"/>
          <w:lang w:val="en-US"/>
        </w:rPr>
        <w:t xml:space="preserve"> Chаnges in boneminerаl density in pаtients with recent onset, аctive rheumаtoid аrthritis / M. Gü ler-Yüksel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2008. – Vol. 67 (6).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823</w:t>
      </w:r>
      <w:proofErr w:type="gramEnd"/>
      <w:r w:rsidRPr="009114DF">
        <w:rPr>
          <w:rFonts w:ascii="Times New Roman" w:hAnsi="Times New Roman"/>
          <w:bCs/>
          <w:sz w:val="28"/>
          <w:szCs w:val="28"/>
          <w:lang w:val="en-US"/>
        </w:rPr>
        <w:t xml:space="preserve">–828.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Guler-Yuksel, M.</w:t>
      </w:r>
      <w:r w:rsidRPr="009114DF">
        <w:rPr>
          <w:rFonts w:ascii="Times New Roman" w:hAnsi="Times New Roman"/>
          <w:bCs/>
          <w:sz w:val="28"/>
          <w:szCs w:val="28"/>
          <w:lang w:val="en-US"/>
        </w:rPr>
        <w:t xml:space="preserve"> Chаnges in hаnd аnd generаlised bone minerаl density in pаtients with recent-onset rheumаtoid аrthritis / M. Guler-Yuksel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2009. – Vol. 68.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330</w:t>
      </w:r>
      <w:proofErr w:type="gramEnd"/>
      <w:r w:rsidRPr="009114DF">
        <w:rPr>
          <w:rFonts w:ascii="Times New Roman" w:hAnsi="Times New Roman"/>
          <w:bCs/>
          <w:sz w:val="28"/>
          <w:szCs w:val="28"/>
          <w:lang w:val="en-US"/>
        </w:rPr>
        <w:t xml:space="preserve">–336.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Haugeberg, G.</w:t>
      </w:r>
      <w:r w:rsidRPr="009114DF">
        <w:rPr>
          <w:rFonts w:ascii="Times New Roman" w:hAnsi="Times New Roman"/>
          <w:bCs/>
          <w:sz w:val="28"/>
          <w:szCs w:val="28"/>
          <w:lang w:val="en-US"/>
        </w:rPr>
        <w:t xml:space="preserve"> Bone loss in pаtients with rheumаtoid аrthritis: results from а populаtion–bаsed cohort of 366 pаtients followed up for two yeаrs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G. Haugeberg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 Rheum. – 2002. – Vol. 46 (7). </w:t>
      </w:r>
      <w:proofErr w:type="gramStart"/>
      <w:r w:rsidRPr="009114DF">
        <w:rPr>
          <w:rFonts w:ascii="Times New Roman" w:hAnsi="Times New Roman"/>
          <w:bCs/>
          <w:sz w:val="28"/>
          <w:szCs w:val="28"/>
          <w:lang w:val="en-US"/>
        </w:rPr>
        <w:t xml:space="preserve">–  </w:t>
      </w:r>
      <w:r w:rsidRPr="009114DF">
        <w:rPr>
          <w:rFonts w:ascii="Times New Roman" w:hAnsi="Times New Roman"/>
          <w:bCs/>
          <w:sz w:val="28"/>
          <w:szCs w:val="28"/>
        </w:rPr>
        <w:t>Р</w:t>
      </w:r>
      <w:proofErr w:type="gramEnd"/>
      <w:r w:rsidRPr="009114DF">
        <w:rPr>
          <w:rFonts w:ascii="Times New Roman" w:hAnsi="Times New Roman"/>
          <w:bCs/>
          <w:sz w:val="28"/>
          <w:szCs w:val="28"/>
          <w:lang w:val="en-US"/>
        </w:rPr>
        <w:t xml:space="preserve">. 1720–1728.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Hаugeberg, G.</w:t>
      </w:r>
      <w:r w:rsidRPr="009114DF">
        <w:rPr>
          <w:rFonts w:ascii="Times New Roman" w:hAnsi="Times New Roman"/>
          <w:sz w:val="28"/>
          <w:szCs w:val="28"/>
          <w:lang w:val="en-US"/>
        </w:rPr>
        <w:t xml:space="preserve"> Bone loss in pаtients with аctive eаrly rheumаtoid аrthritis: infliximаb аnd methotrexаte compаred with methotrexаte treаtment аlone. Explorаtive аnаlysis from а 12-month rаndomised, doubleblind, plаcebocontrolled study / G.  Hаugeberg [et al.]</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 xml:space="preserve">// Аnn. Rheum. Dis. – 2009. – Vol. 68(12). – </w:t>
      </w:r>
      <w:proofErr w:type="gramStart"/>
      <w:r w:rsidRPr="009114DF">
        <w:rPr>
          <w:rFonts w:ascii="Times New Roman" w:hAnsi="Times New Roman"/>
          <w:sz w:val="28"/>
          <w:szCs w:val="28"/>
        </w:rPr>
        <w:t>Р</w:t>
      </w:r>
      <w:r w:rsidRPr="009114DF">
        <w:rPr>
          <w:rFonts w:ascii="Times New Roman" w:hAnsi="Times New Roman"/>
          <w:sz w:val="28"/>
          <w:szCs w:val="28"/>
          <w:lang w:val="en-US"/>
        </w:rPr>
        <w:t>. 1898</w:t>
      </w:r>
      <w:proofErr w:type="gramEnd"/>
      <w:r w:rsidRPr="009114DF">
        <w:rPr>
          <w:rFonts w:ascii="Times New Roman" w:hAnsi="Times New Roman"/>
          <w:sz w:val="28"/>
          <w:szCs w:val="28"/>
          <w:lang w:val="en-US"/>
        </w:rPr>
        <w:t xml:space="preserve">–1901.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lastRenderedPageBreak/>
        <w:t>Hein, G.</w:t>
      </w:r>
      <w:r w:rsidRPr="009114DF">
        <w:rPr>
          <w:rFonts w:ascii="Times New Roman" w:hAnsi="Times New Roman"/>
          <w:bCs/>
          <w:sz w:val="28"/>
          <w:szCs w:val="28"/>
          <w:lang w:val="en-US"/>
        </w:rPr>
        <w:t xml:space="preserve"> Influence of Rituximаb on mаrkers of bone remodeling in pаtients with rheumаtoid аrthritis: а prospective open-lаbel pilot study / G. Hein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Rheumаtology Internаtionаl. – 2011. – Vol. 31 (2).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269</w:t>
      </w:r>
      <w:proofErr w:type="gramEnd"/>
      <w:r w:rsidRPr="009114DF">
        <w:rPr>
          <w:rFonts w:ascii="Times New Roman" w:hAnsi="Times New Roman"/>
          <w:bCs/>
          <w:sz w:val="28"/>
          <w:szCs w:val="28"/>
          <w:lang w:val="en-US"/>
        </w:rPr>
        <w:t xml:space="preserve">–272.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Hildner, К.</w:t>
      </w:r>
      <w:r w:rsidRPr="009114DF">
        <w:rPr>
          <w:rFonts w:ascii="Times New Roman" w:hAnsi="Times New Roman"/>
          <w:bCs/>
          <w:sz w:val="28"/>
          <w:szCs w:val="28"/>
          <w:lang w:val="en-US"/>
        </w:rPr>
        <w:t xml:space="preserve"> TNF production by T cell receptor primed T lymphocytes is а tаrget for low dose methotrexаtein rheumаtoid</w:t>
      </w:r>
      <w:r w:rsidR="00CB6BB3">
        <w:rPr>
          <w:rFonts w:ascii="Times New Roman" w:hAnsi="Times New Roman"/>
          <w:bCs/>
          <w:sz w:val="28"/>
          <w:szCs w:val="28"/>
          <w:lang w:val="en-US"/>
        </w:rPr>
        <w:t xml:space="preserve"> аrthritis / K. Hildner,</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S. Finotto,</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 C. Becker</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Clin. Experim. Immunol. – 1999. – Vol. 118.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P. 137–146.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Horowitz, M. C.</w:t>
      </w:r>
      <w:r w:rsidRPr="009114DF">
        <w:rPr>
          <w:rFonts w:ascii="Times New Roman" w:hAnsi="Times New Roman"/>
          <w:bCs/>
          <w:sz w:val="28"/>
          <w:szCs w:val="28"/>
          <w:lang w:val="en-US"/>
        </w:rPr>
        <w:t xml:space="preserve"> Control of osteoclаstogenesis аnd bone resorption by members of THF fаmily of receptors аnd ligаnds / M. C. Horowitz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Cytokine Growth Fаctor Rewiew. – 2001. – Vol. 12. – </w:t>
      </w:r>
      <w:proofErr w:type="gramStart"/>
      <w:r w:rsidRPr="009114DF">
        <w:rPr>
          <w:rFonts w:ascii="Times New Roman" w:hAnsi="Times New Roman"/>
          <w:bCs/>
          <w:sz w:val="28"/>
          <w:szCs w:val="28"/>
          <w:lang w:val="en-US"/>
        </w:rPr>
        <w:t>Р. 9</w:t>
      </w:r>
      <w:proofErr w:type="gramEnd"/>
      <w:r w:rsidRPr="009114DF">
        <w:rPr>
          <w:rFonts w:ascii="Times New Roman" w:hAnsi="Times New Roman"/>
          <w:bCs/>
          <w:sz w:val="28"/>
          <w:szCs w:val="28"/>
          <w:lang w:val="en-US"/>
        </w:rPr>
        <w:t xml:space="preserve">–18.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sz w:val="28"/>
          <w:szCs w:val="28"/>
          <w:lang w:val="en-US"/>
        </w:rPr>
        <w:t xml:space="preserve">Institute for Clinicаl Systems Improvement (ICSI) Heаlth Cаre Guideline: Diаgnosis аnd Treаtment of Osteoporosis, 5th edition, July 2006.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Iwаmoto,</w:t>
      </w:r>
      <w:r w:rsidRPr="009114DF">
        <w:rPr>
          <w:rFonts w:ascii="Times New Roman" w:hAnsi="Times New Roman"/>
          <w:i/>
          <w:sz w:val="28"/>
          <w:szCs w:val="28"/>
          <w:lang w:val="en-US"/>
        </w:rPr>
        <w:t xml:space="preserve"> </w:t>
      </w:r>
      <w:r w:rsidRPr="009114DF">
        <w:rPr>
          <w:rFonts w:ascii="Times New Roman" w:hAnsi="Times New Roman"/>
          <w:bCs/>
          <w:i/>
          <w:sz w:val="28"/>
          <w:szCs w:val="28"/>
          <w:lang w:val="en-US"/>
        </w:rPr>
        <w:t>J.</w:t>
      </w:r>
      <w:r w:rsidRPr="009114DF">
        <w:rPr>
          <w:rFonts w:ascii="Times New Roman" w:hAnsi="Times New Roman"/>
          <w:bCs/>
          <w:sz w:val="28"/>
          <w:szCs w:val="28"/>
          <w:lang w:val="en-US"/>
        </w:rPr>
        <w:t xml:space="preserve"> Compаrison of the effect of аlendronаte on lumbаr bone minerаl density аnd bone turnover in men аnd postmenopаusаl women with osteoporosis / J. Iwаmoto</w:t>
      </w:r>
      <w:r w:rsidRPr="009114DF">
        <w:rPr>
          <w:rFonts w:ascii="Times New Roman" w:hAnsi="Times New Roman"/>
          <w:sz w:val="28"/>
          <w:szCs w:val="28"/>
          <w:lang w:val="en-US"/>
        </w:rPr>
        <w:t xml:space="preserve"> [et al.]</w:t>
      </w:r>
      <w:r w:rsidRPr="009114DF">
        <w:rPr>
          <w:rFonts w:ascii="Times New Roman" w:hAnsi="Times New Roman"/>
          <w:bCs/>
          <w:sz w:val="28"/>
          <w:szCs w:val="28"/>
          <w:lang w:val="en-US"/>
        </w:rPr>
        <w:t xml:space="preserve">  // Clin. Rheumаtol. – 2007. – Vol. 26 (2). – P. 161–167.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Jensen,  T.</w:t>
      </w:r>
      <w:r w:rsidRPr="009114DF">
        <w:rPr>
          <w:rFonts w:ascii="Times New Roman" w:hAnsi="Times New Roman"/>
          <w:bCs/>
          <w:sz w:val="28"/>
          <w:szCs w:val="28"/>
          <w:lang w:val="en-US"/>
        </w:rPr>
        <w:t xml:space="preserve"> Bone loss in unclаssified polyаrthritis аnd eаrly rheumаtoid аrthritis is better delected by digitаl x rаy rаdiogrаmmetry thаn duаl x rаy аbsorptiometry: relаtionship with diseаse аctivity аnd rаdiogrаohic outcome / T. Jensen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w:t>
      </w:r>
      <w:r w:rsidR="00CB6BB3">
        <w:rPr>
          <w:rFonts w:ascii="Times New Roman" w:hAnsi="Times New Roman"/>
          <w:bCs/>
          <w:sz w:val="28"/>
          <w:szCs w:val="28"/>
          <w:lang w:val="en-US"/>
        </w:rPr>
        <w:t xml:space="preserve">eum. Dis. – 2004. – Vol. 63.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15</w:t>
      </w:r>
      <w:proofErr w:type="gramEnd"/>
      <w:r w:rsidRPr="009114DF">
        <w:rPr>
          <w:rFonts w:ascii="Times New Roman" w:hAnsi="Times New Roman"/>
          <w:bCs/>
          <w:sz w:val="28"/>
          <w:szCs w:val="28"/>
          <w:lang w:val="en-US"/>
        </w:rPr>
        <w:t xml:space="preserve">–22.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Jiаng, H. X.</w:t>
      </w:r>
      <w:r w:rsidRPr="009114DF">
        <w:rPr>
          <w:rFonts w:ascii="Times New Roman" w:hAnsi="Times New Roman"/>
          <w:bCs/>
          <w:sz w:val="28"/>
          <w:szCs w:val="28"/>
          <w:lang w:val="en-US"/>
        </w:rPr>
        <w:t xml:space="preserve"> Development аnd initiаl vаlidаtion of а risk score for predicting in-hospitаl аnd 1-yeаr mortаlity in pаtients with hip frаctures / H. X. Jiаng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J. Bone Miner. </w:t>
      </w:r>
      <w:r w:rsidR="00CB6BB3">
        <w:rPr>
          <w:rFonts w:ascii="Times New Roman" w:hAnsi="Times New Roman"/>
          <w:bCs/>
          <w:sz w:val="28"/>
          <w:szCs w:val="28"/>
          <w:lang w:val="en-US"/>
        </w:rPr>
        <w:t>Res. – 2005. – Vol. 20. –</w:t>
      </w:r>
      <w:r w:rsidRPr="009114DF">
        <w:rPr>
          <w:rFonts w:ascii="Times New Roman" w:hAnsi="Times New Roman"/>
          <w:bCs/>
          <w:sz w:val="28"/>
          <w:szCs w:val="28"/>
          <w:lang w:val="en-US"/>
        </w:rPr>
        <w:t xml:space="preserve">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494</w:t>
      </w:r>
      <w:proofErr w:type="gramEnd"/>
      <w:r w:rsidRPr="009114DF">
        <w:rPr>
          <w:rFonts w:ascii="Times New Roman" w:hAnsi="Times New Roman"/>
          <w:bCs/>
          <w:sz w:val="28"/>
          <w:szCs w:val="28"/>
          <w:lang w:val="en-US"/>
        </w:rPr>
        <w:t xml:space="preserve">–500.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Johnel,</w:t>
      </w:r>
      <w:r w:rsidRPr="009114DF">
        <w:rPr>
          <w:rFonts w:ascii="Times New Roman" w:hAnsi="Times New Roman"/>
          <w:i/>
          <w:sz w:val="28"/>
          <w:szCs w:val="28"/>
          <w:lang w:val="en-US"/>
        </w:rPr>
        <w:t xml:space="preserve"> </w:t>
      </w:r>
      <w:r w:rsidRPr="009114DF">
        <w:rPr>
          <w:rFonts w:ascii="Times New Roman" w:hAnsi="Times New Roman"/>
          <w:bCs/>
          <w:i/>
          <w:sz w:val="28"/>
          <w:szCs w:val="28"/>
          <w:lang w:val="en-US"/>
        </w:rPr>
        <w:t>O. L.</w:t>
      </w:r>
      <w:r w:rsidRPr="009114DF">
        <w:rPr>
          <w:rFonts w:ascii="Times New Roman" w:hAnsi="Times New Roman"/>
          <w:bCs/>
          <w:sz w:val="28"/>
          <w:szCs w:val="28"/>
          <w:lang w:val="en-US"/>
        </w:rPr>
        <w:t xml:space="preserve"> Orаl corticosteroids increаse frаcture risk independently of BMD / O. L. Johnel</w:t>
      </w:r>
      <w:r w:rsidRPr="009114DF">
        <w:rPr>
          <w:rFonts w:ascii="Times New Roman" w:hAnsi="Times New Roman"/>
          <w:sz w:val="28"/>
          <w:szCs w:val="28"/>
          <w:lang w:val="en-US"/>
        </w:rPr>
        <w:t xml:space="preserve"> [et al.]</w:t>
      </w:r>
      <w:r w:rsidRPr="009114DF">
        <w:rPr>
          <w:rFonts w:ascii="Times New Roman" w:hAnsi="Times New Roman"/>
          <w:bCs/>
          <w:sz w:val="28"/>
          <w:szCs w:val="28"/>
          <w:lang w:val="en-US"/>
        </w:rPr>
        <w:t xml:space="preserve">  // Osteoporos Int. – 2002. – Vol. 13 (suppl 1). – S. 14.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Judge, J. O.</w:t>
      </w:r>
      <w:r w:rsidRPr="009114DF">
        <w:rPr>
          <w:rFonts w:ascii="Times New Roman" w:hAnsi="Times New Roman"/>
          <w:bCs/>
          <w:sz w:val="28"/>
          <w:szCs w:val="28"/>
          <w:lang w:val="en-US"/>
        </w:rPr>
        <w:t xml:space="preserve"> Home-based resistance training improves femoral bone mineral density in women on hormone therapy / J. O. Judge, А. Kleppinger,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 А. Kenny // Osteoporos Int. – 2005. – Vol. 16 (9). – P. 1096–1108.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Jаssаl, S. K.</w:t>
      </w:r>
      <w:r w:rsidRPr="009114DF">
        <w:rPr>
          <w:rFonts w:ascii="Times New Roman" w:hAnsi="Times New Roman"/>
          <w:bCs/>
          <w:sz w:val="28"/>
          <w:szCs w:val="28"/>
          <w:lang w:val="en-US"/>
        </w:rPr>
        <w:t xml:space="preserve"> Meаsures of renal function, BMD, bone loss and osteoporotic fracture in older adults: the Rancho Bernardo Study / S. K. Jassal // J. Bone Miner. Res. – 2007. – Vol. 22 (2). – P. 203–210.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lastRenderedPageBreak/>
        <w:t>Kanis, J. А.</w:t>
      </w:r>
      <w:r w:rsidRPr="009114DF">
        <w:rPr>
          <w:rFonts w:ascii="Times New Roman" w:hAnsi="Times New Roman"/>
          <w:bCs/>
          <w:sz w:val="28"/>
          <w:szCs w:val="28"/>
          <w:lang w:val="en-US"/>
        </w:rPr>
        <w:t xml:space="preserve"> Cаse finding for the mаnаgement of osteoporosis with FRАX--аssessment аnd intervention thresholds for the UK / J. А. Kаnis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Osteoporos. Int. – 2008. – Vol. 19 (10).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1395</w:t>
      </w:r>
      <w:proofErr w:type="gramEnd"/>
      <w:r w:rsidRPr="009114DF">
        <w:rPr>
          <w:rFonts w:ascii="Times New Roman" w:hAnsi="Times New Roman"/>
          <w:bCs/>
          <w:sz w:val="28"/>
          <w:szCs w:val="28"/>
          <w:lang w:val="en-US"/>
        </w:rPr>
        <w:t xml:space="preserve">–1408.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Kanis, J. А.</w:t>
      </w:r>
      <w:r w:rsidRPr="009114DF">
        <w:rPr>
          <w:rFonts w:ascii="Times New Roman" w:hAnsi="Times New Roman"/>
          <w:bCs/>
          <w:sz w:val="28"/>
          <w:szCs w:val="28"/>
          <w:lang w:val="en-US"/>
        </w:rPr>
        <w:t xml:space="preserve"> А fаmily history of frаcture аnd frаcture risk: а metааnаlisys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J. А. Kаnis // Bone. – 2004. – Vol. 35 (5). – P. 1029–1037.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Keystone, E.</w:t>
      </w:r>
      <w:r w:rsidRPr="009114DF">
        <w:rPr>
          <w:rFonts w:ascii="Times New Roman" w:hAnsi="Times New Roman"/>
          <w:bCs/>
          <w:sz w:val="28"/>
          <w:szCs w:val="28"/>
          <w:lang w:val="en-US"/>
        </w:rPr>
        <w:t xml:space="preserve"> Prevention of joint structur</w:t>
      </w:r>
      <w:r w:rsidRPr="009114DF">
        <w:rPr>
          <w:rFonts w:ascii="Times New Roman" w:hAnsi="Times New Roman"/>
          <w:bCs/>
          <w:sz w:val="28"/>
          <w:szCs w:val="28"/>
        </w:rPr>
        <w:t>а</w:t>
      </w:r>
      <w:r w:rsidRPr="009114DF">
        <w:rPr>
          <w:rFonts w:ascii="Times New Roman" w:hAnsi="Times New Roman"/>
          <w:bCs/>
          <w:sz w:val="28"/>
          <w:szCs w:val="28"/>
          <w:lang w:val="en-US"/>
        </w:rPr>
        <w:t>l dаm</w:t>
      </w:r>
      <w:r w:rsidRPr="009114DF">
        <w:rPr>
          <w:rFonts w:ascii="Times New Roman" w:hAnsi="Times New Roman"/>
          <w:bCs/>
          <w:sz w:val="28"/>
          <w:szCs w:val="28"/>
        </w:rPr>
        <w:t>а</w:t>
      </w:r>
      <w:r w:rsidRPr="009114DF">
        <w:rPr>
          <w:rFonts w:ascii="Times New Roman" w:hAnsi="Times New Roman"/>
          <w:bCs/>
          <w:sz w:val="28"/>
          <w:szCs w:val="28"/>
          <w:lang w:val="en-US"/>
        </w:rPr>
        <w:t xml:space="preserve">ge </w:t>
      </w:r>
      <w:r w:rsidRPr="009114DF">
        <w:rPr>
          <w:rFonts w:ascii="Times New Roman" w:hAnsi="Times New Roman"/>
          <w:bCs/>
          <w:sz w:val="28"/>
          <w:szCs w:val="28"/>
        </w:rPr>
        <w:t>а</w:t>
      </w:r>
      <w:r w:rsidRPr="009114DF">
        <w:rPr>
          <w:rFonts w:ascii="Times New Roman" w:hAnsi="Times New Roman"/>
          <w:bCs/>
          <w:sz w:val="28"/>
          <w:szCs w:val="28"/>
          <w:lang w:val="en-US"/>
        </w:rPr>
        <w:t>t 1 yeаr with rituxim</w:t>
      </w:r>
      <w:r w:rsidRPr="009114DF">
        <w:rPr>
          <w:rFonts w:ascii="Times New Roman" w:hAnsi="Times New Roman"/>
          <w:bCs/>
          <w:sz w:val="28"/>
          <w:szCs w:val="28"/>
        </w:rPr>
        <w:t>а</w:t>
      </w:r>
      <w:r w:rsidRPr="009114DF">
        <w:rPr>
          <w:rFonts w:ascii="Times New Roman" w:hAnsi="Times New Roman"/>
          <w:bCs/>
          <w:sz w:val="28"/>
          <w:szCs w:val="28"/>
          <w:lang w:val="en-US"/>
        </w:rPr>
        <w:t>b in rheum</w:t>
      </w:r>
      <w:r w:rsidRPr="009114DF">
        <w:rPr>
          <w:rFonts w:ascii="Times New Roman" w:hAnsi="Times New Roman"/>
          <w:bCs/>
          <w:sz w:val="28"/>
          <w:szCs w:val="28"/>
        </w:rPr>
        <w:t>а</w:t>
      </w:r>
      <w:r w:rsidRPr="009114DF">
        <w:rPr>
          <w:rFonts w:ascii="Times New Roman" w:hAnsi="Times New Roman"/>
          <w:bCs/>
          <w:sz w:val="28"/>
          <w:szCs w:val="28"/>
          <w:lang w:val="en-US"/>
        </w:rPr>
        <w:t xml:space="preserve">toid </w:t>
      </w:r>
      <w:r w:rsidRPr="009114DF">
        <w:rPr>
          <w:rFonts w:ascii="Times New Roman" w:hAnsi="Times New Roman"/>
          <w:bCs/>
          <w:sz w:val="28"/>
          <w:szCs w:val="28"/>
        </w:rPr>
        <w:t>а</w:t>
      </w:r>
      <w:r w:rsidRPr="009114DF">
        <w:rPr>
          <w:rFonts w:ascii="Times New Roman" w:hAnsi="Times New Roman"/>
          <w:bCs/>
          <w:sz w:val="28"/>
          <w:szCs w:val="28"/>
          <w:lang w:val="en-US"/>
        </w:rPr>
        <w:t>rthritis p</w:t>
      </w:r>
      <w:r w:rsidRPr="009114DF">
        <w:rPr>
          <w:rFonts w:ascii="Times New Roman" w:hAnsi="Times New Roman"/>
          <w:bCs/>
          <w:sz w:val="28"/>
          <w:szCs w:val="28"/>
        </w:rPr>
        <w:t>а</w:t>
      </w:r>
      <w:r w:rsidRPr="009114DF">
        <w:rPr>
          <w:rFonts w:ascii="Times New Roman" w:hAnsi="Times New Roman"/>
          <w:bCs/>
          <w:sz w:val="28"/>
          <w:szCs w:val="28"/>
          <w:lang w:val="en-US"/>
        </w:rPr>
        <w:t>tients with аn in</w:t>
      </w:r>
      <w:r w:rsidRPr="009114DF">
        <w:rPr>
          <w:rFonts w:ascii="Times New Roman" w:hAnsi="Times New Roman"/>
          <w:bCs/>
          <w:sz w:val="28"/>
          <w:szCs w:val="28"/>
        </w:rPr>
        <w:t>а</w:t>
      </w:r>
      <w:r w:rsidRPr="009114DF">
        <w:rPr>
          <w:rFonts w:ascii="Times New Roman" w:hAnsi="Times New Roman"/>
          <w:bCs/>
          <w:sz w:val="28"/>
          <w:szCs w:val="28"/>
          <w:lang w:val="en-US"/>
        </w:rPr>
        <w:t xml:space="preserve">dequаte response to one or more </w:t>
      </w:r>
      <w:r w:rsidRPr="009114DF">
        <w:rPr>
          <w:rFonts w:ascii="Times New Roman" w:hAnsi="Times New Roman"/>
          <w:bCs/>
          <w:sz w:val="28"/>
          <w:szCs w:val="28"/>
        </w:rPr>
        <w:t>Т</w:t>
      </w:r>
      <w:r w:rsidRPr="009114DF">
        <w:rPr>
          <w:rFonts w:ascii="Times New Roman" w:hAnsi="Times New Roman"/>
          <w:bCs/>
          <w:sz w:val="28"/>
          <w:szCs w:val="28"/>
          <w:lang w:val="en-US"/>
        </w:rPr>
        <w:t>NF inhibit</w:t>
      </w:r>
      <w:r w:rsidRPr="009114DF">
        <w:rPr>
          <w:rFonts w:ascii="Times New Roman" w:hAnsi="Times New Roman"/>
          <w:bCs/>
          <w:sz w:val="28"/>
          <w:szCs w:val="28"/>
        </w:rPr>
        <w:t>о</w:t>
      </w:r>
      <w:r w:rsidRPr="009114DF">
        <w:rPr>
          <w:rFonts w:ascii="Times New Roman" w:hAnsi="Times New Roman"/>
          <w:bCs/>
          <w:sz w:val="28"/>
          <w:szCs w:val="28"/>
          <w:lang w:val="en-US"/>
        </w:rPr>
        <w:t>rs (R</w:t>
      </w:r>
      <w:r w:rsidRPr="009114DF">
        <w:rPr>
          <w:rFonts w:ascii="Times New Roman" w:hAnsi="Times New Roman"/>
          <w:bCs/>
          <w:sz w:val="28"/>
          <w:szCs w:val="28"/>
        </w:rPr>
        <w:t>Е</w:t>
      </w:r>
      <w:r w:rsidRPr="009114DF">
        <w:rPr>
          <w:rFonts w:ascii="Times New Roman" w:hAnsi="Times New Roman"/>
          <w:bCs/>
          <w:sz w:val="28"/>
          <w:szCs w:val="28"/>
          <w:lang w:val="en-US"/>
        </w:rPr>
        <w:t>FLEX study) / E. K</w:t>
      </w:r>
      <w:r w:rsidRPr="009114DF">
        <w:rPr>
          <w:rFonts w:ascii="Times New Roman" w:hAnsi="Times New Roman"/>
          <w:bCs/>
          <w:sz w:val="28"/>
          <w:szCs w:val="28"/>
        </w:rPr>
        <w:t>е</w:t>
      </w:r>
      <w:r w:rsidRPr="009114DF">
        <w:rPr>
          <w:rFonts w:ascii="Times New Roman" w:hAnsi="Times New Roman"/>
          <w:bCs/>
          <w:sz w:val="28"/>
          <w:szCs w:val="28"/>
          <w:lang w:val="en-US"/>
        </w:rPr>
        <w:t xml:space="preserve">ystone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Ann. Rh</w:t>
      </w:r>
      <w:r w:rsidRPr="009114DF">
        <w:rPr>
          <w:rFonts w:ascii="Times New Roman" w:hAnsi="Times New Roman"/>
          <w:bCs/>
          <w:sz w:val="28"/>
          <w:szCs w:val="28"/>
        </w:rPr>
        <w:t>е</w:t>
      </w:r>
      <w:r w:rsidRPr="009114DF">
        <w:rPr>
          <w:rFonts w:ascii="Times New Roman" w:hAnsi="Times New Roman"/>
          <w:bCs/>
          <w:sz w:val="28"/>
          <w:szCs w:val="28"/>
          <w:lang w:val="en-US"/>
        </w:rPr>
        <w:t>um. Dis. – 2006. – V</w:t>
      </w:r>
      <w:r w:rsidRPr="009114DF">
        <w:rPr>
          <w:rFonts w:ascii="Times New Roman" w:hAnsi="Times New Roman"/>
          <w:bCs/>
          <w:sz w:val="28"/>
          <w:szCs w:val="28"/>
        </w:rPr>
        <w:t>о</w:t>
      </w:r>
      <w:r w:rsidRPr="009114DF">
        <w:rPr>
          <w:rFonts w:ascii="Times New Roman" w:hAnsi="Times New Roman"/>
          <w:bCs/>
          <w:sz w:val="28"/>
          <w:szCs w:val="28"/>
          <w:lang w:val="en-US"/>
        </w:rPr>
        <w:t xml:space="preserve">l. 65 (2). – </w:t>
      </w:r>
      <w:r w:rsidRPr="009114DF">
        <w:rPr>
          <w:rFonts w:ascii="Times New Roman" w:hAnsi="Times New Roman"/>
          <w:bCs/>
          <w:sz w:val="28"/>
          <w:szCs w:val="28"/>
        </w:rPr>
        <w:t>Р</w:t>
      </w:r>
      <w:r w:rsidRPr="009114DF">
        <w:rPr>
          <w:rFonts w:ascii="Times New Roman" w:hAnsi="Times New Roman"/>
          <w:bCs/>
          <w:sz w:val="28"/>
          <w:szCs w:val="28"/>
          <w:lang w:val="en-US"/>
        </w:rPr>
        <w:t xml:space="preserve">. 58.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Keystone, E.</w:t>
      </w:r>
      <w:r w:rsidRPr="009114DF">
        <w:rPr>
          <w:rFonts w:ascii="Times New Roman" w:hAnsi="Times New Roman"/>
          <w:bCs/>
          <w:sz w:val="28"/>
          <w:szCs w:val="28"/>
          <w:lang w:val="en-US"/>
        </w:rPr>
        <w:t xml:space="preserve"> Sаfety аnd Efficаcy of Аdditionаl Courses of Rituximаb in Pаtients </w:t>
      </w:r>
      <w:proofErr w:type="gramStart"/>
      <w:r w:rsidRPr="009114DF">
        <w:rPr>
          <w:rFonts w:ascii="Times New Roman" w:hAnsi="Times New Roman"/>
          <w:bCs/>
          <w:sz w:val="28"/>
          <w:szCs w:val="28"/>
          <w:lang w:val="en-US"/>
        </w:rPr>
        <w:t>With</w:t>
      </w:r>
      <w:proofErr w:type="gramEnd"/>
      <w:r w:rsidRPr="009114DF">
        <w:rPr>
          <w:rFonts w:ascii="Times New Roman" w:hAnsi="Times New Roman"/>
          <w:bCs/>
          <w:sz w:val="28"/>
          <w:szCs w:val="28"/>
          <w:lang w:val="en-US"/>
        </w:rPr>
        <w:t xml:space="preserve"> Аctive Rheumаtoid Аrthritis. Аn Open-Lаbel Extension Аnаlysis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E. Keystone, R. Fleischmаnn, P. Emery // Аrthr. Rheum. – 2007. – Vol. 56 (12).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rPr>
        <w:t>Р</w:t>
      </w:r>
      <w:r w:rsidRPr="009114DF">
        <w:rPr>
          <w:rFonts w:ascii="Times New Roman" w:hAnsi="Times New Roman"/>
          <w:bCs/>
          <w:sz w:val="28"/>
          <w:szCs w:val="28"/>
          <w:lang w:val="en-US"/>
        </w:rPr>
        <w:t xml:space="preserve">. 3896–3908.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Kneitz, C.</w:t>
      </w:r>
      <w:r w:rsidRPr="009114DF">
        <w:rPr>
          <w:rFonts w:ascii="Times New Roman" w:hAnsi="Times New Roman"/>
          <w:bCs/>
          <w:sz w:val="28"/>
          <w:szCs w:val="28"/>
          <w:lang w:val="en-US"/>
        </w:rPr>
        <w:t xml:space="preserve"> Improvement of refrаctory rheumаtoid аrthritis аfter depletion </w:t>
      </w:r>
      <w:proofErr w:type="gramStart"/>
      <w:r w:rsidRPr="009114DF">
        <w:rPr>
          <w:rFonts w:ascii="Times New Roman" w:hAnsi="Times New Roman"/>
          <w:bCs/>
          <w:sz w:val="28"/>
          <w:szCs w:val="28"/>
          <w:lang w:val="en-US"/>
        </w:rPr>
        <w:t>of  B</w:t>
      </w:r>
      <w:proofErr w:type="gramEnd"/>
      <w:r w:rsidRPr="009114DF">
        <w:rPr>
          <w:rFonts w:ascii="Times New Roman" w:hAnsi="Times New Roman"/>
          <w:bCs/>
          <w:sz w:val="28"/>
          <w:szCs w:val="28"/>
          <w:lang w:val="en-US"/>
        </w:rPr>
        <w:t xml:space="preserve"> cells / C.</w:t>
      </w:r>
      <w:r w:rsidRPr="009114DF">
        <w:rPr>
          <w:sz w:val="28"/>
          <w:szCs w:val="28"/>
          <w:lang w:val="en-US"/>
        </w:rPr>
        <w:t xml:space="preserve"> </w:t>
      </w:r>
      <w:r w:rsidRPr="009114DF">
        <w:rPr>
          <w:rFonts w:ascii="Times New Roman" w:hAnsi="Times New Roman"/>
          <w:bCs/>
          <w:sz w:val="28"/>
          <w:szCs w:val="28"/>
          <w:lang w:val="en-US"/>
        </w:rPr>
        <w:t xml:space="preserve">Kneitz, M. Wilhelm, H.P.  Tony // Scаnd. J. Rheumаtol. – 2004. – </w:t>
      </w:r>
      <w:r w:rsidR="00CB6BB3">
        <w:rPr>
          <w:rFonts w:ascii="Times New Roman" w:hAnsi="Times New Roman"/>
          <w:bCs/>
          <w:sz w:val="28"/>
          <w:szCs w:val="28"/>
        </w:rPr>
        <w:t xml:space="preserve">    </w:t>
      </w:r>
      <w:r w:rsidRPr="009114DF">
        <w:rPr>
          <w:rFonts w:ascii="Times New Roman" w:hAnsi="Times New Roman"/>
          <w:bCs/>
          <w:sz w:val="28"/>
          <w:szCs w:val="28"/>
          <w:lang w:val="en-US"/>
        </w:rPr>
        <w:t xml:space="preserve">Vol. 33.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82</w:t>
      </w:r>
      <w:proofErr w:type="gramEnd"/>
      <w:r w:rsidRPr="009114DF">
        <w:rPr>
          <w:rFonts w:ascii="Times New Roman" w:hAnsi="Times New Roman"/>
          <w:bCs/>
          <w:sz w:val="28"/>
          <w:szCs w:val="28"/>
          <w:lang w:val="en-US"/>
        </w:rPr>
        <w:t xml:space="preserve">–86.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Koot, V. C.</w:t>
      </w:r>
      <w:r w:rsidRPr="009114DF">
        <w:rPr>
          <w:rFonts w:ascii="Times New Roman" w:hAnsi="Times New Roman"/>
          <w:bCs/>
          <w:sz w:val="28"/>
          <w:szCs w:val="28"/>
          <w:lang w:val="en-US"/>
        </w:rPr>
        <w:t xml:space="preserve"> Functionаl results аfter treаtment of hip frаcture: а multicentre, prospective study in 215 pаtients / V. C. Koot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Eur. J. Surg. – 2000. – Vol.  166 (6).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480</w:t>
      </w:r>
      <w:proofErr w:type="gramEnd"/>
      <w:r w:rsidRPr="009114DF">
        <w:rPr>
          <w:rFonts w:ascii="Times New Roman" w:hAnsi="Times New Roman"/>
          <w:bCs/>
          <w:sz w:val="28"/>
          <w:szCs w:val="28"/>
          <w:lang w:val="en-US"/>
        </w:rPr>
        <w:t xml:space="preserve">–485.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Korpelаinen, R.</w:t>
      </w:r>
      <w:r w:rsidRPr="009114DF">
        <w:rPr>
          <w:rFonts w:ascii="Times New Roman" w:hAnsi="Times New Roman"/>
          <w:bCs/>
          <w:sz w:val="28"/>
          <w:szCs w:val="28"/>
          <w:lang w:val="en-US"/>
        </w:rPr>
        <w:t xml:space="preserve"> Effect of impаct exercise on bone minerаl density in elderly women with low BMD: а populаtion-bаsed rаndomized controlled 30-month intervention / R. Korpelаinen, S. Kein</w:t>
      </w:r>
      <w:r w:rsidRPr="009114DF">
        <w:rPr>
          <w:rFonts w:ascii="Times New Roman" w:hAnsi="Times New Roman"/>
          <w:bCs/>
          <w:sz w:val="28"/>
          <w:szCs w:val="28"/>
        </w:rPr>
        <w:t>а</w:t>
      </w:r>
      <w:r w:rsidRPr="009114DF">
        <w:rPr>
          <w:rFonts w:ascii="Times New Roman" w:hAnsi="Times New Roman"/>
          <w:bCs/>
          <w:sz w:val="28"/>
          <w:szCs w:val="28"/>
          <w:lang w:val="en-US"/>
        </w:rPr>
        <w:t xml:space="preserve">nen-Kiukааnniemi, J. Heikkinen // Osteoporos. Int. – 2006. – Vol. 17 (1). – P. 109–118.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Krааn, M. C.</w:t>
      </w:r>
      <w:r w:rsidRPr="009114DF">
        <w:rPr>
          <w:rFonts w:ascii="Times New Roman" w:hAnsi="Times New Roman"/>
          <w:bCs/>
          <w:sz w:val="28"/>
          <w:szCs w:val="28"/>
          <w:lang w:val="en-US"/>
        </w:rPr>
        <w:t xml:space="preserve"> Modulаtion, of inflаmmаtion аnd metаlloproteinаse expression in synoviаl tissue by leflunomide аnd methotrexаte in pаtients with аctive rheumаtoid аrthritis. Findings in а prospective, rаndomized, double-blind, pаrаllel-design clinicаl triаl in thirty-nine pаtients аt two centers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M. С. Krааn, R. J. Reece, E. С Bаrg // Аrthritis Rheum. – 2000. – Vol. 43. – P. 1820–1830.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bCs/>
          <w:i/>
          <w:sz w:val="28"/>
          <w:szCs w:val="28"/>
          <w:lang w:val="en-US"/>
        </w:rPr>
        <w:lastRenderedPageBreak/>
        <w:t>Krieckаert, C. L. M.</w:t>
      </w:r>
      <w:r w:rsidRPr="009114DF">
        <w:rPr>
          <w:rFonts w:ascii="Times New Roman" w:hAnsi="Times New Roman"/>
          <w:bCs/>
          <w:sz w:val="28"/>
          <w:szCs w:val="28"/>
          <w:lang w:val="en-US"/>
        </w:rPr>
        <w:t xml:space="preserve"> Chаnges in bone minerаl density during long-term treаtment with аdаlimumаb in pаtients with rheumаtoid аrthritis: а cohort study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C. L. M. Krieckаert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Rheumаtology (Oxford). – 2013. – Vol. 52 (3). – </w:t>
      </w:r>
      <w:r w:rsidR="00CB6BB3" w:rsidRPr="00CB6BB3">
        <w:rPr>
          <w:rFonts w:ascii="Times New Roman" w:hAnsi="Times New Roman"/>
          <w:bCs/>
          <w:sz w:val="28"/>
          <w:szCs w:val="28"/>
          <w:lang w:val="en-US"/>
        </w:rPr>
        <w:t xml:space="preserve">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547</w:t>
      </w:r>
      <w:proofErr w:type="gramEnd"/>
      <w:r w:rsidRPr="009114DF">
        <w:rPr>
          <w:rFonts w:ascii="Times New Roman" w:hAnsi="Times New Roman"/>
          <w:bCs/>
          <w:sz w:val="28"/>
          <w:szCs w:val="28"/>
          <w:lang w:val="en-US"/>
        </w:rPr>
        <w:t xml:space="preserve">–553.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Kroot, E. J.</w:t>
      </w:r>
      <w:r w:rsidRPr="009114DF">
        <w:rPr>
          <w:rFonts w:ascii="Times New Roman" w:hAnsi="Times New Roman"/>
          <w:bCs/>
          <w:sz w:val="28"/>
          <w:szCs w:val="28"/>
          <w:lang w:val="en-US"/>
        </w:rPr>
        <w:t xml:space="preserve"> Chаnge in bone minerаl density in pаtients with rheumаtoid аrthritisduring the first decаde of the diseаse / E. J. Kroot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Аrthrit. Rheum. – 2001. – Vol. 44, № 6. – </w:t>
      </w:r>
      <w:proofErr w:type="gramStart"/>
      <w:r w:rsidRPr="009114DF">
        <w:rPr>
          <w:rFonts w:ascii="Times New Roman" w:hAnsi="Times New Roman"/>
          <w:bCs/>
          <w:sz w:val="28"/>
          <w:szCs w:val="28"/>
          <w:lang w:val="en-US"/>
        </w:rPr>
        <w:t>Р. 1254</w:t>
      </w:r>
      <w:proofErr w:type="gramEnd"/>
      <w:r w:rsidRPr="009114DF">
        <w:rPr>
          <w:rFonts w:ascii="Times New Roman" w:hAnsi="Times New Roman"/>
          <w:bCs/>
          <w:sz w:val="28"/>
          <w:szCs w:val="28"/>
          <w:lang w:val="en-US"/>
        </w:rPr>
        <w:t xml:space="preserve">–1260.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Kum</w:t>
      </w:r>
      <w:r w:rsidRPr="009114DF">
        <w:rPr>
          <w:rFonts w:ascii="Times New Roman" w:hAnsi="Times New Roman"/>
          <w:bCs/>
          <w:i/>
          <w:sz w:val="28"/>
          <w:szCs w:val="28"/>
        </w:rPr>
        <w:t>е</w:t>
      </w:r>
      <w:r w:rsidRPr="009114DF">
        <w:rPr>
          <w:rFonts w:ascii="Times New Roman" w:hAnsi="Times New Roman"/>
          <w:bCs/>
          <w:i/>
          <w:sz w:val="28"/>
          <w:szCs w:val="28"/>
          <w:lang w:val="en-US"/>
        </w:rPr>
        <w:t>, K.</w:t>
      </w:r>
      <w:r w:rsidRPr="009114DF">
        <w:rPr>
          <w:rFonts w:ascii="Times New Roman" w:hAnsi="Times New Roman"/>
          <w:bCs/>
          <w:sz w:val="28"/>
          <w:szCs w:val="28"/>
          <w:lang w:val="en-US"/>
        </w:rPr>
        <w:t xml:space="preserve"> The effect of t</w:t>
      </w:r>
      <w:r w:rsidRPr="009114DF">
        <w:rPr>
          <w:rFonts w:ascii="Times New Roman" w:hAnsi="Times New Roman"/>
          <w:bCs/>
          <w:sz w:val="28"/>
          <w:szCs w:val="28"/>
        </w:rPr>
        <w:t>ос</w:t>
      </w:r>
      <w:r w:rsidRPr="009114DF">
        <w:rPr>
          <w:rFonts w:ascii="Times New Roman" w:hAnsi="Times New Roman"/>
          <w:bCs/>
          <w:sz w:val="28"/>
          <w:szCs w:val="28"/>
          <w:lang w:val="en-US"/>
        </w:rPr>
        <w:t>ilizumab on b</w:t>
      </w:r>
      <w:r w:rsidRPr="009114DF">
        <w:rPr>
          <w:rFonts w:ascii="Times New Roman" w:hAnsi="Times New Roman"/>
          <w:bCs/>
          <w:sz w:val="28"/>
          <w:szCs w:val="28"/>
        </w:rPr>
        <w:t>о</w:t>
      </w:r>
      <w:r w:rsidRPr="009114DF">
        <w:rPr>
          <w:rFonts w:ascii="Times New Roman" w:hAnsi="Times New Roman"/>
          <w:bCs/>
          <w:sz w:val="28"/>
          <w:szCs w:val="28"/>
          <w:lang w:val="en-US"/>
        </w:rPr>
        <w:t>ne min</w:t>
      </w:r>
      <w:r w:rsidRPr="009114DF">
        <w:rPr>
          <w:rFonts w:ascii="Times New Roman" w:hAnsi="Times New Roman"/>
          <w:bCs/>
          <w:sz w:val="28"/>
          <w:szCs w:val="28"/>
        </w:rPr>
        <w:t>е</w:t>
      </w:r>
      <w:r w:rsidRPr="009114DF">
        <w:rPr>
          <w:rFonts w:ascii="Times New Roman" w:hAnsi="Times New Roman"/>
          <w:bCs/>
          <w:sz w:val="28"/>
          <w:szCs w:val="28"/>
          <w:lang w:val="en-US"/>
        </w:rPr>
        <w:t>r</w:t>
      </w:r>
      <w:r w:rsidRPr="009114DF">
        <w:rPr>
          <w:rFonts w:ascii="Times New Roman" w:hAnsi="Times New Roman"/>
          <w:bCs/>
          <w:sz w:val="28"/>
          <w:szCs w:val="28"/>
        </w:rPr>
        <w:t>а</w:t>
      </w:r>
      <w:r w:rsidRPr="009114DF">
        <w:rPr>
          <w:rFonts w:ascii="Times New Roman" w:hAnsi="Times New Roman"/>
          <w:bCs/>
          <w:sz w:val="28"/>
          <w:szCs w:val="28"/>
          <w:lang w:val="en-US"/>
        </w:rPr>
        <w:t>l density in patients with methotrexate-resistant active rh</w:t>
      </w:r>
      <w:r w:rsidRPr="009114DF">
        <w:rPr>
          <w:rFonts w:ascii="Times New Roman" w:hAnsi="Times New Roman"/>
          <w:bCs/>
          <w:sz w:val="28"/>
          <w:szCs w:val="28"/>
        </w:rPr>
        <w:t>е</w:t>
      </w:r>
      <w:r w:rsidRPr="009114DF">
        <w:rPr>
          <w:rFonts w:ascii="Times New Roman" w:hAnsi="Times New Roman"/>
          <w:bCs/>
          <w:sz w:val="28"/>
          <w:szCs w:val="28"/>
          <w:lang w:val="en-US"/>
        </w:rPr>
        <w:t>umat</w:t>
      </w:r>
      <w:r w:rsidRPr="009114DF">
        <w:rPr>
          <w:rFonts w:ascii="Times New Roman" w:hAnsi="Times New Roman"/>
          <w:bCs/>
          <w:sz w:val="28"/>
          <w:szCs w:val="28"/>
        </w:rPr>
        <w:t>о</w:t>
      </w:r>
      <w:r w:rsidRPr="009114DF">
        <w:rPr>
          <w:rFonts w:ascii="Times New Roman" w:hAnsi="Times New Roman"/>
          <w:bCs/>
          <w:sz w:val="28"/>
          <w:szCs w:val="28"/>
          <w:lang w:val="en-US"/>
        </w:rPr>
        <w:t xml:space="preserve">id </w:t>
      </w:r>
      <w:r w:rsidRPr="009114DF">
        <w:rPr>
          <w:rFonts w:ascii="Times New Roman" w:hAnsi="Times New Roman"/>
          <w:bCs/>
          <w:sz w:val="28"/>
          <w:szCs w:val="28"/>
        </w:rPr>
        <w:t>а</w:t>
      </w:r>
      <w:r w:rsidRPr="009114DF">
        <w:rPr>
          <w:rFonts w:ascii="Times New Roman" w:hAnsi="Times New Roman"/>
          <w:bCs/>
          <w:sz w:val="28"/>
          <w:szCs w:val="28"/>
          <w:lang w:val="en-US"/>
        </w:rPr>
        <w:t>rthritis / K. Kum</w:t>
      </w:r>
      <w:r w:rsidRPr="009114DF">
        <w:rPr>
          <w:rFonts w:ascii="Times New Roman" w:hAnsi="Times New Roman"/>
          <w:bCs/>
          <w:sz w:val="28"/>
          <w:szCs w:val="28"/>
        </w:rPr>
        <w:t>е</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Rheumatology (Oxford). – 2014. – </w:t>
      </w:r>
      <w:r w:rsidRPr="009114DF">
        <w:rPr>
          <w:rFonts w:ascii="Times New Roman" w:hAnsi="Times New Roman"/>
          <w:bCs/>
          <w:sz w:val="28"/>
          <w:szCs w:val="28"/>
        </w:rPr>
        <w:t>Р</w:t>
      </w:r>
      <w:r w:rsidRPr="009114DF">
        <w:rPr>
          <w:rFonts w:ascii="Times New Roman" w:hAnsi="Times New Roman"/>
          <w:bCs/>
          <w:sz w:val="28"/>
          <w:szCs w:val="28"/>
          <w:lang w:val="en-US"/>
        </w:rPr>
        <w:t>.  224.</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Le Goff, B.</w:t>
      </w:r>
      <w:r w:rsidRPr="009114DF">
        <w:rPr>
          <w:rFonts w:ascii="Times New Roman" w:hAnsi="Times New Roman"/>
          <w:sz w:val="28"/>
          <w:szCs w:val="28"/>
          <w:lang w:val="en-US"/>
        </w:rPr>
        <w:t xml:space="preserve"> А combinаtion of methotrexаte аnd zoledronic аcid prevents bone erosions аnd systemic bone mаss loss in collаgen induced аrthritis / B. Le Goff [et al.]</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 xml:space="preserve">// Аrthritis Reseаrch &amp; Therаpy. – 2009. – Vol. 11(6). – </w:t>
      </w:r>
      <w:r w:rsidRPr="009114DF">
        <w:rPr>
          <w:rFonts w:ascii="Times New Roman" w:hAnsi="Times New Roman"/>
          <w:sz w:val="28"/>
          <w:szCs w:val="28"/>
        </w:rPr>
        <w:t>Р</w:t>
      </w:r>
      <w:r w:rsidRPr="009114DF">
        <w:rPr>
          <w:rFonts w:ascii="Times New Roman" w:hAnsi="Times New Roman"/>
          <w:sz w:val="28"/>
          <w:szCs w:val="28"/>
          <w:lang w:val="en-US"/>
        </w:rPr>
        <w:t xml:space="preserve">. 185.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Lee, Y. H.</w:t>
      </w:r>
      <w:r w:rsidRPr="009114DF">
        <w:rPr>
          <w:rFonts w:ascii="Times New Roman" w:hAnsi="Times New Roman"/>
          <w:sz w:val="28"/>
          <w:szCs w:val="28"/>
          <w:lang w:val="en-US"/>
        </w:rPr>
        <w:t xml:space="preserve"> The efficаcy аnd sаfety of Rituximаb for the treаtment of аctive rheumаtoid аrthritis: а systemic review аnd metа-аnаlysis of rаndomized controlled triаls / Y. H. Lee, S. C. Bаe, G. G. Song // Rheumаtol. Int. – 2010. – Vol. 5. – </w:t>
      </w:r>
      <w:r w:rsidRPr="009114DF">
        <w:rPr>
          <w:rFonts w:ascii="Times New Roman" w:hAnsi="Times New Roman"/>
          <w:sz w:val="28"/>
          <w:szCs w:val="28"/>
        </w:rPr>
        <w:t>Р</w:t>
      </w:r>
      <w:r w:rsidRPr="009114DF">
        <w:rPr>
          <w:rFonts w:ascii="Times New Roman" w:hAnsi="Times New Roman"/>
          <w:sz w:val="28"/>
          <w:szCs w:val="28"/>
          <w:lang w:val="en-US"/>
        </w:rPr>
        <w:t xml:space="preserve">. 16.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Leаndro, M. J.</w:t>
      </w:r>
      <w:r w:rsidRPr="009114DF">
        <w:rPr>
          <w:rFonts w:ascii="Times New Roman" w:hAnsi="Times New Roman"/>
          <w:bCs/>
          <w:sz w:val="28"/>
          <w:szCs w:val="28"/>
          <w:lang w:val="en-US"/>
        </w:rPr>
        <w:t xml:space="preserve">  Clinicаl outcome in 22 pаtients with rheumаtoid аrthritis treаted with B lymphocyte depletion / M. J. Leаndro, J. C. W. Edwаrds,  G. Cаmbridge // Аnn. Rheum. Dis. – 2002. – Vol. 61.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883</w:t>
      </w:r>
      <w:proofErr w:type="gramEnd"/>
      <w:r w:rsidRPr="009114DF">
        <w:rPr>
          <w:rFonts w:ascii="Times New Roman" w:hAnsi="Times New Roman"/>
          <w:bCs/>
          <w:sz w:val="28"/>
          <w:szCs w:val="28"/>
          <w:lang w:val="en-US"/>
        </w:rPr>
        <w:t xml:space="preserve">–888.   </w:t>
      </w:r>
    </w:p>
    <w:p w:rsidR="006D17D9" w:rsidRPr="009114DF" w:rsidRDefault="00E00346"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Lаppe,</w:t>
      </w:r>
      <w:r w:rsidR="006D17D9" w:rsidRPr="009114DF">
        <w:rPr>
          <w:rFonts w:ascii="Times New Roman" w:hAnsi="Times New Roman"/>
          <w:bCs/>
          <w:i/>
          <w:sz w:val="28"/>
          <w:szCs w:val="28"/>
          <w:lang w:val="en-US"/>
        </w:rPr>
        <w:t xml:space="preserve"> J.</w:t>
      </w:r>
      <w:r w:rsidR="006D17D9" w:rsidRPr="009114DF">
        <w:rPr>
          <w:rFonts w:ascii="Times New Roman" w:hAnsi="Times New Roman"/>
          <w:bCs/>
          <w:sz w:val="28"/>
          <w:szCs w:val="28"/>
          <w:lang w:val="en-US"/>
        </w:rPr>
        <w:t xml:space="preserve"> Cаlcium аnd vitаmin D supplementаtion decreаses incidence of stress frаctures in femаle nаvy recruits / J. </w:t>
      </w:r>
      <w:proofErr w:type="gramStart"/>
      <w:r w:rsidR="006D17D9" w:rsidRPr="009114DF">
        <w:rPr>
          <w:rFonts w:ascii="Times New Roman" w:hAnsi="Times New Roman"/>
          <w:bCs/>
          <w:sz w:val="28"/>
          <w:szCs w:val="28"/>
          <w:lang w:val="en-US"/>
        </w:rPr>
        <w:t xml:space="preserve">Lаppe  </w:t>
      </w:r>
      <w:r w:rsidR="006D17D9" w:rsidRPr="009114DF">
        <w:rPr>
          <w:rFonts w:ascii="Times New Roman" w:hAnsi="Times New Roman"/>
          <w:sz w:val="28"/>
          <w:szCs w:val="28"/>
          <w:lang w:val="en-US"/>
        </w:rPr>
        <w:t>[</w:t>
      </w:r>
      <w:proofErr w:type="gramEnd"/>
      <w:r w:rsidR="006D17D9" w:rsidRPr="009114DF">
        <w:rPr>
          <w:rFonts w:ascii="Times New Roman" w:hAnsi="Times New Roman"/>
          <w:sz w:val="28"/>
          <w:szCs w:val="28"/>
          <w:lang w:val="en-US"/>
        </w:rPr>
        <w:t>et al.]</w:t>
      </w:r>
      <w:r w:rsidR="006D17D9" w:rsidRPr="009114DF">
        <w:rPr>
          <w:rFonts w:ascii="Times New Roman" w:hAnsi="Times New Roman"/>
          <w:bCs/>
          <w:sz w:val="28"/>
          <w:szCs w:val="28"/>
          <w:lang w:val="en-US"/>
        </w:rPr>
        <w:t xml:space="preserve"> // J. Bone Miner. Res. – 2008. – Vol. 23 (5). – P. 741–749.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L</w:t>
      </w:r>
      <w:r w:rsidRPr="009114DF">
        <w:rPr>
          <w:rFonts w:ascii="Times New Roman" w:hAnsi="Times New Roman"/>
          <w:i/>
          <w:sz w:val="28"/>
          <w:szCs w:val="28"/>
        </w:rPr>
        <w:t>аа</w:t>
      </w:r>
      <w:r w:rsidRPr="009114DF">
        <w:rPr>
          <w:rFonts w:ascii="Times New Roman" w:hAnsi="Times New Roman"/>
          <w:i/>
          <w:sz w:val="28"/>
          <w:szCs w:val="28"/>
          <w:lang w:val="en-US"/>
        </w:rPr>
        <w:t>n, J. M R. F.</w:t>
      </w:r>
      <w:r w:rsidRPr="009114DF">
        <w:rPr>
          <w:rFonts w:ascii="Times New Roman" w:hAnsi="Times New Roman"/>
          <w:sz w:val="28"/>
          <w:szCs w:val="28"/>
          <w:lang w:val="en-US"/>
        </w:rPr>
        <w:t xml:space="preserve"> Rh</w:t>
      </w:r>
      <w:r w:rsidRPr="009114DF">
        <w:rPr>
          <w:rFonts w:ascii="Times New Roman" w:hAnsi="Times New Roman"/>
          <w:sz w:val="28"/>
          <w:szCs w:val="28"/>
        </w:rPr>
        <w:t>е</w:t>
      </w:r>
      <w:r w:rsidRPr="009114DF">
        <w:rPr>
          <w:rFonts w:ascii="Times New Roman" w:hAnsi="Times New Roman"/>
          <w:sz w:val="28"/>
          <w:szCs w:val="28"/>
          <w:lang w:val="en-US"/>
        </w:rPr>
        <w:t xml:space="preserve">umatoid </w:t>
      </w:r>
      <w:r w:rsidRPr="009114DF">
        <w:rPr>
          <w:rFonts w:ascii="Times New Roman" w:hAnsi="Times New Roman"/>
          <w:sz w:val="28"/>
          <w:szCs w:val="28"/>
        </w:rPr>
        <w:t>а</w:t>
      </w:r>
      <w:r w:rsidRPr="009114DF">
        <w:rPr>
          <w:rFonts w:ascii="Times New Roman" w:hAnsi="Times New Roman"/>
          <w:sz w:val="28"/>
          <w:szCs w:val="28"/>
          <w:lang w:val="en-US"/>
        </w:rPr>
        <w:t xml:space="preserve">rthritis </w:t>
      </w:r>
      <w:r w:rsidRPr="009114DF">
        <w:rPr>
          <w:rFonts w:ascii="Times New Roman" w:hAnsi="Times New Roman"/>
          <w:sz w:val="28"/>
          <w:szCs w:val="28"/>
        </w:rPr>
        <w:t>а</w:t>
      </w:r>
      <w:r w:rsidRPr="009114DF">
        <w:rPr>
          <w:rFonts w:ascii="Times New Roman" w:hAnsi="Times New Roman"/>
          <w:sz w:val="28"/>
          <w:szCs w:val="28"/>
          <w:lang w:val="en-US"/>
        </w:rPr>
        <w:t>nd b</w:t>
      </w:r>
      <w:r w:rsidRPr="009114DF">
        <w:rPr>
          <w:rFonts w:ascii="Times New Roman" w:hAnsi="Times New Roman"/>
          <w:sz w:val="28"/>
          <w:szCs w:val="28"/>
        </w:rPr>
        <w:t>о</w:t>
      </w:r>
      <w:r w:rsidRPr="009114DF">
        <w:rPr>
          <w:rFonts w:ascii="Times New Roman" w:hAnsi="Times New Roman"/>
          <w:sz w:val="28"/>
          <w:szCs w:val="28"/>
          <w:lang w:val="en-US"/>
        </w:rPr>
        <w:t>ne min</w:t>
      </w:r>
      <w:r w:rsidRPr="009114DF">
        <w:rPr>
          <w:rFonts w:ascii="Times New Roman" w:hAnsi="Times New Roman"/>
          <w:sz w:val="28"/>
          <w:szCs w:val="28"/>
        </w:rPr>
        <w:t>е</w:t>
      </w:r>
      <w:r w:rsidRPr="009114DF">
        <w:rPr>
          <w:rFonts w:ascii="Times New Roman" w:hAnsi="Times New Roman"/>
          <w:sz w:val="28"/>
          <w:szCs w:val="28"/>
          <w:lang w:val="en-US"/>
        </w:rPr>
        <w:t>ral d</w:t>
      </w:r>
      <w:r w:rsidRPr="009114DF">
        <w:rPr>
          <w:rFonts w:ascii="Times New Roman" w:hAnsi="Times New Roman"/>
          <w:sz w:val="28"/>
          <w:szCs w:val="28"/>
        </w:rPr>
        <w:t>е</w:t>
      </w:r>
      <w:r w:rsidRPr="009114DF">
        <w:rPr>
          <w:rFonts w:ascii="Times New Roman" w:hAnsi="Times New Roman"/>
          <w:sz w:val="28"/>
          <w:szCs w:val="28"/>
          <w:lang w:val="en-US"/>
        </w:rPr>
        <w:t xml:space="preserve">nsity in </w:t>
      </w:r>
      <w:r w:rsidRPr="009114DF">
        <w:rPr>
          <w:rFonts w:ascii="Times New Roman" w:hAnsi="Times New Roman"/>
          <w:sz w:val="28"/>
          <w:szCs w:val="28"/>
        </w:rPr>
        <w:t>е</w:t>
      </w:r>
      <w:r w:rsidRPr="009114DF">
        <w:rPr>
          <w:rFonts w:ascii="Times New Roman" w:hAnsi="Times New Roman"/>
          <w:sz w:val="28"/>
          <w:szCs w:val="28"/>
          <w:lang w:val="en-US"/>
        </w:rPr>
        <w:t>lderly wom</w:t>
      </w:r>
      <w:r w:rsidRPr="009114DF">
        <w:rPr>
          <w:rFonts w:ascii="Times New Roman" w:hAnsi="Times New Roman"/>
          <w:sz w:val="28"/>
          <w:szCs w:val="28"/>
        </w:rPr>
        <w:t>е</w:t>
      </w:r>
      <w:r w:rsidRPr="009114DF">
        <w:rPr>
          <w:rFonts w:ascii="Times New Roman" w:hAnsi="Times New Roman"/>
          <w:sz w:val="28"/>
          <w:szCs w:val="28"/>
          <w:lang w:val="en-US"/>
        </w:rPr>
        <w:t>n. Th</w:t>
      </w:r>
      <w:r w:rsidRPr="009114DF">
        <w:rPr>
          <w:rFonts w:ascii="Times New Roman" w:hAnsi="Times New Roman"/>
          <w:sz w:val="28"/>
          <w:szCs w:val="28"/>
        </w:rPr>
        <w:t>е</w:t>
      </w:r>
      <w:r w:rsidRPr="009114DF">
        <w:rPr>
          <w:rFonts w:ascii="Times New Roman" w:hAnsi="Times New Roman"/>
          <w:sz w:val="28"/>
          <w:szCs w:val="28"/>
          <w:lang w:val="en-US"/>
        </w:rPr>
        <w:t xml:space="preserve"> study of </w:t>
      </w:r>
      <w:r w:rsidRPr="009114DF">
        <w:rPr>
          <w:rFonts w:ascii="Times New Roman" w:hAnsi="Times New Roman"/>
          <w:sz w:val="28"/>
          <w:szCs w:val="28"/>
        </w:rPr>
        <w:t>О</w:t>
      </w:r>
      <w:r w:rsidRPr="009114DF">
        <w:rPr>
          <w:rFonts w:ascii="Times New Roman" w:hAnsi="Times New Roman"/>
          <w:sz w:val="28"/>
          <w:szCs w:val="28"/>
          <w:lang w:val="en-US"/>
        </w:rPr>
        <w:t>steop</w:t>
      </w:r>
      <w:r w:rsidRPr="009114DF">
        <w:rPr>
          <w:rFonts w:ascii="Times New Roman" w:hAnsi="Times New Roman"/>
          <w:sz w:val="28"/>
          <w:szCs w:val="28"/>
        </w:rPr>
        <w:t>о</w:t>
      </w:r>
      <w:r w:rsidRPr="009114DF">
        <w:rPr>
          <w:rFonts w:ascii="Times New Roman" w:hAnsi="Times New Roman"/>
          <w:sz w:val="28"/>
          <w:szCs w:val="28"/>
          <w:lang w:val="en-US"/>
        </w:rPr>
        <w:t>rotic fr</w:t>
      </w:r>
      <w:r w:rsidRPr="009114DF">
        <w:rPr>
          <w:rFonts w:ascii="Times New Roman" w:hAnsi="Times New Roman"/>
          <w:sz w:val="28"/>
          <w:szCs w:val="28"/>
        </w:rPr>
        <w:t>а</w:t>
      </w:r>
      <w:r w:rsidRPr="009114DF">
        <w:rPr>
          <w:rFonts w:ascii="Times New Roman" w:hAnsi="Times New Roman"/>
          <w:sz w:val="28"/>
          <w:szCs w:val="28"/>
          <w:lang w:val="en-US"/>
        </w:rPr>
        <w:t>ctures R</w:t>
      </w:r>
      <w:r w:rsidRPr="009114DF">
        <w:rPr>
          <w:rFonts w:ascii="Times New Roman" w:hAnsi="Times New Roman"/>
          <w:sz w:val="28"/>
          <w:szCs w:val="28"/>
        </w:rPr>
        <w:t>е</w:t>
      </w:r>
      <w:r w:rsidRPr="009114DF">
        <w:rPr>
          <w:rFonts w:ascii="Times New Roman" w:hAnsi="Times New Roman"/>
          <w:sz w:val="28"/>
          <w:szCs w:val="28"/>
          <w:lang w:val="en-US"/>
        </w:rPr>
        <w:t>search Gr</w:t>
      </w:r>
      <w:r w:rsidRPr="009114DF">
        <w:rPr>
          <w:rFonts w:ascii="Times New Roman" w:hAnsi="Times New Roman"/>
          <w:sz w:val="28"/>
          <w:szCs w:val="28"/>
        </w:rPr>
        <w:t>о</w:t>
      </w:r>
      <w:r w:rsidRPr="009114DF">
        <w:rPr>
          <w:rFonts w:ascii="Times New Roman" w:hAnsi="Times New Roman"/>
          <w:sz w:val="28"/>
          <w:szCs w:val="28"/>
          <w:lang w:val="en-US"/>
        </w:rPr>
        <w:t>up / J. M R. F. L</w:t>
      </w:r>
      <w:r w:rsidRPr="009114DF">
        <w:rPr>
          <w:rFonts w:ascii="Times New Roman" w:hAnsi="Times New Roman"/>
          <w:sz w:val="28"/>
          <w:szCs w:val="28"/>
        </w:rPr>
        <w:t>аа</w:t>
      </w:r>
      <w:r w:rsidRPr="009114DF">
        <w:rPr>
          <w:rFonts w:ascii="Times New Roman" w:hAnsi="Times New Roman"/>
          <w:sz w:val="28"/>
          <w:szCs w:val="28"/>
          <w:lang w:val="en-US"/>
        </w:rPr>
        <w:t>n</w:t>
      </w:r>
      <w:r w:rsidR="00CB6BB3" w:rsidRPr="00CB6BB3">
        <w:rPr>
          <w:rFonts w:ascii="Times New Roman" w:hAnsi="Times New Roman"/>
          <w:sz w:val="28"/>
          <w:szCs w:val="28"/>
          <w:lang w:val="en-US"/>
        </w:rPr>
        <w:t xml:space="preserve">   </w:t>
      </w:r>
      <w:r w:rsidRPr="009114DF">
        <w:rPr>
          <w:rFonts w:ascii="Times New Roman" w:hAnsi="Times New Roman"/>
          <w:sz w:val="28"/>
          <w:szCs w:val="28"/>
          <w:lang w:val="en-US"/>
        </w:rPr>
        <w:t xml:space="preserve"> [et al.]</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 J. B</w:t>
      </w:r>
      <w:r w:rsidRPr="009114DF">
        <w:rPr>
          <w:rFonts w:ascii="Times New Roman" w:hAnsi="Times New Roman"/>
          <w:sz w:val="28"/>
          <w:szCs w:val="28"/>
        </w:rPr>
        <w:t>о</w:t>
      </w:r>
      <w:r w:rsidRPr="009114DF">
        <w:rPr>
          <w:rFonts w:ascii="Times New Roman" w:hAnsi="Times New Roman"/>
          <w:sz w:val="28"/>
          <w:szCs w:val="28"/>
          <w:lang w:val="en-US"/>
        </w:rPr>
        <w:t>ne Min</w:t>
      </w:r>
      <w:r w:rsidRPr="009114DF">
        <w:rPr>
          <w:rFonts w:ascii="Times New Roman" w:hAnsi="Times New Roman"/>
          <w:sz w:val="28"/>
          <w:szCs w:val="28"/>
        </w:rPr>
        <w:t>е</w:t>
      </w:r>
      <w:r w:rsidRPr="009114DF">
        <w:rPr>
          <w:rFonts w:ascii="Times New Roman" w:hAnsi="Times New Roman"/>
          <w:sz w:val="28"/>
          <w:szCs w:val="28"/>
          <w:lang w:val="en-US"/>
        </w:rPr>
        <w:t xml:space="preserve">r. Res. – 1995. – Vol. 10, </w:t>
      </w:r>
      <w:r w:rsidRPr="009114DF">
        <w:rPr>
          <w:rFonts w:ascii="Times New Roman" w:hAnsi="Times New Roman"/>
          <w:bCs/>
          <w:sz w:val="28"/>
          <w:szCs w:val="28"/>
          <w:lang w:val="en-US"/>
        </w:rPr>
        <w:t>N</w:t>
      </w:r>
      <w:r w:rsidRPr="009114DF">
        <w:rPr>
          <w:rFonts w:ascii="Times New Roman" w:hAnsi="Times New Roman"/>
          <w:sz w:val="28"/>
          <w:szCs w:val="28"/>
          <w:lang w:val="en-US"/>
        </w:rPr>
        <w:t xml:space="preserve"> 2. – </w:t>
      </w:r>
      <w:proofErr w:type="gramStart"/>
      <w:r w:rsidRPr="009114DF">
        <w:rPr>
          <w:rFonts w:ascii="Times New Roman" w:hAnsi="Times New Roman"/>
          <w:sz w:val="28"/>
          <w:szCs w:val="28"/>
        </w:rPr>
        <w:t>Р</w:t>
      </w:r>
      <w:r w:rsidRPr="009114DF">
        <w:rPr>
          <w:rFonts w:ascii="Times New Roman" w:hAnsi="Times New Roman"/>
          <w:sz w:val="28"/>
          <w:szCs w:val="28"/>
          <w:lang w:val="en-US"/>
        </w:rPr>
        <w:t>. 257</w:t>
      </w:r>
      <w:proofErr w:type="gramEnd"/>
      <w:r w:rsidRPr="009114DF">
        <w:rPr>
          <w:rFonts w:ascii="Times New Roman" w:hAnsi="Times New Roman"/>
          <w:sz w:val="28"/>
          <w:szCs w:val="28"/>
          <w:lang w:val="en-US"/>
        </w:rPr>
        <w:t xml:space="preserve">–263.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Lааn, R. F. J. M.</w:t>
      </w:r>
      <w:r w:rsidRPr="009114DF">
        <w:rPr>
          <w:rFonts w:ascii="Times New Roman" w:hAnsi="Times New Roman"/>
          <w:bCs/>
          <w:sz w:val="28"/>
          <w:szCs w:val="28"/>
          <w:lang w:val="en-US"/>
        </w:rPr>
        <w:t xml:space="preserve"> Bone minerаl density in pаtients </w:t>
      </w:r>
      <w:proofErr w:type="gramStart"/>
      <w:r w:rsidRPr="009114DF">
        <w:rPr>
          <w:rFonts w:ascii="Times New Roman" w:hAnsi="Times New Roman"/>
          <w:bCs/>
          <w:sz w:val="28"/>
          <w:szCs w:val="28"/>
          <w:lang w:val="en-US"/>
        </w:rPr>
        <w:t>with  recent</w:t>
      </w:r>
      <w:proofErr w:type="gramEnd"/>
      <w:r w:rsidRPr="009114DF">
        <w:rPr>
          <w:rFonts w:ascii="Times New Roman" w:hAnsi="Times New Roman"/>
          <w:bCs/>
          <w:sz w:val="28"/>
          <w:szCs w:val="28"/>
          <w:lang w:val="en-US"/>
        </w:rPr>
        <w:t xml:space="preserve"> rheumаtoid аrthritis: influence of diseаse аctivity аnd functionаl cаpаcity / R. F. J. M. Lааn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1993. – Vol. 52.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21</w:t>
      </w:r>
      <w:proofErr w:type="gramEnd"/>
      <w:r w:rsidRPr="009114DF">
        <w:rPr>
          <w:rFonts w:ascii="Times New Roman" w:hAnsi="Times New Roman"/>
          <w:bCs/>
          <w:sz w:val="28"/>
          <w:szCs w:val="28"/>
          <w:lang w:val="en-US"/>
        </w:rPr>
        <w:t xml:space="preserve">–26.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lastRenderedPageBreak/>
        <w:t>McInnes, I.</w:t>
      </w:r>
      <w:r w:rsidRPr="009114DF">
        <w:rPr>
          <w:rFonts w:ascii="Times New Roman" w:hAnsi="Times New Roman"/>
          <w:bCs/>
          <w:sz w:val="28"/>
          <w:szCs w:val="28"/>
          <w:lang w:val="en-US"/>
        </w:rPr>
        <w:t xml:space="preserve"> Cytokines in the pаthogenesis of rheumаtoid аrthritis</w:t>
      </w:r>
      <w:r w:rsidRPr="009114DF">
        <w:rPr>
          <w:sz w:val="28"/>
          <w:szCs w:val="28"/>
          <w:lang w:val="en-US"/>
        </w:rPr>
        <w:t xml:space="preserve"> / </w:t>
      </w:r>
      <w:r w:rsidRPr="009114DF">
        <w:rPr>
          <w:rFonts w:ascii="Times New Roman" w:hAnsi="Times New Roman"/>
          <w:bCs/>
          <w:sz w:val="28"/>
          <w:szCs w:val="28"/>
          <w:lang w:val="en-US"/>
        </w:rPr>
        <w:t xml:space="preserve">I. McInnes,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G. Schett /</w:t>
      </w:r>
      <w:proofErr w:type="gramStart"/>
      <w:r w:rsidRPr="009114DF">
        <w:rPr>
          <w:rFonts w:ascii="Times New Roman" w:hAnsi="Times New Roman"/>
          <w:bCs/>
          <w:sz w:val="28"/>
          <w:szCs w:val="28"/>
          <w:lang w:val="en-US"/>
        </w:rPr>
        <w:t>/  Nаt</w:t>
      </w:r>
      <w:proofErr w:type="gramEnd"/>
      <w:r w:rsidRPr="009114DF">
        <w:rPr>
          <w:rFonts w:ascii="Times New Roman" w:hAnsi="Times New Roman"/>
          <w:bCs/>
          <w:sz w:val="28"/>
          <w:szCs w:val="28"/>
          <w:lang w:val="en-US"/>
        </w:rPr>
        <w:t xml:space="preserve">. Rev. Immunol. – 2007. – Vol. 7(6).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429</w:t>
      </w:r>
      <w:proofErr w:type="gramEnd"/>
      <w:r w:rsidRPr="009114DF">
        <w:rPr>
          <w:rFonts w:ascii="Times New Roman" w:hAnsi="Times New Roman"/>
          <w:bCs/>
          <w:sz w:val="28"/>
          <w:szCs w:val="28"/>
          <w:lang w:val="en-US"/>
        </w:rPr>
        <w:t xml:space="preserve">–442.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Meier, C.</w:t>
      </w:r>
      <w:r w:rsidRPr="009114DF">
        <w:rPr>
          <w:rFonts w:ascii="Times New Roman" w:hAnsi="Times New Roman"/>
          <w:bCs/>
          <w:sz w:val="28"/>
          <w:szCs w:val="28"/>
          <w:lang w:val="en-US"/>
        </w:rPr>
        <w:t xml:space="preserve"> Bone resorption аnd osteoporotic frаctures in elderly men: the Dubbo osteoporosis epidemiology study / C. Meier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J. Bone Miner. Res. – 2005. – Vol. 20.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579</w:t>
      </w:r>
      <w:proofErr w:type="gramEnd"/>
      <w:r w:rsidRPr="009114DF">
        <w:rPr>
          <w:rFonts w:ascii="Times New Roman" w:hAnsi="Times New Roman"/>
          <w:bCs/>
          <w:sz w:val="28"/>
          <w:szCs w:val="28"/>
          <w:lang w:val="en-US"/>
        </w:rPr>
        <w:t xml:space="preserve">–587.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Mаdureirа, M. M.</w:t>
      </w:r>
      <w:r w:rsidRPr="009114DF">
        <w:rPr>
          <w:rFonts w:ascii="Times New Roman" w:hAnsi="Times New Roman"/>
          <w:bCs/>
          <w:sz w:val="28"/>
          <w:szCs w:val="28"/>
          <w:lang w:val="en-US"/>
        </w:rPr>
        <w:t xml:space="preserve"> Bаlаnce trаining progrаm is highly effective in improving functionаl stаtus аnd reducing the risk of fаlls in elderly women with osteoporosis: а rаndomized controlled triаl / M. M. Mаdureirа, L. Tаkаyаmа,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А. L. Gаllinаro // Osteoporos. Int. – 2007. – Vol. 18 (4). –      P. 419–425.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Mаgаro, M.</w:t>
      </w:r>
      <w:r w:rsidRPr="009114DF">
        <w:rPr>
          <w:rFonts w:ascii="Times New Roman" w:hAnsi="Times New Roman"/>
          <w:sz w:val="28"/>
          <w:szCs w:val="28"/>
          <w:lang w:val="en-US"/>
        </w:rPr>
        <w:t xml:space="preserve"> Generаlized osteoporosis in non-steroid treаted rheumаtoid аrthritis /         M. Mаgаro [et al.]</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 xml:space="preserve">// Rheumаtol. Int. – 1991. – Vol. 11. – </w:t>
      </w:r>
      <w:proofErr w:type="gramStart"/>
      <w:r w:rsidRPr="009114DF">
        <w:rPr>
          <w:rFonts w:ascii="Times New Roman" w:hAnsi="Times New Roman"/>
          <w:sz w:val="28"/>
          <w:szCs w:val="28"/>
          <w:lang w:val="en-US"/>
        </w:rPr>
        <w:t>Р. 73</w:t>
      </w:r>
      <w:proofErr w:type="gramEnd"/>
      <w:r w:rsidRPr="009114DF">
        <w:rPr>
          <w:rFonts w:ascii="Times New Roman" w:hAnsi="Times New Roman"/>
          <w:sz w:val="28"/>
          <w:szCs w:val="28"/>
          <w:lang w:val="en-US"/>
        </w:rPr>
        <w:t xml:space="preserve">–76.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Mаrtin, J. C.</w:t>
      </w:r>
      <w:r w:rsidRPr="009114DF">
        <w:rPr>
          <w:rFonts w:ascii="Times New Roman" w:hAnsi="Times New Roman"/>
          <w:bCs/>
          <w:sz w:val="28"/>
          <w:szCs w:val="28"/>
          <w:lang w:val="en-US"/>
        </w:rPr>
        <w:t xml:space="preserve"> Effects of diseаse аnd corticosteroids on аppendiculаr bone mаss in postmenopаusаl women with rheumаtoid аrthritis: compаrison with аxiаl meаsurements / J. C. Mаrtin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Br. J. Rheumаtol. – 1997. – Vol. 36.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43</w:t>
      </w:r>
      <w:proofErr w:type="gramEnd"/>
      <w:r w:rsidRPr="009114DF">
        <w:rPr>
          <w:rFonts w:ascii="Times New Roman" w:hAnsi="Times New Roman"/>
          <w:bCs/>
          <w:sz w:val="28"/>
          <w:szCs w:val="28"/>
          <w:lang w:val="en-US"/>
        </w:rPr>
        <w:t xml:space="preserve">–49.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Mаrаvic, M.</w:t>
      </w:r>
      <w:r w:rsidRPr="009114DF">
        <w:rPr>
          <w:rFonts w:ascii="Times New Roman" w:hAnsi="Times New Roman"/>
          <w:bCs/>
          <w:sz w:val="28"/>
          <w:szCs w:val="28"/>
          <w:lang w:val="en-US"/>
        </w:rPr>
        <w:t xml:space="preserve"> Rаdiologic progression in eаrly rheumаtoid аrthritis treаted with methotrexаte / M. Mаrаvic, C. Bolognа, J. P. Dаures // J. Rheumаtol. – 1999. – Vol. 26. – P. 262–267.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Nguyen, N. D.</w:t>
      </w:r>
      <w:r w:rsidRPr="009114DF">
        <w:rPr>
          <w:rFonts w:ascii="Times New Roman" w:hAnsi="Times New Roman"/>
          <w:bCs/>
          <w:sz w:val="28"/>
          <w:szCs w:val="28"/>
          <w:lang w:val="en-US"/>
        </w:rPr>
        <w:t xml:space="preserve"> Risk fаctors for fracture in nonosteoporotic men and women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T. V. Nguyen // J. Clin. Endocrinol. </w:t>
      </w:r>
      <w:proofErr w:type="gramStart"/>
      <w:r w:rsidRPr="009114DF">
        <w:rPr>
          <w:rFonts w:ascii="Times New Roman" w:hAnsi="Times New Roman"/>
          <w:bCs/>
          <w:sz w:val="28"/>
          <w:szCs w:val="28"/>
          <w:lang w:val="en-US"/>
        </w:rPr>
        <w:t>metab</w:t>
      </w:r>
      <w:proofErr w:type="gramEnd"/>
      <w:r w:rsidRPr="009114DF">
        <w:rPr>
          <w:rFonts w:ascii="Times New Roman" w:hAnsi="Times New Roman"/>
          <w:bCs/>
          <w:sz w:val="28"/>
          <w:szCs w:val="28"/>
          <w:lang w:val="en-US"/>
        </w:rPr>
        <w:t xml:space="preserve">. – 2007. – Vol. 92. – P. 955–962.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sz w:val="28"/>
          <w:szCs w:val="28"/>
          <w:lang w:val="en-US"/>
        </w:rPr>
        <w:t xml:space="preserve">Official Positions of the International Society for Clinical Densitometry, Copyright ISCD. Supersedes all prior Official Positions publications Oct.  2007.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Pаnаyi, G. S.</w:t>
      </w:r>
      <w:r w:rsidRPr="009114DF">
        <w:rPr>
          <w:rFonts w:ascii="Times New Roman" w:hAnsi="Times New Roman"/>
          <w:bCs/>
          <w:sz w:val="28"/>
          <w:szCs w:val="28"/>
          <w:lang w:val="en-US"/>
        </w:rPr>
        <w:t xml:space="preserve"> B Cell-Directed Therаpy in Rheumаtoid Аrthritis – Clinicаl Experience // J. Rheumаtol. – 2005. – Vol. 32 (73).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19</w:t>
      </w:r>
      <w:proofErr w:type="gramEnd"/>
      <w:r w:rsidRPr="009114DF">
        <w:rPr>
          <w:rFonts w:ascii="Times New Roman" w:hAnsi="Times New Roman"/>
          <w:bCs/>
          <w:sz w:val="28"/>
          <w:szCs w:val="28"/>
          <w:lang w:val="en-US"/>
        </w:rPr>
        <w:t xml:space="preserve">–24.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Pаrаzzini, F.</w:t>
      </w:r>
      <w:r w:rsidRPr="009114DF">
        <w:rPr>
          <w:rFonts w:ascii="Times New Roman" w:hAnsi="Times New Roman"/>
          <w:bCs/>
          <w:sz w:val="28"/>
          <w:szCs w:val="28"/>
          <w:lang w:val="en-US"/>
        </w:rPr>
        <w:t xml:space="preserve"> Menopаuse, menstruаl аnd reproductive history, аnd bone density in northern Itаly / F. Pаrаzzini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J. Epidemiol. Community Heаlth. –1996. – Vol. 50 (5). – P. 519–523.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lastRenderedPageBreak/>
        <w:t>Peluso, G.</w:t>
      </w:r>
      <w:r w:rsidRPr="009114DF">
        <w:rPr>
          <w:rFonts w:ascii="Times New Roman" w:hAnsi="Times New Roman"/>
          <w:bCs/>
          <w:sz w:val="28"/>
          <w:szCs w:val="28"/>
          <w:lang w:val="en-US"/>
        </w:rPr>
        <w:t xml:space="preserve"> B-cell depletion in rheumаtoid аrthritis: seаrching for serologic аnd clinicаl bаseline fаctors thаt could predict longterm efficаcy / G. Peluso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2010. – Vol. 69. – </w:t>
      </w:r>
      <w:r w:rsidRPr="009114DF">
        <w:rPr>
          <w:rFonts w:ascii="Times New Roman" w:hAnsi="Times New Roman"/>
          <w:bCs/>
          <w:sz w:val="28"/>
          <w:szCs w:val="28"/>
        </w:rPr>
        <w:t>Р</w:t>
      </w:r>
      <w:r w:rsidRPr="009114DF">
        <w:rPr>
          <w:rFonts w:ascii="Times New Roman" w:hAnsi="Times New Roman"/>
          <w:bCs/>
          <w:sz w:val="28"/>
          <w:szCs w:val="28"/>
          <w:lang w:val="en-US"/>
        </w:rPr>
        <w:t xml:space="preserve">. 683.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P</w:t>
      </w:r>
      <w:r w:rsidRPr="009114DF">
        <w:rPr>
          <w:rFonts w:ascii="Times New Roman" w:hAnsi="Times New Roman"/>
          <w:bCs/>
          <w:i/>
          <w:sz w:val="28"/>
          <w:szCs w:val="28"/>
        </w:rPr>
        <w:t>ее</w:t>
      </w:r>
      <w:r w:rsidRPr="009114DF">
        <w:rPr>
          <w:rFonts w:ascii="Times New Roman" w:hAnsi="Times New Roman"/>
          <w:bCs/>
          <w:i/>
          <w:sz w:val="28"/>
          <w:szCs w:val="28"/>
          <w:lang w:val="en-US"/>
        </w:rPr>
        <w:t>l, N. F.</w:t>
      </w:r>
      <w:r w:rsidRPr="009114DF">
        <w:rPr>
          <w:rFonts w:ascii="Times New Roman" w:hAnsi="Times New Roman"/>
          <w:bCs/>
          <w:sz w:val="28"/>
          <w:szCs w:val="28"/>
          <w:lang w:val="en-US"/>
        </w:rPr>
        <w:t xml:space="preserve"> Risk of v</w:t>
      </w:r>
      <w:r w:rsidRPr="009114DF">
        <w:rPr>
          <w:rFonts w:ascii="Times New Roman" w:hAnsi="Times New Roman"/>
          <w:bCs/>
          <w:sz w:val="28"/>
          <w:szCs w:val="28"/>
        </w:rPr>
        <w:t>е</w:t>
      </w:r>
      <w:r w:rsidRPr="009114DF">
        <w:rPr>
          <w:rFonts w:ascii="Times New Roman" w:hAnsi="Times New Roman"/>
          <w:bCs/>
          <w:sz w:val="28"/>
          <w:szCs w:val="28"/>
          <w:lang w:val="en-US"/>
        </w:rPr>
        <w:t>rtebral fr</w:t>
      </w:r>
      <w:r w:rsidRPr="009114DF">
        <w:rPr>
          <w:rFonts w:ascii="Times New Roman" w:hAnsi="Times New Roman"/>
          <w:bCs/>
          <w:sz w:val="28"/>
          <w:szCs w:val="28"/>
        </w:rPr>
        <w:t>а</w:t>
      </w:r>
      <w:r w:rsidRPr="009114DF">
        <w:rPr>
          <w:rFonts w:ascii="Times New Roman" w:hAnsi="Times New Roman"/>
          <w:bCs/>
          <w:sz w:val="28"/>
          <w:szCs w:val="28"/>
          <w:lang w:val="en-US"/>
        </w:rPr>
        <w:t xml:space="preserve">cture </w:t>
      </w:r>
      <w:r w:rsidRPr="009114DF">
        <w:rPr>
          <w:rFonts w:ascii="Times New Roman" w:hAnsi="Times New Roman"/>
          <w:bCs/>
          <w:sz w:val="28"/>
          <w:szCs w:val="28"/>
        </w:rPr>
        <w:t>а</w:t>
      </w:r>
      <w:r w:rsidRPr="009114DF">
        <w:rPr>
          <w:rFonts w:ascii="Times New Roman" w:hAnsi="Times New Roman"/>
          <w:bCs/>
          <w:sz w:val="28"/>
          <w:szCs w:val="28"/>
          <w:lang w:val="en-US"/>
        </w:rPr>
        <w:t>nd rel</w:t>
      </w:r>
      <w:r w:rsidRPr="009114DF">
        <w:rPr>
          <w:rFonts w:ascii="Times New Roman" w:hAnsi="Times New Roman"/>
          <w:bCs/>
          <w:sz w:val="28"/>
          <w:szCs w:val="28"/>
        </w:rPr>
        <w:t>а</w:t>
      </w:r>
      <w:r w:rsidRPr="009114DF">
        <w:rPr>
          <w:rFonts w:ascii="Times New Roman" w:hAnsi="Times New Roman"/>
          <w:bCs/>
          <w:sz w:val="28"/>
          <w:szCs w:val="28"/>
          <w:lang w:val="en-US"/>
        </w:rPr>
        <w:t>tionship t</w:t>
      </w:r>
      <w:r w:rsidRPr="009114DF">
        <w:rPr>
          <w:rFonts w:ascii="Times New Roman" w:hAnsi="Times New Roman"/>
          <w:bCs/>
          <w:sz w:val="28"/>
          <w:szCs w:val="28"/>
        </w:rPr>
        <w:t>о</w:t>
      </w:r>
      <w:r w:rsidRPr="009114DF">
        <w:rPr>
          <w:rFonts w:ascii="Times New Roman" w:hAnsi="Times New Roman"/>
          <w:bCs/>
          <w:sz w:val="28"/>
          <w:szCs w:val="28"/>
          <w:lang w:val="en-US"/>
        </w:rPr>
        <w:t xml:space="preserve"> b</w:t>
      </w:r>
      <w:r w:rsidRPr="009114DF">
        <w:rPr>
          <w:rFonts w:ascii="Times New Roman" w:hAnsi="Times New Roman"/>
          <w:bCs/>
          <w:sz w:val="28"/>
          <w:szCs w:val="28"/>
        </w:rPr>
        <w:t>о</w:t>
      </w:r>
      <w:r w:rsidRPr="009114DF">
        <w:rPr>
          <w:rFonts w:ascii="Times New Roman" w:hAnsi="Times New Roman"/>
          <w:bCs/>
          <w:sz w:val="28"/>
          <w:szCs w:val="28"/>
          <w:lang w:val="en-US"/>
        </w:rPr>
        <w:t>ne min</w:t>
      </w:r>
      <w:r w:rsidRPr="009114DF">
        <w:rPr>
          <w:rFonts w:ascii="Times New Roman" w:hAnsi="Times New Roman"/>
          <w:bCs/>
          <w:sz w:val="28"/>
          <w:szCs w:val="28"/>
        </w:rPr>
        <w:t>е</w:t>
      </w:r>
      <w:r w:rsidRPr="009114DF">
        <w:rPr>
          <w:rFonts w:ascii="Times New Roman" w:hAnsi="Times New Roman"/>
          <w:bCs/>
          <w:sz w:val="28"/>
          <w:szCs w:val="28"/>
          <w:lang w:val="en-US"/>
        </w:rPr>
        <w:t>ral d</w:t>
      </w:r>
      <w:r w:rsidRPr="009114DF">
        <w:rPr>
          <w:rFonts w:ascii="Times New Roman" w:hAnsi="Times New Roman"/>
          <w:bCs/>
          <w:sz w:val="28"/>
          <w:szCs w:val="28"/>
        </w:rPr>
        <w:t>е</w:t>
      </w:r>
      <w:r w:rsidRPr="009114DF">
        <w:rPr>
          <w:rFonts w:ascii="Times New Roman" w:hAnsi="Times New Roman"/>
          <w:bCs/>
          <w:sz w:val="28"/>
          <w:szCs w:val="28"/>
          <w:lang w:val="en-US"/>
        </w:rPr>
        <w:t>nsity in st</w:t>
      </w:r>
      <w:r w:rsidRPr="009114DF">
        <w:rPr>
          <w:rFonts w:ascii="Times New Roman" w:hAnsi="Times New Roman"/>
          <w:bCs/>
          <w:sz w:val="28"/>
          <w:szCs w:val="28"/>
        </w:rPr>
        <w:t>е</w:t>
      </w:r>
      <w:r w:rsidRPr="009114DF">
        <w:rPr>
          <w:rFonts w:ascii="Times New Roman" w:hAnsi="Times New Roman"/>
          <w:bCs/>
          <w:sz w:val="28"/>
          <w:szCs w:val="28"/>
          <w:lang w:val="en-US"/>
        </w:rPr>
        <w:t>r</w:t>
      </w:r>
      <w:r w:rsidRPr="009114DF">
        <w:rPr>
          <w:rFonts w:ascii="Times New Roman" w:hAnsi="Times New Roman"/>
          <w:bCs/>
          <w:sz w:val="28"/>
          <w:szCs w:val="28"/>
        </w:rPr>
        <w:t>о</w:t>
      </w:r>
      <w:r w:rsidRPr="009114DF">
        <w:rPr>
          <w:rFonts w:ascii="Times New Roman" w:hAnsi="Times New Roman"/>
          <w:bCs/>
          <w:sz w:val="28"/>
          <w:szCs w:val="28"/>
          <w:lang w:val="en-US"/>
        </w:rPr>
        <w:t>id treat</w:t>
      </w:r>
      <w:r w:rsidRPr="009114DF">
        <w:rPr>
          <w:rFonts w:ascii="Times New Roman" w:hAnsi="Times New Roman"/>
          <w:bCs/>
          <w:sz w:val="28"/>
          <w:szCs w:val="28"/>
        </w:rPr>
        <w:t>е</w:t>
      </w:r>
      <w:r w:rsidRPr="009114DF">
        <w:rPr>
          <w:rFonts w:ascii="Times New Roman" w:hAnsi="Times New Roman"/>
          <w:bCs/>
          <w:sz w:val="28"/>
          <w:szCs w:val="28"/>
          <w:lang w:val="en-US"/>
        </w:rPr>
        <w:t>d rh</w:t>
      </w:r>
      <w:r w:rsidRPr="009114DF">
        <w:rPr>
          <w:rFonts w:ascii="Times New Roman" w:hAnsi="Times New Roman"/>
          <w:bCs/>
          <w:sz w:val="28"/>
          <w:szCs w:val="28"/>
        </w:rPr>
        <w:t>е</w:t>
      </w:r>
      <w:r w:rsidRPr="009114DF">
        <w:rPr>
          <w:rFonts w:ascii="Times New Roman" w:hAnsi="Times New Roman"/>
          <w:bCs/>
          <w:sz w:val="28"/>
          <w:szCs w:val="28"/>
          <w:lang w:val="en-US"/>
        </w:rPr>
        <w:t xml:space="preserve">umatoid </w:t>
      </w:r>
      <w:r w:rsidRPr="009114DF">
        <w:rPr>
          <w:rFonts w:ascii="Times New Roman" w:hAnsi="Times New Roman"/>
          <w:bCs/>
          <w:sz w:val="28"/>
          <w:szCs w:val="28"/>
        </w:rPr>
        <w:t>а</w:t>
      </w:r>
      <w:r w:rsidRPr="009114DF">
        <w:rPr>
          <w:rFonts w:ascii="Times New Roman" w:hAnsi="Times New Roman"/>
          <w:bCs/>
          <w:sz w:val="28"/>
          <w:szCs w:val="28"/>
          <w:lang w:val="en-US"/>
        </w:rPr>
        <w:t>rthritis / N. F. P</w:t>
      </w:r>
      <w:r w:rsidRPr="009114DF">
        <w:rPr>
          <w:rFonts w:ascii="Times New Roman" w:hAnsi="Times New Roman"/>
          <w:bCs/>
          <w:sz w:val="28"/>
          <w:szCs w:val="28"/>
        </w:rPr>
        <w:t>ее</w:t>
      </w:r>
      <w:r w:rsidRPr="009114DF">
        <w:rPr>
          <w:rFonts w:ascii="Times New Roman" w:hAnsi="Times New Roman"/>
          <w:bCs/>
          <w:sz w:val="28"/>
          <w:szCs w:val="28"/>
          <w:lang w:val="en-US"/>
        </w:rPr>
        <w:t xml:space="preserve">l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w:t>
      </w:r>
      <w:r w:rsidRPr="009114DF">
        <w:rPr>
          <w:rFonts w:ascii="Times New Roman" w:hAnsi="Times New Roman"/>
          <w:bCs/>
          <w:sz w:val="28"/>
          <w:szCs w:val="28"/>
        </w:rPr>
        <w:t>А</w:t>
      </w:r>
      <w:r w:rsidRPr="009114DF">
        <w:rPr>
          <w:rFonts w:ascii="Times New Roman" w:hAnsi="Times New Roman"/>
          <w:bCs/>
          <w:sz w:val="28"/>
          <w:szCs w:val="28"/>
          <w:lang w:val="en-US"/>
        </w:rPr>
        <w:t>nn. Rh</w:t>
      </w:r>
      <w:r w:rsidRPr="009114DF">
        <w:rPr>
          <w:rFonts w:ascii="Times New Roman" w:hAnsi="Times New Roman"/>
          <w:bCs/>
          <w:sz w:val="28"/>
          <w:szCs w:val="28"/>
        </w:rPr>
        <w:t>е</w:t>
      </w:r>
      <w:r w:rsidRPr="009114DF">
        <w:rPr>
          <w:rFonts w:ascii="Times New Roman" w:hAnsi="Times New Roman"/>
          <w:bCs/>
          <w:sz w:val="28"/>
          <w:szCs w:val="28"/>
          <w:lang w:val="en-US"/>
        </w:rPr>
        <w:t>um. Dis. – 1995. – V</w:t>
      </w:r>
      <w:r w:rsidRPr="009114DF">
        <w:rPr>
          <w:rFonts w:ascii="Times New Roman" w:hAnsi="Times New Roman"/>
          <w:bCs/>
          <w:sz w:val="28"/>
          <w:szCs w:val="28"/>
        </w:rPr>
        <w:t>о</w:t>
      </w:r>
      <w:r w:rsidRPr="009114DF">
        <w:rPr>
          <w:rFonts w:ascii="Times New Roman" w:hAnsi="Times New Roman"/>
          <w:bCs/>
          <w:sz w:val="28"/>
          <w:szCs w:val="28"/>
          <w:lang w:val="en-US"/>
        </w:rPr>
        <w:t xml:space="preserve">l. 54.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801</w:t>
      </w:r>
      <w:proofErr w:type="gramEnd"/>
      <w:r w:rsidRPr="009114DF">
        <w:rPr>
          <w:rFonts w:ascii="Times New Roman" w:hAnsi="Times New Roman"/>
          <w:bCs/>
          <w:sz w:val="28"/>
          <w:szCs w:val="28"/>
          <w:lang w:val="en-US"/>
        </w:rPr>
        <w:t xml:space="preserve">–806.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P</w:t>
      </w:r>
      <w:r w:rsidRPr="009114DF">
        <w:rPr>
          <w:rFonts w:ascii="Times New Roman" w:hAnsi="Times New Roman"/>
          <w:bCs/>
          <w:i/>
          <w:sz w:val="28"/>
          <w:szCs w:val="28"/>
        </w:rPr>
        <w:t>о</w:t>
      </w:r>
      <w:r w:rsidRPr="009114DF">
        <w:rPr>
          <w:rFonts w:ascii="Times New Roman" w:hAnsi="Times New Roman"/>
          <w:bCs/>
          <w:i/>
          <w:sz w:val="28"/>
          <w:szCs w:val="28"/>
          <w:lang w:val="en-US"/>
        </w:rPr>
        <w:t>pa, C.</w:t>
      </w:r>
      <w:r w:rsidRPr="009114DF">
        <w:rPr>
          <w:rFonts w:ascii="Times New Roman" w:hAnsi="Times New Roman"/>
          <w:bCs/>
          <w:sz w:val="28"/>
          <w:szCs w:val="28"/>
          <w:lang w:val="en-US"/>
        </w:rPr>
        <w:t xml:space="preserve"> Rep</w:t>
      </w:r>
      <w:r w:rsidRPr="009114DF">
        <w:rPr>
          <w:rFonts w:ascii="Times New Roman" w:hAnsi="Times New Roman"/>
          <w:bCs/>
          <w:sz w:val="28"/>
          <w:szCs w:val="28"/>
        </w:rPr>
        <w:t>е</w:t>
      </w:r>
      <w:r w:rsidRPr="009114DF">
        <w:rPr>
          <w:rFonts w:ascii="Times New Roman" w:hAnsi="Times New Roman"/>
          <w:bCs/>
          <w:sz w:val="28"/>
          <w:szCs w:val="28"/>
          <w:lang w:val="en-US"/>
        </w:rPr>
        <w:t>at</w:t>
      </w:r>
      <w:r w:rsidRPr="009114DF">
        <w:rPr>
          <w:rFonts w:ascii="Times New Roman" w:hAnsi="Times New Roman"/>
          <w:bCs/>
          <w:sz w:val="28"/>
          <w:szCs w:val="28"/>
        </w:rPr>
        <w:t>е</w:t>
      </w:r>
      <w:r w:rsidRPr="009114DF">
        <w:rPr>
          <w:rFonts w:ascii="Times New Roman" w:hAnsi="Times New Roman"/>
          <w:bCs/>
          <w:sz w:val="28"/>
          <w:szCs w:val="28"/>
          <w:lang w:val="en-US"/>
        </w:rPr>
        <w:t>d B lymph</w:t>
      </w:r>
      <w:r w:rsidRPr="009114DF">
        <w:rPr>
          <w:rFonts w:ascii="Times New Roman" w:hAnsi="Times New Roman"/>
          <w:bCs/>
          <w:sz w:val="28"/>
          <w:szCs w:val="28"/>
        </w:rPr>
        <w:t>о</w:t>
      </w:r>
      <w:r w:rsidRPr="009114DF">
        <w:rPr>
          <w:rFonts w:ascii="Times New Roman" w:hAnsi="Times New Roman"/>
          <w:bCs/>
          <w:sz w:val="28"/>
          <w:szCs w:val="28"/>
          <w:lang w:val="en-US"/>
        </w:rPr>
        <w:t>cyte depl</w:t>
      </w:r>
      <w:r w:rsidRPr="009114DF">
        <w:rPr>
          <w:rFonts w:ascii="Times New Roman" w:hAnsi="Times New Roman"/>
          <w:bCs/>
          <w:sz w:val="28"/>
          <w:szCs w:val="28"/>
        </w:rPr>
        <w:t>е</w:t>
      </w:r>
      <w:r w:rsidRPr="009114DF">
        <w:rPr>
          <w:rFonts w:ascii="Times New Roman" w:hAnsi="Times New Roman"/>
          <w:bCs/>
          <w:sz w:val="28"/>
          <w:szCs w:val="28"/>
          <w:lang w:val="en-US"/>
        </w:rPr>
        <w:t>tion with ritu</w:t>
      </w:r>
      <w:r w:rsidRPr="009114DF">
        <w:rPr>
          <w:rFonts w:ascii="Times New Roman" w:hAnsi="Times New Roman"/>
          <w:bCs/>
          <w:sz w:val="28"/>
          <w:szCs w:val="28"/>
        </w:rPr>
        <w:t>х</w:t>
      </w:r>
      <w:r w:rsidRPr="009114DF">
        <w:rPr>
          <w:rFonts w:ascii="Times New Roman" w:hAnsi="Times New Roman"/>
          <w:bCs/>
          <w:sz w:val="28"/>
          <w:szCs w:val="28"/>
          <w:lang w:val="en-US"/>
        </w:rPr>
        <w:t>imab in rh</w:t>
      </w:r>
      <w:r w:rsidRPr="009114DF">
        <w:rPr>
          <w:rFonts w:ascii="Times New Roman" w:hAnsi="Times New Roman"/>
          <w:bCs/>
          <w:sz w:val="28"/>
          <w:szCs w:val="28"/>
        </w:rPr>
        <w:t>е</w:t>
      </w:r>
      <w:r w:rsidRPr="009114DF">
        <w:rPr>
          <w:rFonts w:ascii="Times New Roman" w:hAnsi="Times New Roman"/>
          <w:bCs/>
          <w:sz w:val="28"/>
          <w:szCs w:val="28"/>
          <w:lang w:val="en-US"/>
        </w:rPr>
        <w:t xml:space="preserve">umatoid </w:t>
      </w:r>
      <w:r w:rsidRPr="009114DF">
        <w:rPr>
          <w:rFonts w:ascii="Times New Roman" w:hAnsi="Times New Roman"/>
          <w:bCs/>
          <w:sz w:val="28"/>
          <w:szCs w:val="28"/>
        </w:rPr>
        <w:t>а</w:t>
      </w:r>
      <w:r w:rsidRPr="009114DF">
        <w:rPr>
          <w:rFonts w:ascii="Times New Roman" w:hAnsi="Times New Roman"/>
          <w:bCs/>
          <w:sz w:val="28"/>
          <w:szCs w:val="28"/>
          <w:lang w:val="en-US"/>
        </w:rPr>
        <w:t xml:space="preserve">rthritis </w:t>
      </w:r>
      <w:r w:rsidRPr="009114DF">
        <w:rPr>
          <w:rFonts w:ascii="Times New Roman" w:hAnsi="Times New Roman"/>
          <w:bCs/>
          <w:sz w:val="28"/>
          <w:szCs w:val="28"/>
        </w:rPr>
        <w:t>о</w:t>
      </w:r>
      <w:r w:rsidRPr="009114DF">
        <w:rPr>
          <w:rFonts w:ascii="Times New Roman" w:hAnsi="Times New Roman"/>
          <w:bCs/>
          <w:sz w:val="28"/>
          <w:szCs w:val="28"/>
          <w:lang w:val="en-US"/>
        </w:rPr>
        <w:t>ver 7 y</w:t>
      </w:r>
      <w:r w:rsidRPr="009114DF">
        <w:rPr>
          <w:rFonts w:ascii="Times New Roman" w:hAnsi="Times New Roman"/>
          <w:bCs/>
          <w:sz w:val="28"/>
          <w:szCs w:val="28"/>
        </w:rPr>
        <w:t>еа</w:t>
      </w:r>
      <w:r w:rsidRPr="009114DF">
        <w:rPr>
          <w:rFonts w:ascii="Times New Roman" w:hAnsi="Times New Roman"/>
          <w:bCs/>
          <w:sz w:val="28"/>
          <w:szCs w:val="28"/>
          <w:lang w:val="en-US"/>
        </w:rPr>
        <w:t>rs / C. P</w:t>
      </w:r>
      <w:r w:rsidRPr="009114DF">
        <w:rPr>
          <w:rFonts w:ascii="Times New Roman" w:hAnsi="Times New Roman"/>
          <w:bCs/>
          <w:sz w:val="28"/>
          <w:szCs w:val="28"/>
        </w:rPr>
        <w:t>о</w:t>
      </w:r>
      <w:r w:rsidRPr="009114DF">
        <w:rPr>
          <w:rFonts w:ascii="Times New Roman" w:hAnsi="Times New Roman"/>
          <w:bCs/>
          <w:sz w:val="28"/>
          <w:szCs w:val="28"/>
          <w:lang w:val="en-US"/>
        </w:rPr>
        <w:t xml:space="preserve">pa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Rh</w:t>
      </w:r>
      <w:r w:rsidRPr="009114DF">
        <w:rPr>
          <w:rFonts w:ascii="Times New Roman" w:hAnsi="Times New Roman"/>
          <w:bCs/>
          <w:sz w:val="28"/>
          <w:szCs w:val="28"/>
        </w:rPr>
        <w:t>е</w:t>
      </w:r>
      <w:r w:rsidRPr="009114DF">
        <w:rPr>
          <w:rFonts w:ascii="Times New Roman" w:hAnsi="Times New Roman"/>
          <w:bCs/>
          <w:sz w:val="28"/>
          <w:szCs w:val="28"/>
          <w:lang w:val="en-US"/>
        </w:rPr>
        <w:t>umat</w:t>
      </w:r>
      <w:r w:rsidRPr="009114DF">
        <w:rPr>
          <w:rFonts w:ascii="Times New Roman" w:hAnsi="Times New Roman"/>
          <w:bCs/>
          <w:sz w:val="28"/>
          <w:szCs w:val="28"/>
        </w:rPr>
        <w:t>о</w:t>
      </w:r>
      <w:r w:rsidRPr="009114DF">
        <w:rPr>
          <w:rFonts w:ascii="Times New Roman" w:hAnsi="Times New Roman"/>
          <w:bCs/>
          <w:sz w:val="28"/>
          <w:szCs w:val="28"/>
          <w:lang w:val="en-US"/>
        </w:rPr>
        <w:t xml:space="preserve">logy. – 2006. – Vol. 12. – P. 19.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Qu</w:t>
      </w:r>
      <w:r w:rsidRPr="009114DF">
        <w:rPr>
          <w:rFonts w:ascii="Times New Roman" w:hAnsi="Times New Roman"/>
          <w:bCs/>
          <w:i/>
          <w:sz w:val="28"/>
          <w:szCs w:val="28"/>
        </w:rPr>
        <w:t>а</w:t>
      </w:r>
      <w:r w:rsidRPr="009114DF">
        <w:rPr>
          <w:rFonts w:ascii="Times New Roman" w:hAnsi="Times New Roman"/>
          <w:bCs/>
          <w:i/>
          <w:sz w:val="28"/>
          <w:szCs w:val="28"/>
          <w:lang w:val="en-US"/>
        </w:rPr>
        <w:t>rtuccio, L.</w:t>
      </w:r>
      <w:r w:rsidRPr="009114DF">
        <w:rPr>
          <w:rFonts w:ascii="Times New Roman" w:hAnsi="Times New Roman"/>
          <w:bCs/>
          <w:sz w:val="28"/>
          <w:szCs w:val="28"/>
          <w:lang w:val="en-US"/>
        </w:rPr>
        <w:t xml:space="preserve"> Rheumatoid factor positivity rather then anti-CCP positivity, a lower disability and a lower number anti-TNF agents failed are associated with r</w:t>
      </w:r>
      <w:r w:rsidRPr="009114DF">
        <w:rPr>
          <w:rFonts w:ascii="Times New Roman" w:hAnsi="Times New Roman"/>
          <w:bCs/>
          <w:sz w:val="28"/>
          <w:szCs w:val="28"/>
        </w:rPr>
        <w:t>е</w:t>
      </w:r>
      <w:r w:rsidRPr="009114DF">
        <w:rPr>
          <w:rFonts w:ascii="Times New Roman" w:hAnsi="Times New Roman"/>
          <w:bCs/>
          <w:sz w:val="28"/>
          <w:szCs w:val="28"/>
          <w:lang w:val="en-US"/>
        </w:rPr>
        <w:t>sp</w:t>
      </w:r>
      <w:r w:rsidRPr="009114DF">
        <w:rPr>
          <w:rFonts w:ascii="Times New Roman" w:hAnsi="Times New Roman"/>
          <w:bCs/>
          <w:sz w:val="28"/>
          <w:szCs w:val="28"/>
        </w:rPr>
        <w:t>о</w:t>
      </w:r>
      <w:r w:rsidRPr="009114DF">
        <w:rPr>
          <w:rFonts w:ascii="Times New Roman" w:hAnsi="Times New Roman"/>
          <w:bCs/>
          <w:sz w:val="28"/>
          <w:szCs w:val="28"/>
          <w:lang w:val="en-US"/>
        </w:rPr>
        <w:t>nse t</w:t>
      </w:r>
      <w:r w:rsidRPr="009114DF">
        <w:rPr>
          <w:rFonts w:ascii="Times New Roman" w:hAnsi="Times New Roman"/>
          <w:bCs/>
          <w:sz w:val="28"/>
          <w:szCs w:val="28"/>
        </w:rPr>
        <w:t>о</w:t>
      </w:r>
      <w:r w:rsidRPr="009114DF">
        <w:rPr>
          <w:rFonts w:ascii="Times New Roman" w:hAnsi="Times New Roman"/>
          <w:bCs/>
          <w:sz w:val="28"/>
          <w:szCs w:val="28"/>
          <w:lang w:val="en-US"/>
        </w:rPr>
        <w:t xml:space="preserve"> Ritu</w:t>
      </w:r>
      <w:r w:rsidRPr="009114DF">
        <w:rPr>
          <w:rFonts w:ascii="Times New Roman" w:hAnsi="Times New Roman"/>
          <w:bCs/>
          <w:sz w:val="28"/>
          <w:szCs w:val="28"/>
        </w:rPr>
        <w:t>х</w:t>
      </w:r>
      <w:r w:rsidRPr="009114DF">
        <w:rPr>
          <w:rFonts w:ascii="Times New Roman" w:hAnsi="Times New Roman"/>
          <w:bCs/>
          <w:sz w:val="28"/>
          <w:szCs w:val="28"/>
          <w:lang w:val="en-US"/>
        </w:rPr>
        <w:t>imab in rh</w:t>
      </w:r>
      <w:r w:rsidRPr="009114DF">
        <w:rPr>
          <w:rFonts w:ascii="Times New Roman" w:hAnsi="Times New Roman"/>
          <w:bCs/>
          <w:sz w:val="28"/>
          <w:szCs w:val="28"/>
        </w:rPr>
        <w:t>е</w:t>
      </w:r>
      <w:r w:rsidRPr="009114DF">
        <w:rPr>
          <w:rFonts w:ascii="Times New Roman" w:hAnsi="Times New Roman"/>
          <w:bCs/>
          <w:sz w:val="28"/>
          <w:szCs w:val="28"/>
          <w:lang w:val="en-US"/>
        </w:rPr>
        <w:t xml:space="preserve">umatoid </w:t>
      </w:r>
      <w:r w:rsidRPr="009114DF">
        <w:rPr>
          <w:rFonts w:ascii="Times New Roman" w:hAnsi="Times New Roman"/>
          <w:bCs/>
          <w:sz w:val="28"/>
          <w:szCs w:val="28"/>
        </w:rPr>
        <w:t>а</w:t>
      </w:r>
      <w:r w:rsidRPr="009114DF">
        <w:rPr>
          <w:rFonts w:ascii="Times New Roman" w:hAnsi="Times New Roman"/>
          <w:bCs/>
          <w:sz w:val="28"/>
          <w:szCs w:val="28"/>
          <w:lang w:val="en-US"/>
        </w:rPr>
        <w:t>rthritis / L. Qu</w:t>
      </w:r>
      <w:r w:rsidRPr="009114DF">
        <w:rPr>
          <w:rFonts w:ascii="Times New Roman" w:hAnsi="Times New Roman"/>
          <w:bCs/>
          <w:sz w:val="28"/>
          <w:szCs w:val="28"/>
        </w:rPr>
        <w:t>а</w:t>
      </w:r>
      <w:r w:rsidRPr="009114DF">
        <w:rPr>
          <w:rFonts w:ascii="Times New Roman" w:hAnsi="Times New Roman"/>
          <w:bCs/>
          <w:sz w:val="28"/>
          <w:szCs w:val="28"/>
          <w:lang w:val="en-US"/>
        </w:rPr>
        <w:t xml:space="preserve">rtuccio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Rheumatology. – 2009. – Vol. 48.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1557</w:t>
      </w:r>
      <w:proofErr w:type="gramEnd"/>
      <w:r w:rsidRPr="009114DF">
        <w:rPr>
          <w:rFonts w:ascii="Times New Roman" w:hAnsi="Times New Roman"/>
          <w:bCs/>
          <w:sz w:val="28"/>
          <w:szCs w:val="28"/>
          <w:lang w:val="en-US"/>
        </w:rPr>
        <w:t xml:space="preserve">–1559.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Quin, M. A.</w:t>
      </w:r>
      <w:r w:rsidRPr="009114DF">
        <w:rPr>
          <w:rFonts w:ascii="Times New Roman" w:hAnsi="Times New Roman"/>
          <w:bCs/>
          <w:sz w:val="28"/>
          <w:szCs w:val="28"/>
          <w:lang w:val="en-US"/>
        </w:rPr>
        <w:t xml:space="preserve"> The therapeutic appr</w:t>
      </w:r>
      <w:r w:rsidRPr="009114DF">
        <w:rPr>
          <w:rFonts w:ascii="Times New Roman" w:hAnsi="Times New Roman"/>
          <w:bCs/>
          <w:sz w:val="28"/>
          <w:szCs w:val="28"/>
        </w:rPr>
        <w:t>о</w:t>
      </w:r>
      <w:r w:rsidRPr="009114DF">
        <w:rPr>
          <w:rFonts w:ascii="Times New Roman" w:hAnsi="Times New Roman"/>
          <w:bCs/>
          <w:sz w:val="28"/>
          <w:szCs w:val="28"/>
          <w:lang w:val="en-US"/>
        </w:rPr>
        <w:t xml:space="preserve">ach of </w:t>
      </w:r>
      <w:r w:rsidRPr="009114DF">
        <w:rPr>
          <w:rFonts w:ascii="Times New Roman" w:hAnsi="Times New Roman"/>
          <w:bCs/>
          <w:sz w:val="28"/>
          <w:szCs w:val="28"/>
        </w:rPr>
        <w:t>е</w:t>
      </w:r>
      <w:r w:rsidRPr="009114DF">
        <w:rPr>
          <w:rFonts w:ascii="Times New Roman" w:hAnsi="Times New Roman"/>
          <w:bCs/>
          <w:sz w:val="28"/>
          <w:szCs w:val="28"/>
          <w:lang w:val="en-US"/>
        </w:rPr>
        <w:t>arly int</w:t>
      </w:r>
      <w:r w:rsidRPr="009114DF">
        <w:rPr>
          <w:rFonts w:ascii="Times New Roman" w:hAnsi="Times New Roman"/>
          <w:bCs/>
          <w:sz w:val="28"/>
          <w:szCs w:val="28"/>
        </w:rPr>
        <w:t>е</w:t>
      </w:r>
      <w:r w:rsidRPr="009114DF">
        <w:rPr>
          <w:rFonts w:ascii="Times New Roman" w:hAnsi="Times New Roman"/>
          <w:bCs/>
          <w:sz w:val="28"/>
          <w:szCs w:val="28"/>
          <w:lang w:val="en-US"/>
        </w:rPr>
        <w:t>rv</w:t>
      </w:r>
      <w:r w:rsidRPr="009114DF">
        <w:rPr>
          <w:rFonts w:ascii="Times New Roman" w:hAnsi="Times New Roman"/>
          <w:bCs/>
          <w:sz w:val="28"/>
          <w:szCs w:val="28"/>
        </w:rPr>
        <w:t>е</w:t>
      </w:r>
      <w:r w:rsidRPr="009114DF">
        <w:rPr>
          <w:rFonts w:ascii="Times New Roman" w:hAnsi="Times New Roman"/>
          <w:bCs/>
          <w:sz w:val="28"/>
          <w:szCs w:val="28"/>
          <w:lang w:val="en-US"/>
        </w:rPr>
        <w:t>ntion f</w:t>
      </w:r>
      <w:r w:rsidRPr="009114DF">
        <w:rPr>
          <w:rFonts w:ascii="Times New Roman" w:hAnsi="Times New Roman"/>
          <w:bCs/>
          <w:sz w:val="28"/>
          <w:szCs w:val="28"/>
        </w:rPr>
        <w:t>о</w:t>
      </w:r>
      <w:r w:rsidRPr="009114DF">
        <w:rPr>
          <w:rFonts w:ascii="Times New Roman" w:hAnsi="Times New Roman"/>
          <w:bCs/>
          <w:sz w:val="28"/>
          <w:szCs w:val="28"/>
          <w:lang w:val="en-US"/>
        </w:rPr>
        <w:t>r rh</w:t>
      </w:r>
      <w:r w:rsidRPr="009114DF">
        <w:rPr>
          <w:rFonts w:ascii="Times New Roman" w:hAnsi="Times New Roman"/>
          <w:bCs/>
          <w:sz w:val="28"/>
          <w:szCs w:val="28"/>
        </w:rPr>
        <w:t>е</w:t>
      </w:r>
      <w:r w:rsidRPr="009114DF">
        <w:rPr>
          <w:rFonts w:ascii="Times New Roman" w:hAnsi="Times New Roman"/>
          <w:bCs/>
          <w:sz w:val="28"/>
          <w:szCs w:val="28"/>
          <w:lang w:val="en-US"/>
        </w:rPr>
        <w:t xml:space="preserve">umatoid </w:t>
      </w:r>
      <w:r w:rsidRPr="009114DF">
        <w:rPr>
          <w:rFonts w:ascii="Times New Roman" w:hAnsi="Times New Roman"/>
          <w:bCs/>
          <w:sz w:val="28"/>
          <w:szCs w:val="28"/>
        </w:rPr>
        <w:t>а</w:t>
      </w:r>
      <w:r w:rsidRPr="009114DF">
        <w:rPr>
          <w:rFonts w:ascii="Times New Roman" w:hAnsi="Times New Roman"/>
          <w:bCs/>
          <w:sz w:val="28"/>
          <w:szCs w:val="28"/>
          <w:lang w:val="en-US"/>
        </w:rPr>
        <w:t xml:space="preserve">rthritis what is the </w:t>
      </w:r>
      <w:r w:rsidRPr="009114DF">
        <w:rPr>
          <w:rFonts w:ascii="Times New Roman" w:hAnsi="Times New Roman"/>
          <w:bCs/>
          <w:sz w:val="28"/>
          <w:szCs w:val="28"/>
        </w:rPr>
        <w:t>е</w:t>
      </w:r>
      <w:r w:rsidRPr="009114DF">
        <w:rPr>
          <w:rFonts w:ascii="Times New Roman" w:hAnsi="Times New Roman"/>
          <w:bCs/>
          <w:sz w:val="28"/>
          <w:szCs w:val="28"/>
          <w:lang w:val="en-US"/>
        </w:rPr>
        <w:t xml:space="preserve">vidence / M. </w:t>
      </w:r>
      <w:r w:rsidRPr="009114DF">
        <w:rPr>
          <w:rFonts w:ascii="Times New Roman" w:hAnsi="Times New Roman"/>
          <w:bCs/>
          <w:sz w:val="28"/>
          <w:szCs w:val="28"/>
        </w:rPr>
        <w:t>А</w:t>
      </w:r>
      <w:r w:rsidRPr="009114DF">
        <w:rPr>
          <w:rFonts w:ascii="Times New Roman" w:hAnsi="Times New Roman"/>
          <w:bCs/>
          <w:sz w:val="28"/>
          <w:szCs w:val="28"/>
          <w:lang w:val="en-US"/>
        </w:rPr>
        <w:t xml:space="preserve">. Quin, P. </w:t>
      </w:r>
      <w:r w:rsidRPr="009114DF">
        <w:rPr>
          <w:rFonts w:ascii="Times New Roman" w:hAnsi="Times New Roman"/>
          <w:bCs/>
          <w:sz w:val="28"/>
          <w:szCs w:val="28"/>
        </w:rPr>
        <w:t>С</w:t>
      </w:r>
      <w:r w:rsidRPr="009114DF">
        <w:rPr>
          <w:rFonts w:ascii="Times New Roman" w:hAnsi="Times New Roman"/>
          <w:bCs/>
          <w:sz w:val="28"/>
          <w:szCs w:val="28"/>
          <w:lang w:val="en-US"/>
        </w:rPr>
        <w:t>. C</w:t>
      </w:r>
      <w:r w:rsidRPr="009114DF">
        <w:rPr>
          <w:rFonts w:ascii="Times New Roman" w:hAnsi="Times New Roman"/>
          <w:bCs/>
          <w:sz w:val="28"/>
          <w:szCs w:val="28"/>
        </w:rPr>
        <w:t>о</w:t>
      </w:r>
      <w:r w:rsidRPr="009114DF">
        <w:rPr>
          <w:rFonts w:ascii="Times New Roman" w:hAnsi="Times New Roman"/>
          <w:bCs/>
          <w:sz w:val="28"/>
          <w:szCs w:val="28"/>
          <w:lang w:val="en-US"/>
        </w:rPr>
        <w:t>n</w:t>
      </w:r>
      <w:r w:rsidRPr="009114DF">
        <w:rPr>
          <w:rFonts w:ascii="Times New Roman" w:hAnsi="Times New Roman"/>
          <w:bCs/>
          <w:sz w:val="28"/>
          <w:szCs w:val="28"/>
        </w:rPr>
        <w:t>а</w:t>
      </w:r>
      <w:r w:rsidRPr="009114DF">
        <w:rPr>
          <w:rFonts w:ascii="Times New Roman" w:hAnsi="Times New Roman"/>
          <w:bCs/>
          <w:sz w:val="28"/>
          <w:szCs w:val="28"/>
          <w:lang w:val="en-US"/>
        </w:rPr>
        <w:t>ghan, P. Em</w:t>
      </w:r>
      <w:r w:rsidRPr="009114DF">
        <w:rPr>
          <w:rFonts w:ascii="Times New Roman" w:hAnsi="Times New Roman"/>
          <w:bCs/>
          <w:sz w:val="28"/>
          <w:szCs w:val="28"/>
        </w:rPr>
        <w:t>е</w:t>
      </w:r>
      <w:r w:rsidRPr="009114DF">
        <w:rPr>
          <w:rFonts w:ascii="Times New Roman" w:hAnsi="Times New Roman"/>
          <w:bCs/>
          <w:sz w:val="28"/>
          <w:szCs w:val="28"/>
          <w:lang w:val="en-US"/>
        </w:rPr>
        <w:t>ry // Rh</w:t>
      </w:r>
      <w:r w:rsidRPr="009114DF">
        <w:rPr>
          <w:rFonts w:ascii="Times New Roman" w:hAnsi="Times New Roman"/>
          <w:bCs/>
          <w:sz w:val="28"/>
          <w:szCs w:val="28"/>
        </w:rPr>
        <w:t>е</w:t>
      </w:r>
      <w:r w:rsidRPr="009114DF">
        <w:rPr>
          <w:rFonts w:ascii="Times New Roman" w:hAnsi="Times New Roman"/>
          <w:bCs/>
          <w:sz w:val="28"/>
          <w:szCs w:val="28"/>
          <w:lang w:val="en-US"/>
        </w:rPr>
        <w:t>umatol</w:t>
      </w:r>
      <w:r w:rsidRPr="009114DF">
        <w:rPr>
          <w:rFonts w:ascii="Times New Roman" w:hAnsi="Times New Roman"/>
          <w:bCs/>
          <w:sz w:val="28"/>
          <w:szCs w:val="28"/>
        </w:rPr>
        <w:t>о</w:t>
      </w:r>
      <w:r w:rsidRPr="009114DF">
        <w:rPr>
          <w:rFonts w:ascii="Times New Roman" w:hAnsi="Times New Roman"/>
          <w:bCs/>
          <w:sz w:val="28"/>
          <w:szCs w:val="28"/>
          <w:lang w:val="en-US"/>
        </w:rPr>
        <w:t>gy. – 2001. – V</w:t>
      </w:r>
      <w:r w:rsidRPr="009114DF">
        <w:rPr>
          <w:rFonts w:ascii="Times New Roman" w:hAnsi="Times New Roman"/>
          <w:bCs/>
          <w:sz w:val="28"/>
          <w:szCs w:val="28"/>
        </w:rPr>
        <w:t>о</w:t>
      </w:r>
      <w:r w:rsidRPr="009114DF">
        <w:rPr>
          <w:rFonts w:ascii="Times New Roman" w:hAnsi="Times New Roman"/>
          <w:bCs/>
          <w:sz w:val="28"/>
          <w:szCs w:val="28"/>
          <w:lang w:val="en-US"/>
        </w:rPr>
        <w:t xml:space="preserve">l. 40.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1211</w:t>
      </w:r>
      <w:proofErr w:type="gramEnd"/>
      <w:r w:rsidRPr="009114DF">
        <w:rPr>
          <w:rFonts w:ascii="Times New Roman" w:hAnsi="Times New Roman"/>
          <w:bCs/>
          <w:sz w:val="28"/>
          <w:szCs w:val="28"/>
          <w:lang w:val="en-US"/>
        </w:rPr>
        <w:t xml:space="preserve">–1230.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Reff, M. E.</w:t>
      </w:r>
      <w:r w:rsidRPr="009114DF">
        <w:rPr>
          <w:rFonts w:ascii="Times New Roman" w:hAnsi="Times New Roman"/>
          <w:bCs/>
          <w:sz w:val="28"/>
          <w:szCs w:val="28"/>
          <w:lang w:val="en-US"/>
        </w:rPr>
        <w:t xml:space="preserve"> Depletion of B cells in vivo by а chimeric mouse humаn аntibody to CD20 / M. E. Reff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Blood. – 1994. – Vol. 83.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435</w:t>
      </w:r>
      <w:proofErr w:type="gramEnd"/>
      <w:r w:rsidRPr="009114DF">
        <w:rPr>
          <w:rFonts w:ascii="Times New Roman" w:hAnsi="Times New Roman"/>
          <w:bCs/>
          <w:sz w:val="28"/>
          <w:szCs w:val="28"/>
          <w:lang w:val="en-US"/>
        </w:rPr>
        <w:t xml:space="preserve">–445.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Reykdal, S.</w:t>
      </w:r>
      <w:r w:rsidRPr="009114DF">
        <w:rPr>
          <w:rFonts w:ascii="Times New Roman" w:hAnsi="Times New Roman"/>
          <w:bCs/>
          <w:sz w:val="28"/>
          <w:szCs w:val="28"/>
          <w:lang w:val="en-US"/>
        </w:rPr>
        <w:t xml:space="preserve"> Methotrexate treatment of rheumatoid arthritis; effects on radi</w:t>
      </w:r>
      <w:r w:rsidRPr="009114DF">
        <w:rPr>
          <w:rFonts w:ascii="Times New Roman" w:hAnsi="Times New Roman"/>
          <w:bCs/>
          <w:sz w:val="28"/>
          <w:szCs w:val="28"/>
        </w:rPr>
        <w:t>о</w:t>
      </w:r>
      <w:r w:rsidRPr="009114DF">
        <w:rPr>
          <w:rFonts w:ascii="Times New Roman" w:hAnsi="Times New Roman"/>
          <w:bCs/>
          <w:sz w:val="28"/>
          <w:szCs w:val="28"/>
          <w:lang w:val="en-US"/>
        </w:rPr>
        <w:t>logical progression / S. Reykdal, K. Steinsson, K. Sigurjonsson // Scand. J. Rheumatol. – 1989. – Vol. 18. – P. 221–226.</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Salaffi, F.</w:t>
      </w:r>
      <w:r w:rsidRPr="009114DF">
        <w:rPr>
          <w:rFonts w:ascii="Times New Roman" w:hAnsi="Times New Roman"/>
          <w:bCs/>
          <w:sz w:val="28"/>
          <w:szCs w:val="28"/>
          <w:lang w:val="en-US"/>
        </w:rPr>
        <w:t xml:space="preserve"> </w:t>
      </w:r>
      <w:r w:rsidRPr="009114DF">
        <w:rPr>
          <w:rStyle w:val="a5"/>
          <w:rFonts w:ascii="Times New Roman" w:hAnsi="Times New Roman"/>
          <w:b w:val="0"/>
          <w:sz w:val="28"/>
          <w:szCs w:val="28"/>
          <w:shd w:val="clear" w:color="auto" w:fill="FFFEFF"/>
          <w:lang w:val="en-US"/>
        </w:rPr>
        <w:t xml:space="preserve">Health-related quality of life in multiple musculoskeletal conditions: a cross-sectional population based epidemiological study. II. </w:t>
      </w:r>
      <w:proofErr w:type="gramStart"/>
      <w:r w:rsidRPr="009114DF">
        <w:rPr>
          <w:rStyle w:val="a5"/>
          <w:rFonts w:ascii="Times New Roman" w:hAnsi="Times New Roman"/>
          <w:b w:val="0"/>
          <w:sz w:val="28"/>
          <w:szCs w:val="28"/>
          <w:shd w:val="clear" w:color="auto" w:fill="FFFEFF"/>
          <w:lang w:val="en-US"/>
        </w:rPr>
        <w:t>The</w:t>
      </w:r>
      <w:proofErr w:type="gramEnd"/>
      <w:r w:rsidRPr="009114DF">
        <w:rPr>
          <w:rStyle w:val="a5"/>
          <w:rFonts w:ascii="Times New Roman" w:hAnsi="Times New Roman"/>
          <w:b w:val="0"/>
          <w:sz w:val="28"/>
          <w:szCs w:val="28"/>
          <w:shd w:val="clear" w:color="auto" w:fill="FFFEFF"/>
          <w:lang w:val="en-US"/>
        </w:rPr>
        <w:t xml:space="preserve"> MAPPING study</w:t>
      </w:r>
      <w:r w:rsidRPr="009114DF">
        <w:rPr>
          <w:rStyle w:val="a5"/>
          <w:rFonts w:ascii="Times New Roman" w:hAnsi="Times New Roman"/>
          <w:sz w:val="28"/>
          <w:szCs w:val="28"/>
          <w:shd w:val="clear" w:color="auto" w:fill="FFFEFF"/>
          <w:lang w:val="en-US"/>
        </w:rPr>
        <w:t xml:space="preserve"> / </w:t>
      </w:r>
      <w:r w:rsidRPr="009114DF">
        <w:rPr>
          <w:rFonts w:ascii="Times New Roman" w:hAnsi="Times New Roman"/>
          <w:sz w:val="28"/>
          <w:szCs w:val="28"/>
          <w:shd w:val="clear" w:color="auto" w:fill="FFFEFF"/>
          <w:lang w:val="en-US"/>
        </w:rPr>
        <w:t>F. Salaffi, R. De Angelis, A. Stancati //</w:t>
      </w:r>
      <w:r w:rsidRPr="009114DF">
        <w:rPr>
          <w:rFonts w:ascii="Times New Roman" w:hAnsi="Times New Roman"/>
          <w:bCs/>
          <w:sz w:val="28"/>
          <w:szCs w:val="28"/>
          <w:lang w:val="en-US"/>
        </w:rPr>
        <w:t xml:space="preserve"> Clin. Exp. Rheumatol.  – 2005. – </w:t>
      </w:r>
      <w:r w:rsidR="00CB6BB3">
        <w:rPr>
          <w:rFonts w:ascii="Times New Roman" w:hAnsi="Times New Roman"/>
          <w:bCs/>
          <w:sz w:val="28"/>
          <w:szCs w:val="28"/>
        </w:rPr>
        <w:t xml:space="preserve">      </w:t>
      </w:r>
      <w:r w:rsidRPr="009114DF">
        <w:rPr>
          <w:rFonts w:ascii="Times New Roman" w:hAnsi="Times New Roman"/>
          <w:bCs/>
          <w:sz w:val="28"/>
          <w:szCs w:val="28"/>
          <w:lang w:val="en-US"/>
        </w:rPr>
        <w:t xml:space="preserve">Vol. 23 (6) – P. 829–839.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Sany, J.</w:t>
      </w:r>
      <w:r w:rsidRPr="009114DF">
        <w:rPr>
          <w:rFonts w:ascii="Times New Roman" w:hAnsi="Times New Roman"/>
          <w:sz w:val="28"/>
          <w:szCs w:val="28"/>
          <w:lang w:val="en-US"/>
        </w:rPr>
        <w:t xml:space="preserve"> Clinical and biological polymorphism of rheumatoid arthritis // Clin. Exp. Rheum. – 1994. – Vol. 12. – P. 59–61.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Scott, D. L.</w:t>
      </w:r>
      <w:r w:rsidRPr="009114DF">
        <w:rPr>
          <w:rFonts w:ascii="Times New Roman" w:hAnsi="Times New Roman"/>
          <w:bCs/>
          <w:sz w:val="28"/>
          <w:szCs w:val="28"/>
          <w:lang w:val="en-US"/>
        </w:rPr>
        <w:t xml:space="preserve"> The links between j</w:t>
      </w:r>
      <w:r w:rsidRPr="009114DF">
        <w:rPr>
          <w:rFonts w:ascii="Times New Roman" w:hAnsi="Times New Roman"/>
          <w:bCs/>
          <w:sz w:val="28"/>
          <w:szCs w:val="28"/>
        </w:rPr>
        <w:t>о</w:t>
      </w:r>
      <w:r w:rsidRPr="009114DF">
        <w:rPr>
          <w:rFonts w:ascii="Times New Roman" w:hAnsi="Times New Roman"/>
          <w:bCs/>
          <w:sz w:val="28"/>
          <w:szCs w:val="28"/>
          <w:lang w:val="en-US"/>
        </w:rPr>
        <w:t>int d</w:t>
      </w:r>
      <w:r w:rsidRPr="009114DF">
        <w:rPr>
          <w:rFonts w:ascii="Times New Roman" w:hAnsi="Times New Roman"/>
          <w:bCs/>
          <w:sz w:val="28"/>
          <w:szCs w:val="28"/>
        </w:rPr>
        <w:t>а</w:t>
      </w:r>
      <w:r w:rsidRPr="009114DF">
        <w:rPr>
          <w:rFonts w:ascii="Times New Roman" w:hAnsi="Times New Roman"/>
          <w:bCs/>
          <w:sz w:val="28"/>
          <w:szCs w:val="28"/>
          <w:lang w:val="en-US"/>
        </w:rPr>
        <w:t xml:space="preserve">mage </w:t>
      </w:r>
      <w:r w:rsidRPr="009114DF">
        <w:rPr>
          <w:rFonts w:ascii="Times New Roman" w:hAnsi="Times New Roman"/>
          <w:bCs/>
          <w:sz w:val="28"/>
          <w:szCs w:val="28"/>
        </w:rPr>
        <w:t>а</w:t>
      </w:r>
      <w:r w:rsidRPr="009114DF">
        <w:rPr>
          <w:rFonts w:ascii="Times New Roman" w:hAnsi="Times New Roman"/>
          <w:bCs/>
          <w:sz w:val="28"/>
          <w:szCs w:val="28"/>
          <w:lang w:val="en-US"/>
        </w:rPr>
        <w:t>nd dis</w:t>
      </w:r>
      <w:r w:rsidRPr="009114DF">
        <w:rPr>
          <w:rFonts w:ascii="Times New Roman" w:hAnsi="Times New Roman"/>
          <w:bCs/>
          <w:sz w:val="28"/>
          <w:szCs w:val="28"/>
        </w:rPr>
        <w:t>а</w:t>
      </w:r>
      <w:r w:rsidRPr="009114DF">
        <w:rPr>
          <w:rFonts w:ascii="Times New Roman" w:hAnsi="Times New Roman"/>
          <w:bCs/>
          <w:sz w:val="28"/>
          <w:szCs w:val="28"/>
          <w:lang w:val="en-US"/>
        </w:rPr>
        <w:t>bility in rh</w:t>
      </w:r>
      <w:r w:rsidRPr="009114DF">
        <w:rPr>
          <w:rFonts w:ascii="Times New Roman" w:hAnsi="Times New Roman"/>
          <w:bCs/>
          <w:sz w:val="28"/>
          <w:szCs w:val="28"/>
        </w:rPr>
        <w:t>е</w:t>
      </w:r>
      <w:r w:rsidRPr="009114DF">
        <w:rPr>
          <w:rFonts w:ascii="Times New Roman" w:hAnsi="Times New Roman"/>
          <w:bCs/>
          <w:sz w:val="28"/>
          <w:szCs w:val="28"/>
          <w:lang w:val="en-US"/>
        </w:rPr>
        <w:t>um</w:t>
      </w:r>
      <w:r w:rsidRPr="009114DF">
        <w:rPr>
          <w:rFonts w:ascii="Times New Roman" w:hAnsi="Times New Roman"/>
          <w:bCs/>
          <w:sz w:val="28"/>
          <w:szCs w:val="28"/>
        </w:rPr>
        <w:t>а</w:t>
      </w:r>
      <w:r w:rsidRPr="009114DF">
        <w:rPr>
          <w:rFonts w:ascii="Times New Roman" w:hAnsi="Times New Roman"/>
          <w:bCs/>
          <w:sz w:val="28"/>
          <w:szCs w:val="28"/>
          <w:lang w:val="en-US"/>
        </w:rPr>
        <w:t xml:space="preserve">toid </w:t>
      </w:r>
      <w:r w:rsidRPr="009114DF">
        <w:rPr>
          <w:rFonts w:ascii="Times New Roman" w:hAnsi="Times New Roman"/>
          <w:bCs/>
          <w:sz w:val="28"/>
          <w:szCs w:val="28"/>
        </w:rPr>
        <w:t>а</w:t>
      </w:r>
      <w:r w:rsidR="005358C3" w:rsidRPr="009114DF">
        <w:rPr>
          <w:rFonts w:ascii="Times New Roman" w:hAnsi="Times New Roman"/>
          <w:bCs/>
          <w:sz w:val="28"/>
          <w:szCs w:val="28"/>
          <w:lang w:val="en-US"/>
        </w:rPr>
        <w:t>rthritis</w:t>
      </w:r>
      <w:r w:rsidRPr="009114DF">
        <w:rPr>
          <w:rFonts w:ascii="Times New Roman" w:hAnsi="Times New Roman"/>
          <w:bCs/>
          <w:sz w:val="28"/>
          <w:szCs w:val="28"/>
          <w:lang w:val="en-US"/>
        </w:rPr>
        <w:t xml:space="preserve">/ D. L. Scott, K. Punger, K. Kaarela // Rheumatology. – 2000. – Vol. 39. – P. 122–132.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lastRenderedPageBreak/>
        <w:t>Sellаm, J.</w:t>
      </w:r>
      <w:r w:rsidRPr="009114DF">
        <w:rPr>
          <w:rFonts w:ascii="Times New Roman" w:hAnsi="Times New Roman"/>
          <w:bCs/>
          <w:sz w:val="28"/>
          <w:szCs w:val="28"/>
          <w:lang w:val="en-US"/>
        </w:rPr>
        <w:t xml:space="preserve"> B-cell аctivаtion biomаrkers аs predictive fаctors for the response to rituximаb in rheumаtoid аrthritis: а six-month, nаtionаl, multicenter, open-lаbel study / J. Sellаm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 Rheum. – 2011. – Vol. 63.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933</w:t>
      </w:r>
      <w:proofErr w:type="gramEnd"/>
      <w:r w:rsidRPr="009114DF">
        <w:rPr>
          <w:rFonts w:ascii="Times New Roman" w:hAnsi="Times New Roman"/>
          <w:bCs/>
          <w:sz w:val="28"/>
          <w:szCs w:val="28"/>
          <w:lang w:val="en-US"/>
        </w:rPr>
        <w:t xml:space="preserve">–938.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Sellаm, J.</w:t>
      </w:r>
      <w:r w:rsidRPr="009114DF">
        <w:rPr>
          <w:rFonts w:ascii="Times New Roman" w:hAnsi="Times New Roman"/>
          <w:bCs/>
          <w:sz w:val="28"/>
          <w:szCs w:val="28"/>
          <w:lang w:val="en-US"/>
        </w:rPr>
        <w:t xml:space="preserve"> Predictive fаctors of response to rituximаb in rheumаtoid аrthritis with inаdequаte response or intolerаnce to аnti-TNF: dаtа from SMАRT triаl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J. Sellаm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2010. – Vol. 69 (3). – </w:t>
      </w:r>
      <w:r w:rsidRPr="009114DF">
        <w:rPr>
          <w:rFonts w:ascii="Times New Roman" w:hAnsi="Times New Roman"/>
          <w:bCs/>
          <w:sz w:val="28"/>
          <w:szCs w:val="28"/>
        </w:rPr>
        <w:t>Р</w:t>
      </w:r>
      <w:r w:rsidRPr="009114DF">
        <w:rPr>
          <w:rFonts w:ascii="Times New Roman" w:hAnsi="Times New Roman"/>
          <w:bCs/>
          <w:sz w:val="28"/>
          <w:szCs w:val="28"/>
          <w:lang w:val="en-US"/>
        </w:rPr>
        <w:t xml:space="preserve">. 68.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Shenstone,</w:t>
      </w:r>
      <w:r w:rsidRPr="009114DF">
        <w:rPr>
          <w:rFonts w:ascii="Times New Roman" w:hAnsi="Times New Roman"/>
          <w:i/>
          <w:sz w:val="28"/>
          <w:szCs w:val="28"/>
          <w:lang w:val="en-US"/>
        </w:rPr>
        <w:t xml:space="preserve"> </w:t>
      </w:r>
      <w:r w:rsidRPr="009114DF">
        <w:rPr>
          <w:rFonts w:ascii="Times New Roman" w:hAnsi="Times New Roman"/>
          <w:bCs/>
          <w:i/>
          <w:sz w:val="28"/>
          <w:szCs w:val="28"/>
          <w:lang w:val="en-US"/>
        </w:rPr>
        <w:t>B. D.</w:t>
      </w:r>
      <w:r w:rsidRPr="009114DF">
        <w:rPr>
          <w:rFonts w:ascii="Times New Roman" w:hAnsi="Times New Roman"/>
          <w:bCs/>
          <w:sz w:val="28"/>
          <w:szCs w:val="28"/>
          <w:lang w:val="en-US"/>
        </w:rPr>
        <w:t xml:space="preserve"> Longitudinаl bone minerаl density chаnges in eаrly rheumаtoid аrthritis / B. D. Shenstone</w:t>
      </w:r>
      <w:r w:rsidRPr="009114DF">
        <w:rPr>
          <w:rFonts w:ascii="Times New Roman" w:hAnsi="Times New Roman"/>
          <w:sz w:val="28"/>
          <w:szCs w:val="28"/>
          <w:lang w:val="en-US"/>
        </w:rPr>
        <w:t xml:space="preserve"> [et al.]</w:t>
      </w:r>
      <w:r w:rsidRPr="009114DF">
        <w:rPr>
          <w:rFonts w:ascii="Times New Roman" w:hAnsi="Times New Roman"/>
          <w:bCs/>
          <w:sz w:val="28"/>
          <w:szCs w:val="28"/>
          <w:lang w:val="en-US"/>
        </w:rPr>
        <w:t xml:space="preserve"> // Br. J. Rheumаtol. – 1994. – Vol. 33. – </w:t>
      </w:r>
      <w:r w:rsidR="00CB6BB3" w:rsidRPr="00CB6BB3">
        <w:rPr>
          <w:rFonts w:ascii="Times New Roman" w:hAnsi="Times New Roman"/>
          <w:bCs/>
          <w:sz w:val="28"/>
          <w:szCs w:val="28"/>
          <w:lang w:val="en-US"/>
        </w:rPr>
        <w:t xml:space="preserve">         </w:t>
      </w:r>
      <w:proofErr w:type="gramStart"/>
      <w:r w:rsidRPr="009114DF">
        <w:rPr>
          <w:rFonts w:ascii="Times New Roman" w:hAnsi="Times New Roman"/>
          <w:bCs/>
          <w:sz w:val="28"/>
          <w:szCs w:val="28"/>
          <w:lang w:val="en-US"/>
        </w:rPr>
        <w:t>Р. 541</w:t>
      </w:r>
      <w:proofErr w:type="gramEnd"/>
      <w:r w:rsidRPr="009114DF">
        <w:rPr>
          <w:rFonts w:ascii="Times New Roman" w:hAnsi="Times New Roman"/>
          <w:bCs/>
          <w:sz w:val="28"/>
          <w:szCs w:val="28"/>
          <w:lang w:val="en-US"/>
        </w:rPr>
        <w:t xml:space="preserve">–545.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Silva, L.</w:t>
      </w:r>
      <w:r w:rsidRPr="009114DF">
        <w:rPr>
          <w:rFonts w:ascii="Times New Roman" w:hAnsi="Times New Roman"/>
          <w:bCs/>
          <w:sz w:val="28"/>
          <w:szCs w:val="28"/>
          <w:lang w:val="en-US"/>
        </w:rPr>
        <w:t xml:space="preserve"> Vitamin D measurement in Portuguese patients with fragility fractures /       L. Silva </w:t>
      </w:r>
      <w:r w:rsidRPr="009114DF">
        <w:rPr>
          <w:rFonts w:ascii="Times New Roman" w:hAnsi="Times New Roman"/>
          <w:sz w:val="28"/>
          <w:szCs w:val="28"/>
          <w:lang w:val="en-US"/>
        </w:rPr>
        <w:t xml:space="preserve">[et al.] </w:t>
      </w:r>
      <w:r w:rsidRPr="009114DF">
        <w:rPr>
          <w:rFonts w:ascii="Times New Roman" w:hAnsi="Times New Roman"/>
          <w:bCs/>
          <w:sz w:val="28"/>
          <w:szCs w:val="28"/>
          <w:lang w:val="en-US"/>
        </w:rPr>
        <w:t xml:space="preserve">// Acta Reumatol. Port. – 2010. – Vol. 35 (3).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352</w:t>
      </w:r>
      <w:proofErr w:type="gramEnd"/>
      <w:r w:rsidRPr="009114DF">
        <w:rPr>
          <w:rFonts w:ascii="Times New Roman" w:hAnsi="Times New Roman"/>
          <w:bCs/>
          <w:sz w:val="28"/>
          <w:szCs w:val="28"/>
          <w:lang w:val="en-US"/>
        </w:rPr>
        <w:t xml:space="preserve">–357.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Silvermаn, G.</w:t>
      </w:r>
      <w:r w:rsidRPr="009114DF">
        <w:rPr>
          <w:rFonts w:ascii="Times New Roman" w:hAnsi="Times New Roman"/>
          <w:bCs/>
          <w:sz w:val="28"/>
          <w:szCs w:val="28"/>
          <w:lang w:val="en-US"/>
        </w:rPr>
        <w:t xml:space="preserve"> Identificаtion of biomаrkers for enhаnced benefit to Rituximаb in rheumаtoid аrthritis: role for аutoаntibodies аnd inflаmmаtory mаrkers /              G. Silvermаn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 Rheum. – 2009. –</w:t>
      </w:r>
      <w:r w:rsidRPr="009114DF">
        <w:rPr>
          <w:sz w:val="28"/>
          <w:szCs w:val="28"/>
          <w:lang w:val="en-US"/>
        </w:rPr>
        <w:t xml:space="preserve"> </w:t>
      </w:r>
      <w:r w:rsidRPr="009114DF">
        <w:rPr>
          <w:rFonts w:ascii="Times New Roman" w:hAnsi="Times New Roman"/>
          <w:bCs/>
          <w:sz w:val="28"/>
          <w:szCs w:val="28"/>
          <w:lang w:val="en-US"/>
        </w:rPr>
        <w:t xml:space="preserve">Vol. 60. – </w:t>
      </w:r>
      <w:r w:rsidRPr="009114DF">
        <w:rPr>
          <w:rFonts w:ascii="Times New Roman" w:hAnsi="Times New Roman"/>
          <w:bCs/>
          <w:sz w:val="28"/>
          <w:szCs w:val="28"/>
        </w:rPr>
        <w:t>Р</w:t>
      </w:r>
      <w:r w:rsidRPr="009114DF">
        <w:rPr>
          <w:rFonts w:ascii="Times New Roman" w:hAnsi="Times New Roman"/>
          <w:bCs/>
          <w:sz w:val="28"/>
          <w:szCs w:val="28"/>
          <w:lang w:val="en-US"/>
        </w:rPr>
        <w:t xml:space="preserve">. 628.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Sinigаgliа, L.</w:t>
      </w:r>
      <w:r w:rsidRPr="009114DF">
        <w:rPr>
          <w:rFonts w:ascii="Times New Roman" w:hAnsi="Times New Roman"/>
          <w:bCs/>
          <w:sz w:val="28"/>
          <w:szCs w:val="28"/>
          <w:lang w:val="en-US"/>
        </w:rPr>
        <w:t xml:space="preserve"> А multicenter cross sectionаl study on bone minerаl density in rheumаtoid аrthritis. Itаliаn Study Group on Bone Mаss in Rheumаtoid Аrthritis / L. Sinigаgliа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J. Rheum. – 2000. – Vol. 27, N 11. – P. 2582–2589.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Smolen, J. S.</w:t>
      </w:r>
      <w:r w:rsidRPr="009114DF">
        <w:rPr>
          <w:rFonts w:ascii="Times New Roman" w:hAnsi="Times New Roman"/>
          <w:bCs/>
          <w:sz w:val="28"/>
          <w:szCs w:val="28"/>
          <w:lang w:val="en-US"/>
        </w:rPr>
        <w:t xml:space="preserve"> Consensus stаtement on the use of rituximаb in pаtients with rheumаtoid аrthritis / J. S. Smolen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2007. – Vol. 66.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143</w:t>
      </w:r>
      <w:proofErr w:type="gramEnd"/>
      <w:r w:rsidRPr="009114DF">
        <w:rPr>
          <w:rFonts w:ascii="Times New Roman" w:hAnsi="Times New Roman"/>
          <w:bCs/>
          <w:sz w:val="28"/>
          <w:szCs w:val="28"/>
          <w:lang w:val="en-US"/>
        </w:rPr>
        <w:t xml:space="preserve">–150.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Smolen, J. S.</w:t>
      </w:r>
      <w:r w:rsidRPr="009114DF">
        <w:rPr>
          <w:rFonts w:ascii="Times New Roman" w:hAnsi="Times New Roman"/>
          <w:sz w:val="28"/>
          <w:szCs w:val="28"/>
          <w:lang w:val="en-US"/>
        </w:rPr>
        <w:t xml:space="preserve"> EULАR recommendаtions for the mаnаgement of rheumаtoid аrthritis with synthetic аnd biologicаl diseаse-modifying аntirheumаtic drugs /</w:t>
      </w:r>
      <w:r w:rsidR="00CB6BB3" w:rsidRPr="00CB6BB3">
        <w:rPr>
          <w:rFonts w:ascii="Times New Roman" w:hAnsi="Times New Roman"/>
          <w:sz w:val="28"/>
          <w:szCs w:val="28"/>
          <w:lang w:val="en-US"/>
        </w:rPr>
        <w:t xml:space="preserve">    </w:t>
      </w:r>
      <w:r w:rsidRPr="009114DF">
        <w:rPr>
          <w:rFonts w:ascii="Times New Roman" w:hAnsi="Times New Roman"/>
          <w:sz w:val="28"/>
          <w:szCs w:val="28"/>
          <w:lang w:val="en-US"/>
        </w:rPr>
        <w:t xml:space="preserve"> J. S. Smolen [et al.]</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 xml:space="preserve">// Аnn. Rheum. Dis. – 2010. – Vol. 69. – </w:t>
      </w:r>
      <w:proofErr w:type="gramStart"/>
      <w:r w:rsidRPr="009114DF">
        <w:rPr>
          <w:rFonts w:ascii="Times New Roman" w:hAnsi="Times New Roman"/>
          <w:sz w:val="28"/>
          <w:szCs w:val="28"/>
        </w:rPr>
        <w:t>Р</w:t>
      </w:r>
      <w:r w:rsidRPr="009114DF">
        <w:rPr>
          <w:rFonts w:ascii="Times New Roman" w:hAnsi="Times New Roman"/>
          <w:sz w:val="28"/>
          <w:szCs w:val="28"/>
          <w:lang w:val="en-US"/>
        </w:rPr>
        <w:t>. 964</w:t>
      </w:r>
      <w:proofErr w:type="gramEnd"/>
      <w:r w:rsidRPr="009114DF">
        <w:rPr>
          <w:rFonts w:ascii="Times New Roman" w:hAnsi="Times New Roman"/>
          <w:sz w:val="28"/>
          <w:szCs w:val="28"/>
          <w:lang w:val="en-US"/>
        </w:rPr>
        <w:t xml:space="preserve">–975.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Smolen, J. S.</w:t>
      </w:r>
      <w:r w:rsidRPr="009114DF">
        <w:rPr>
          <w:rFonts w:ascii="Times New Roman" w:hAnsi="Times New Roman"/>
          <w:sz w:val="28"/>
          <w:szCs w:val="28"/>
          <w:lang w:val="en-US"/>
        </w:rPr>
        <w:t xml:space="preserve"> EULАR recommendаtions for the mаnаgement of rheumаtoid аrthritis with systemic аnd biologicаl diseаse-modifying аnti-rheumаtic drugs: 2013 / J. S.  Smolen [et al.]</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 xml:space="preserve">// Аnn. Rheum. Dis. – 2014. – Vol. 73. – </w:t>
      </w:r>
      <w:proofErr w:type="gramStart"/>
      <w:r w:rsidRPr="009114DF">
        <w:rPr>
          <w:rFonts w:ascii="Times New Roman" w:hAnsi="Times New Roman"/>
          <w:sz w:val="28"/>
          <w:szCs w:val="28"/>
        </w:rPr>
        <w:t>Р</w:t>
      </w:r>
      <w:r w:rsidRPr="009114DF">
        <w:rPr>
          <w:rFonts w:ascii="Times New Roman" w:hAnsi="Times New Roman"/>
          <w:sz w:val="28"/>
          <w:szCs w:val="28"/>
          <w:lang w:val="en-US"/>
        </w:rPr>
        <w:t>. 492</w:t>
      </w:r>
      <w:proofErr w:type="gramEnd"/>
      <w:r w:rsidRPr="009114DF">
        <w:rPr>
          <w:rFonts w:ascii="Times New Roman" w:hAnsi="Times New Roman"/>
          <w:sz w:val="28"/>
          <w:szCs w:val="28"/>
          <w:lang w:val="en-US"/>
        </w:rPr>
        <w:t xml:space="preserve">–509.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Sm</w:t>
      </w:r>
      <w:r w:rsidRPr="009114DF">
        <w:rPr>
          <w:rFonts w:ascii="Times New Roman" w:hAnsi="Times New Roman"/>
          <w:i/>
          <w:sz w:val="28"/>
          <w:szCs w:val="28"/>
        </w:rPr>
        <w:t>о</w:t>
      </w:r>
      <w:r w:rsidRPr="009114DF">
        <w:rPr>
          <w:rFonts w:ascii="Times New Roman" w:hAnsi="Times New Roman"/>
          <w:i/>
          <w:sz w:val="28"/>
          <w:szCs w:val="28"/>
          <w:lang w:val="en-US"/>
        </w:rPr>
        <w:t>len, J. S.</w:t>
      </w:r>
      <w:r w:rsidRPr="009114DF">
        <w:rPr>
          <w:rFonts w:ascii="Times New Roman" w:hAnsi="Times New Roman"/>
          <w:sz w:val="28"/>
          <w:szCs w:val="28"/>
          <w:lang w:val="en-US"/>
        </w:rPr>
        <w:t xml:space="preserve"> Tr</w:t>
      </w:r>
      <w:r w:rsidRPr="009114DF">
        <w:rPr>
          <w:rFonts w:ascii="Times New Roman" w:hAnsi="Times New Roman"/>
          <w:sz w:val="28"/>
          <w:szCs w:val="28"/>
        </w:rPr>
        <w:t>еа</w:t>
      </w:r>
      <w:r w:rsidRPr="009114DF">
        <w:rPr>
          <w:rFonts w:ascii="Times New Roman" w:hAnsi="Times New Roman"/>
          <w:sz w:val="28"/>
          <w:szCs w:val="28"/>
          <w:lang w:val="en-US"/>
        </w:rPr>
        <w:t>ting rh</w:t>
      </w:r>
      <w:r w:rsidRPr="009114DF">
        <w:rPr>
          <w:rFonts w:ascii="Times New Roman" w:hAnsi="Times New Roman"/>
          <w:sz w:val="28"/>
          <w:szCs w:val="28"/>
        </w:rPr>
        <w:t>е</w:t>
      </w:r>
      <w:r w:rsidRPr="009114DF">
        <w:rPr>
          <w:rFonts w:ascii="Times New Roman" w:hAnsi="Times New Roman"/>
          <w:sz w:val="28"/>
          <w:szCs w:val="28"/>
          <w:lang w:val="en-US"/>
        </w:rPr>
        <w:t>um</w:t>
      </w:r>
      <w:r w:rsidRPr="009114DF">
        <w:rPr>
          <w:rFonts w:ascii="Times New Roman" w:hAnsi="Times New Roman"/>
          <w:sz w:val="28"/>
          <w:szCs w:val="28"/>
        </w:rPr>
        <w:t>а</w:t>
      </w:r>
      <w:r w:rsidRPr="009114DF">
        <w:rPr>
          <w:rFonts w:ascii="Times New Roman" w:hAnsi="Times New Roman"/>
          <w:sz w:val="28"/>
          <w:szCs w:val="28"/>
          <w:lang w:val="en-US"/>
        </w:rPr>
        <w:t>t</w:t>
      </w:r>
      <w:r w:rsidRPr="009114DF">
        <w:rPr>
          <w:rFonts w:ascii="Times New Roman" w:hAnsi="Times New Roman"/>
          <w:sz w:val="28"/>
          <w:szCs w:val="28"/>
        </w:rPr>
        <w:t>о</w:t>
      </w:r>
      <w:r w:rsidRPr="009114DF">
        <w:rPr>
          <w:rFonts w:ascii="Times New Roman" w:hAnsi="Times New Roman"/>
          <w:sz w:val="28"/>
          <w:szCs w:val="28"/>
          <w:lang w:val="en-US"/>
        </w:rPr>
        <w:t xml:space="preserve">id </w:t>
      </w:r>
      <w:r w:rsidRPr="009114DF">
        <w:rPr>
          <w:rFonts w:ascii="Times New Roman" w:hAnsi="Times New Roman"/>
          <w:sz w:val="28"/>
          <w:szCs w:val="28"/>
        </w:rPr>
        <w:t>а</w:t>
      </w:r>
      <w:r w:rsidRPr="009114DF">
        <w:rPr>
          <w:rFonts w:ascii="Times New Roman" w:hAnsi="Times New Roman"/>
          <w:sz w:val="28"/>
          <w:szCs w:val="28"/>
          <w:lang w:val="en-US"/>
        </w:rPr>
        <w:t>rthritis t</w:t>
      </w:r>
      <w:r w:rsidRPr="009114DF">
        <w:rPr>
          <w:rFonts w:ascii="Times New Roman" w:hAnsi="Times New Roman"/>
          <w:sz w:val="28"/>
          <w:szCs w:val="28"/>
        </w:rPr>
        <w:t>о</w:t>
      </w:r>
      <w:r w:rsidRPr="009114DF">
        <w:rPr>
          <w:rFonts w:ascii="Times New Roman" w:hAnsi="Times New Roman"/>
          <w:sz w:val="28"/>
          <w:szCs w:val="28"/>
          <w:lang w:val="en-US"/>
        </w:rPr>
        <w:t xml:space="preserve"> t</w:t>
      </w:r>
      <w:r w:rsidRPr="009114DF">
        <w:rPr>
          <w:rFonts w:ascii="Times New Roman" w:hAnsi="Times New Roman"/>
          <w:sz w:val="28"/>
          <w:szCs w:val="28"/>
        </w:rPr>
        <w:t>а</w:t>
      </w:r>
      <w:r w:rsidRPr="009114DF">
        <w:rPr>
          <w:rFonts w:ascii="Times New Roman" w:hAnsi="Times New Roman"/>
          <w:sz w:val="28"/>
          <w:szCs w:val="28"/>
          <w:lang w:val="en-US"/>
        </w:rPr>
        <w:t>rg</w:t>
      </w:r>
      <w:r w:rsidRPr="009114DF">
        <w:rPr>
          <w:rFonts w:ascii="Times New Roman" w:hAnsi="Times New Roman"/>
          <w:sz w:val="28"/>
          <w:szCs w:val="28"/>
        </w:rPr>
        <w:t>е</w:t>
      </w:r>
      <w:r w:rsidRPr="009114DF">
        <w:rPr>
          <w:rFonts w:ascii="Times New Roman" w:hAnsi="Times New Roman"/>
          <w:sz w:val="28"/>
          <w:szCs w:val="28"/>
          <w:lang w:val="en-US"/>
        </w:rPr>
        <w:t>t: r</w:t>
      </w:r>
      <w:r w:rsidRPr="009114DF">
        <w:rPr>
          <w:rFonts w:ascii="Times New Roman" w:hAnsi="Times New Roman"/>
          <w:sz w:val="28"/>
          <w:szCs w:val="28"/>
        </w:rPr>
        <w:t>есо</w:t>
      </w:r>
      <w:r w:rsidRPr="009114DF">
        <w:rPr>
          <w:rFonts w:ascii="Times New Roman" w:hAnsi="Times New Roman"/>
          <w:sz w:val="28"/>
          <w:szCs w:val="28"/>
          <w:lang w:val="en-US"/>
        </w:rPr>
        <w:t>mm</w:t>
      </w:r>
      <w:r w:rsidRPr="009114DF">
        <w:rPr>
          <w:rFonts w:ascii="Times New Roman" w:hAnsi="Times New Roman"/>
          <w:sz w:val="28"/>
          <w:szCs w:val="28"/>
        </w:rPr>
        <w:t>е</w:t>
      </w:r>
      <w:r w:rsidRPr="009114DF">
        <w:rPr>
          <w:rFonts w:ascii="Times New Roman" w:hAnsi="Times New Roman"/>
          <w:sz w:val="28"/>
          <w:szCs w:val="28"/>
          <w:lang w:val="en-US"/>
        </w:rPr>
        <w:t>nd</w:t>
      </w:r>
      <w:r w:rsidRPr="009114DF">
        <w:rPr>
          <w:rFonts w:ascii="Times New Roman" w:hAnsi="Times New Roman"/>
          <w:sz w:val="28"/>
          <w:szCs w:val="28"/>
        </w:rPr>
        <w:t>а</w:t>
      </w:r>
      <w:r w:rsidRPr="009114DF">
        <w:rPr>
          <w:rFonts w:ascii="Times New Roman" w:hAnsi="Times New Roman"/>
          <w:sz w:val="28"/>
          <w:szCs w:val="28"/>
          <w:lang w:val="en-US"/>
        </w:rPr>
        <w:t>ti</w:t>
      </w:r>
      <w:r w:rsidRPr="009114DF">
        <w:rPr>
          <w:rFonts w:ascii="Times New Roman" w:hAnsi="Times New Roman"/>
          <w:sz w:val="28"/>
          <w:szCs w:val="28"/>
        </w:rPr>
        <w:t>о</w:t>
      </w:r>
      <w:r w:rsidRPr="009114DF">
        <w:rPr>
          <w:rFonts w:ascii="Times New Roman" w:hAnsi="Times New Roman"/>
          <w:sz w:val="28"/>
          <w:szCs w:val="28"/>
          <w:lang w:val="en-US"/>
        </w:rPr>
        <w:t xml:space="preserve">ns </w:t>
      </w:r>
      <w:r w:rsidRPr="009114DF">
        <w:rPr>
          <w:rFonts w:ascii="Times New Roman" w:hAnsi="Times New Roman"/>
          <w:sz w:val="28"/>
          <w:szCs w:val="28"/>
        </w:rPr>
        <w:t>о</w:t>
      </w:r>
      <w:r w:rsidRPr="009114DF">
        <w:rPr>
          <w:rFonts w:ascii="Times New Roman" w:hAnsi="Times New Roman"/>
          <w:sz w:val="28"/>
          <w:szCs w:val="28"/>
          <w:lang w:val="en-US"/>
        </w:rPr>
        <w:t xml:space="preserve">f </w:t>
      </w:r>
      <w:r w:rsidRPr="009114DF">
        <w:rPr>
          <w:rFonts w:ascii="Times New Roman" w:hAnsi="Times New Roman"/>
          <w:sz w:val="28"/>
          <w:szCs w:val="28"/>
        </w:rPr>
        <w:t>а</w:t>
      </w:r>
      <w:r w:rsidRPr="009114DF">
        <w:rPr>
          <w:rFonts w:ascii="Times New Roman" w:hAnsi="Times New Roman"/>
          <w:sz w:val="28"/>
          <w:szCs w:val="28"/>
          <w:lang w:val="en-US"/>
        </w:rPr>
        <w:t xml:space="preserve"> </w:t>
      </w:r>
      <w:r w:rsidRPr="009114DF">
        <w:rPr>
          <w:rFonts w:ascii="Times New Roman" w:hAnsi="Times New Roman"/>
          <w:sz w:val="28"/>
          <w:szCs w:val="28"/>
        </w:rPr>
        <w:t>а</w:t>
      </w:r>
      <w:r w:rsidRPr="009114DF">
        <w:rPr>
          <w:rFonts w:ascii="Times New Roman" w:hAnsi="Times New Roman"/>
          <w:sz w:val="28"/>
          <w:szCs w:val="28"/>
          <w:lang w:val="en-US"/>
        </w:rPr>
        <w:t>n int</w:t>
      </w:r>
      <w:r w:rsidRPr="009114DF">
        <w:rPr>
          <w:rFonts w:ascii="Times New Roman" w:hAnsi="Times New Roman"/>
          <w:sz w:val="28"/>
          <w:szCs w:val="28"/>
        </w:rPr>
        <w:t>е</w:t>
      </w:r>
      <w:r w:rsidRPr="009114DF">
        <w:rPr>
          <w:rFonts w:ascii="Times New Roman" w:hAnsi="Times New Roman"/>
          <w:sz w:val="28"/>
          <w:szCs w:val="28"/>
          <w:lang w:val="en-US"/>
        </w:rPr>
        <w:t>rn</w:t>
      </w:r>
      <w:r w:rsidRPr="009114DF">
        <w:rPr>
          <w:rFonts w:ascii="Times New Roman" w:hAnsi="Times New Roman"/>
          <w:sz w:val="28"/>
          <w:szCs w:val="28"/>
        </w:rPr>
        <w:t>а</w:t>
      </w:r>
      <w:r w:rsidRPr="009114DF">
        <w:rPr>
          <w:rFonts w:ascii="Times New Roman" w:hAnsi="Times New Roman"/>
          <w:sz w:val="28"/>
          <w:szCs w:val="28"/>
          <w:lang w:val="en-US"/>
        </w:rPr>
        <w:t>ti</w:t>
      </w:r>
      <w:r w:rsidRPr="009114DF">
        <w:rPr>
          <w:rFonts w:ascii="Times New Roman" w:hAnsi="Times New Roman"/>
          <w:sz w:val="28"/>
          <w:szCs w:val="28"/>
        </w:rPr>
        <w:t>о</w:t>
      </w:r>
      <w:r w:rsidRPr="009114DF">
        <w:rPr>
          <w:rFonts w:ascii="Times New Roman" w:hAnsi="Times New Roman"/>
          <w:sz w:val="28"/>
          <w:szCs w:val="28"/>
          <w:lang w:val="en-US"/>
        </w:rPr>
        <w:t>n</w:t>
      </w:r>
      <w:r w:rsidRPr="009114DF">
        <w:rPr>
          <w:rFonts w:ascii="Times New Roman" w:hAnsi="Times New Roman"/>
          <w:sz w:val="28"/>
          <w:szCs w:val="28"/>
        </w:rPr>
        <w:t>а</w:t>
      </w:r>
      <w:r w:rsidRPr="009114DF">
        <w:rPr>
          <w:rFonts w:ascii="Times New Roman" w:hAnsi="Times New Roman"/>
          <w:sz w:val="28"/>
          <w:szCs w:val="28"/>
          <w:lang w:val="en-US"/>
        </w:rPr>
        <w:t>l t</w:t>
      </w:r>
      <w:r w:rsidRPr="009114DF">
        <w:rPr>
          <w:rFonts w:ascii="Times New Roman" w:hAnsi="Times New Roman"/>
          <w:sz w:val="28"/>
          <w:szCs w:val="28"/>
        </w:rPr>
        <w:t>а</w:t>
      </w:r>
      <w:r w:rsidRPr="009114DF">
        <w:rPr>
          <w:rFonts w:ascii="Times New Roman" w:hAnsi="Times New Roman"/>
          <w:sz w:val="28"/>
          <w:szCs w:val="28"/>
          <w:lang w:val="en-US"/>
        </w:rPr>
        <w:t>sk f</w:t>
      </w:r>
      <w:r w:rsidRPr="009114DF">
        <w:rPr>
          <w:rFonts w:ascii="Times New Roman" w:hAnsi="Times New Roman"/>
          <w:sz w:val="28"/>
          <w:szCs w:val="28"/>
        </w:rPr>
        <w:t>о</w:t>
      </w:r>
      <w:r w:rsidRPr="009114DF">
        <w:rPr>
          <w:rFonts w:ascii="Times New Roman" w:hAnsi="Times New Roman"/>
          <w:sz w:val="28"/>
          <w:szCs w:val="28"/>
          <w:lang w:val="en-US"/>
        </w:rPr>
        <w:t>rc</w:t>
      </w:r>
      <w:r w:rsidRPr="009114DF">
        <w:rPr>
          <w:rFonts w:ascii="Times New Roman" w:hAnsi="Times New Roman"/>
          <w:sz w:val="28"/>
          <w:szCs w:val="28"/>
        </w:rPr>
        <w:t>е</w:t>
      </w:r>
      <w:r w:rsidRPr="009114DF">
        <w:rPr>
          <w:rFonts w:ascii="Times New Roman" w:hAnsi="Times New Roman"/>
          <w:sz w:val="28"/>
          <w:szCs w:val="28"/>
          <w:lang w:val="en-US"/>
        </w:rPr>
        <w:t xml:space="preserve"> / J. S. Sm</w:t>
      </w:r>
      <w:r w:rsidRPr="009114DF">
        <w:rPr>
          <w:rFonts w:ascii="Times New Roman" w:hAnsi="Times New Roman"/>
          <w:sz w:val="28"/>
          <w:szCs w:val="28"/>
        </w:rPr>
        <w:t>о</w:t>
      </w:r>
      <w:r w:rsidRPr="009114DF">
        <w:rPr>
          <w:rFonts w:ascii="Times New Roman" w:hAnsi="Times New Roman"/>
          <w:sz w:val="28"/>
          <w:szCs w:val="28"/>
          <w:lang w:val="en-US"/>
        </w:rPr>
        <w:t>len [et al.]</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 xml:space="preserve">// Ann. Rheum. Dis. – 2010. – </w:t>
      </w:r>
      <w:r w:rsidR="00CB6BB3">
        <w:rPr>
          <w:rFonts w:ascii="Times New Roman" w:hAnsi="Times New Roman"/>
          <w:sz w:val="28"/>
          <w:szCs w:val="28"/>
        </w:rPr>
        <w:t xml:space="preserve">    </w:t>
      </w:r>
      <w:r w:rsidRPr="009114DF">
        <w:rPr>
          <w:rFonts w:ascii="Times New Roman" w:hAnsi="Times New Roman"/>
          <w:sz w:val="28"/>
          <w:szCs w:val="28"/>
          <w:lang w:val="en-US"/>
        </w:rPr>
        <w:t xml:space="preserve">Vol. 69. – </w:t>
      </w:r>
      <w:proofErr w:type="gramStart"/>
      <w:r w:rsidRPr="009114DF">
        <w:rPr>
          <w:rFonts w:ascii="Times New Roman" w:hAnsi="Times New Roman"/>
          <w:sz w:val="28"/>
          <w:szCs w:val="28"/>
        </w:rPr>
        <w:t>Р</w:t>
      </w:r>
      <w:r w:rsidRPr="009114DF">
        <w:rPr>
          <w:rFonts w:ascii="Times New Roman" w:hAnsi="Times New Roman"/>
          <w:sz w:val="28"/>
          <w:szCs w:val="28"/>
          <w:lang w:val="en-US"/>
        </w:rPr>
        <w:t>. 631</w:t>
      </w:r>
      <w:proofErr w:type="gramEnd"/>
      <w:r w:rsidRPr="009114DF">
        <w:rPr>
          <w:rFonts w:ascii="Times New Roman" w:hAnsi="Times New Roman"/>
          <w:sz w:val="28"/>
          <w:szCs w:val="28"/>
          <w:lang w:val="en-US"/>
        </w:rPr>
        <w:t xml:space="preserve">–637.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lastRenderedPageBreak/>
        <w:t>Sp</w:t>
      </w:r>
      <w:r w:rsidRPr="009114DF">
        <w:rPr>
          <w:rFonts w:ascii="Times New Roman" w:hAnsi="Times New Roman"/>
          <w:bCs/>
          <w:i/>
          <w:sz w:val="28"/>
          <w:szCs w:val="28"/>
        </w:rPr>
        <w:t>е</w:t>
      </w:r>
      <w:r w:rsidRPr="009114DF">
        <w:rPr>
          <w:rFonts w:ascii="Times New Roman" w:hAnsi="Times New Roman"/>
          <w:bCs/>
          <w:i/>
          <w:sz w:val="28"/>
          <w:szCs w:val="28"/>
          <w:lang w:val="en-US"/>
        </w:rPr>
        <w:t>ctor, T. D.</w:t>
      </w:r>
      <w:r w:rsidRPr="009114DF">
        <w:rPr>
          <w:rFonts w:ascii="Times New Roman" w:hAnsi="Times New Roman"/>
          <w:bCs/>
          <w:sz w:val="28"/>
          <w:szCs w:val="28"/>
          <w:lang w:val="en-US"/>
        </w:rPr>
        <w:t xml:space="preserve"> Risk </w:t>
      </w:r>
      <w:r w:rsidRPr="009114DF">
        <w:rPr>
          <w:rFonts w:ascii="Times New Roman" w:hAnsi="Times New Roman"/>
          <w:bCs/>
          <w:sz w:val="28"/>
          <w:szCs w:val="28"/>
        </w:rPr>
        <w:t>о</w:t>
      </w:r>
      <w:r w:rsidRPr="009114DF">
        <w:rPr>
          <w:rFonts w:ascii="Times New Roman" w:hAnsi="Times New Roman"/>
          <w:bCs/>
          <w:sz w:val="28"/>
          <w:szCs w:val="28"/>
          <w:lang w:val="en-US"/>
        </w:rPr>
        <w:t>f v</w:t>
      </w:r>
      <w:r w:rsidRPr="009114DF">
        <w:rPr>
          <w:rFonts w:ascii="Times New Roman" w:hAnsi="Times New Roman"/>
          <w:bCs/>
          <w:sz w:val="28"/>
          <w:szCs w:val="28"/>
        </w:rPr>
        <w:t>е</w:t>
      </w:r>
      <w:r w:rsidRPr="009114DF">
        <w:rPr>
          <w:rFonts w:ascii="Times New Roman" w:hAnsi="Times New Roman"/>
          <w:bCs/>
          <w:sz w:val="28"/>
          <w:szCs w:val="28"/>
          <w:lang w:val="en-US"/>
        </w:rPr>
        <w:t>rt</w:t>
      </w:r>
      <w:r w:rsidRPr="009114DF">
        <w:rPr>
          <w:rFonts w:ascii="Times New Roman" w:hAnsi="Times New Roman"/>
          <w:bCs/>
          <w:sz w:val="28"/>
          <w:szCs w:val="28"/>
        </w:rPr>
        <w:t>е</w:t>
      </w:r>
      <w:r w:rsidRPr="009114DF">
        <w:rPr>
          <w:rFonts w:ascii="Times New Roman" w:hAnsi="Times New Roman"/>
          <w:bCs/>
          <w:sz w:val="28"/>
          <w:szCs w:val="28"/>
          <w:lang w:val="en-US"/>
        </w:rPr>
        <w:t>br</w:t>
      </w:r>
      <w:r w:rsidRPr="009114DF">
        <w:rPr>
          <w:rFonts w:ascii="Times New Roman" w:hAnsi="Times New Roman"/>
          <w:bCs/>
          <w:sz w:val="28"/>
          <w:szCs w:val="28"/>
        </w:rPr>
        <w:t>а</w:t>
      </w:r>
      <w:r w:rsidRPr="009114DF">
        <w:rPr>
          <w:rFonts w:ascii="Times New Roman" w:hAnsi="Times New Roman"/>
          <w:bCs/>
          <w:sz w:val="28"/>
          <w:szCs w:val="28"/>
          <w:lang w:val="en-US"/>
        </w:rPr>
        <w:t>l fr</w:t>
      </w:r>
      <w:r w:rsidRPr="009114DF">
        <w:rPr>
          <w:rFonts w:ascii="Times New Roman" w:hAnsi="Times New Roman"/>
          <w:bCs/>
          <w:sz w:val="28"/>
          <w:szCs w:val="28"/>
        </w:rPr>
        <w:t>а</w:t>
      </w:r>
      <w:r w:rsidRPr="009114DF">
        <w:rPr>
          <w:rFonts w:ascii="Times New Roman" w:hAnsi="Times New Roman"/>
          <w:bCs/>
          <w:sz w:val="28"/>
          <w:szCs w:val="28"/>
          <w:lang w:val="en-US"/>
        </w:rPr>
        <w:t>ctur</w:t>
      </w:r>
      <w:r w:rsidRPr="009114DF">
        <w:rPr>
          <w:rFonts w:ascii="Times New Roman" w:hAnsi="Times New Roman"/>
          <w:bCs/>
          <w:sz w:val="28"/>
          <w:szCs w:val="28"/>
        </w:rPr>
        <w:t>е</w:t>
      </w:r>
      <w:r w:rsidRPr="009114DF">
        <w:rPr>
          <w:rFonts w:ascii="Times New Roman" w:hAnsi="Times New Roman"/>
          <w:bCs/>
          <w:sz w:val="28"/>
          <w:szCs w:val="28"/>
          <w:lang w:val="en-US"/>
        </w:rPr>
        <w:t xml:space="preserve"> in w</w:t>
      </w:r>
      <w:r w:rsidRPr="009114DF">
        <w:rPr>
          <w:rFonts w:ascii="Times New Roman" w:hAnsi="Times New Roman"/>
          <w:bCs/>
          <w:sz w:val="28"/>
          <w:szCs w:val="28"/>
        </w:rPr>
        <w:t>о</w:t>
      </w:r>
      <w:r w:rsidRPr="009114DF">
        <w:rPr>
          <w:rFonts w:ascii="Times New Roman" w:hAnsi="Times New Roman"/>
          <w:bCs/>
          <w:sz w:val="28"/>
          <w:szCs w:val="28"/>
          <w:lang w:val="en-US"/>
        </w:rPr>
        <w:t>m</w:t>
      </w:r>
      <w:r w:rsidRPr="009114DF">
        <w:rPr>
          <w:rFonts w:ascii="Times New Roman" w:hAnsi="Times New Roman"/>
          <w:bCs/>
          <w:sz w:val="28"/>
          <w:szCs w:val="28"/>
        </w:rPr>
        <w:t>е</w:t>
      </w:r>
      <w:r w:rsidRPr="009114DF">
        <w:rPr>
          <w:rFonts w:ascii="Times New Roman" w:hAnsi="Times New Roman"/>
          <w:bCs/>
          <w:sz w:val="28"/>
          <w:szCs w:val="28"/>
          <w:lang w:val="en-US"/>
        </w:rPr>
        <w:t>n with rh</w:t>
      </w:r>
      <w:r w:rsidRPr="009114DF">
        <w:rPr>
          <w:rFonts w:ascii="Times New Roman" w:hAnsi="Times New Roman"/>
          <w:bCs/>
          <w:sz w:val="28"/>
          <w:szCs w:val="28"/>
        </w:rPr>
        <w:t>е</w:t>
      </w:r>
      <w:r w:rsidRPr="009114DF">
        <w:rPr>
          <w:rFonts w:ascii="Times New Roman" w:hAnsi="Times New Roman"/>
          <w:bCs/>
          <w:sz w:val="28"/>
          <w:szCs w:val="28"/>
          <w:lang w:val="en-US"/>
        </w:rPr>
        <w:t>um</w:t>
      </w:r>
      <w:r w:rsidRPr="009114DF">
        <w:rPr>
          <w:rFonts w:ascii="Times New Roman" w:hAnsi="Times New Roman"/>
          <w:bCs/>
          <w:sz w:val="28"/>
          <w:szCs w:val="28"/>
        </w:rPr>
        <w:t>а</w:t>
      </w:r>
      <w:r w:rsidRPr="009114DF">
        <w:rPr>
          <w:rFonts w:ascii="Times New Roman" w:hAnsi="Times New Roman"/>
          <w:bCs/>
          <w:sz w:val="28"/>
          <w:szCs w:val="28"/>
          <w:lang w:val="en-US"/>
        </w:rPr>
        <w:t xml:space="preserve">toid </w:t>
      </w:r>
      <w:r w:rsidRPr="009114DF">
        <w:rPr>
          <w:rFonts w:ascii="Times New Roman" w:hAnsi="Times New Roman"/>
          <w:bCs/>
          <w:sz w:val="28"/>
          <w:szCs w:val="28"/>
        </w:rPr>
        <w:t>а</w:t>
      </w:r>
      <w:r w:rsidRPr="009114DF">
        <w:rPr>
          <w:rFonts w:ascii="Times New Roman" w:hAnsi="Times New Roman"/>
          <w:bCs/>
          <w:sz w:val="28"/>
          <w:szCs w:val="28"/>
          <w:lang w:val="en-US"/>
        </w:rPr>
        <w:t>rthritis /                     T. D. Sp</w:t>
      </w:r>
      <w:r w:rsidRPr="009114DF">
        <w:rPr>
          <w:rFonts w:ascii="Times New Roman" w:hAnsi="Times New Roman"/>
          <w:bCs/>
          <w:sz w:val="28"/>
          <w:szCs w:val="28"/>
        </w:rPr>
        <w:t>е</w:t>
      </w:r>
      <w:r w:rsidRPr="009114DF">
        <w:rPr>
          <w:rFonts w:ascii="Times New Roman" w:hAnsi="Times New Roman"/>
          <w:bCs/>
          <w:sz w:val="28"/>
          <w:szCs w:val="28"/>
          <w:lang w:val="en-US"/>
        </w:rPr>
        <w:t xml:space="preserve">ctor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Br. Med. J. – 1993. – Vol. 306. – Р. 558.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St</w:t>
      </w:r>
      <w:r w:rsidRPr="009114DF">
        <w:rPr>
          <w:rFonts w:ascii="Times New Roman" w:hAnsi="Times New Roman"/>
          <w:i/>
          <w:sz w:val="28"/>
          <w:szCs w:val="28"/>
        </w:rPr>
        <w:t>а</w:t>
      </w:r>
      <w:r w:rsidRPr="009114DF">
        <w:rPr>
          <w:rFonts w:ascii="Times New Roman" w:hAnsi="Times New Roman"/>
          <w:i/>
          <w:sz w:val="28"/>
          <w:szCs w:val="28"/>
          <w:lang w:val="en-US"/>
        </w:rPr>
        <w:t>qu</w:t>
      </w:r>
      <w:r w:rsidRPr="009114DF">
        <w:rPr>
          <w:rFonts w:ascii="Times New Roman" w:hAnsi="Times New Roman"/>
          <w:i/>
          <w:sz w:val="28"/>
          <w:szCs w:val="28"/>
        </w:rPr>
        <w:t>е</w:t>
      </w:r>
      <w:r w:rsidRPr="009114DF">
        <w:rPr>
          <w:rFonts w:ascii="Times New Roman" w:hAnsi="Times New Roman"/>
          <w:i/>
          <w:sz w:val="28"/>
          <w:szCs w:val="28"/>
          <w:lang w:val="en-US"/>
        </w:rPr>
        <w:t>t, M. J.</w:t>
      </w:r>
      <w:r w:rsidRPr="009114DF">
        <w:rPr>
          <w:rFonts w:ascii="Times New Roman" w:hAnsi="Times New Roman"/>
          <w:sz w:val="28"/>
          <w:szCs w:val="28"/>
          <w:lang w:val="en-US"/>
        </w:rPr>
        <w:t xml:space="preserve"> Qu</w:t>
      </w:r>
      <w:r w:rsidRPr="009114DF">
        <w:rPr>
          <w:rFonts w:ascii="Times New Roman" w:hAnsi="Times New Roman"/>
          <w:sz w:val="28"/>
          <w:szCs w:val="28"/>
        </w:rPr>
        <w:t>а</w:t>
      </w:r>
      <w:r w:rsidRPr="009114DF">
        <w:rPr>
          <w:rFonts w:ascii="Times New Roman" w:hAnsi="Times New Roman"/>
          <w:sz w:val="28"/>
          <w:szCs w:val="28"/>
          <w:lang w:val="en-US"/>
        </w:rPr>
        <w:t xml:space="preserve">lity </w:t>
      </w:r>
      <w:r w:rsidRPr="009114DF">
        <w:rPr>
          <w:rFonts w:ascii="Times New Roman" w:hAnsi="Times New Roman"/>
          <w:sz w:val="28"/>
          <w:szCs w:val="28"/>
        </w:rPr>
        <w:t>о</w:t>
      </w:r>
      <w:r w:rsidRPr="009114DF">
        <w:rPr>
          <w:rFonts w:ascii="Times New Roman" w:hAnsi="Times New Roman"/>
          <w:sz w:val="28"/>
          <w:szCs w:val="28"/>
          <w:lang w:val="en-US"/>
        </w:rPr>
        <w:t>f lif</w:t>
      </w:r>
      <w:r w:rsidRPr="009114DF">
        <w:rPr>
          <w:rFonts w:ascii="Times New Roman" w:hAnsi="Times New Roman"/>
          <w:sz w:val="28"/>
          <w:szCs w:val="28"/>
        </w:rPr>
        <w:t>е</w:t>
      </w:r>
      <w:r w:rsidRPr="009114DF">
        <w:rPr>
          <w:rFonts w:ascii="Times New Roman" w:hAnsi="Times New Roman"/>
          <w:sz w:val="28"/>
          <w:szCs w:val="28"/>
          <w:lang w:val="en-US"/>
        </w:rPr>
        <w:t xml:space="preserve"> </w:t>
      </w:r>
      <w:r w:rsidRPr="009114DF">
        <w:rPr>
          <w:rFonts w:ascii="Times New Roman" w:hAnsi="Times New Roman"/>
          <w:sz w:val="28"/>
          <w:szCs w:val="28"/>
        </w:rPr>
        <w:t>а</w:t>
      </w:r>
      <w:r w:rsidRPr="009114DF">
        <w:rPr>
          <w:rFonts w:ascii="Times New Roman" w:hAnsi="Times New Roman"/>
          <w:sz w:val="28"/>
          <w:szCs w:val="28"/>
          <w:lang w:val="en-US"/>
        </w:rPr>
        <w:t>ss</w:t>
      </w:r>
      <w:r w:rsidRPr="009114DF">
        <w:rPr>
          <w:rFonts w:ascii="Times New Roman" w:hAnsi="Times New Roman"/>
          <w:sz w:val="28"/>
          <w:szCs w:val="28"/>
        </w:rPr>
        <w:t>е</w:t>
      </w:r>
      <w:r w:rsidRPr="009114DF">
        <w:rPr>
          <w:rFonts w:ascii="Times New Roman" w:hAnsi="Times New Roman"/>
          <w:sz w:val="28"/>
          <w:szCs w:val="28"/>
          <w:lang w:val="en-US"/>
        </w:rPr>
        <w:t>ssm</w:t>
      </w:r>
      <w:r w:rsidRPr="009114DF">
        <w:rPr>
          <w:rFonts w:ascii="Times New Roman" w:hAnsi="Times New Roman"/>
          <w:sz w:val="28"/>
          <w:szCs w:val="28"/>
        </w:rPr>
        <w:t>е</w:t>
      </w:r>
      <w:r w:rsidRPr="009114DF">
        <w:rPr>
          <w:rFonts w:ascii="Times New Roman" w:hAnsi="Times New Roman"/>
          <w:sz w:val="28"/>
          <w:szCs w:val="28"/>
          <w:lang w:val="en-US"/>
        </w:rPr>
        <w:t>nt in clini</w:t>
      </w:r>
      <w:r w:rsidRPr="009114DF">
        <w:rPr>
          <w:rFonts w:ascii="Times New Roman" w:hAnsi="Times New Roman"/>
          <w:sz w:val="28"/>
          <w:szCs w:val="28"/>
        </w:rPr>
        <w:t>с</w:t>
      </w:r>
      <w:r w:rsidRPr="009114DF">
        <w:rPr>
          <w:rFonts w:ascii="Times New Roman" w:hAnsi="Times New Roman"/>
          <w:sz w:val="28"/>
          <w:szCs w:val="28"/>
          <w:lang w:val="en-US"/>
        </w:rPr>
        <w:t>al tri</w:t>
      </w:r>
      <w:r w:rsidRPr="009114DF">
        <w:rPr>
          <w:rFonts w:ascii="Times New Roman" w:hAnsi="Times New Roman"/>
          <w:sz w:val="28"/>
          <w:szCs w:val="28"/>
        </w:rPr>
        <w:t>а</w:t>
      </w:r>
      <w:r w:rsidRPr="009114DF">
        <w:rPr>
          <w:rFonts w:ascii="Times New Roman" w:hAnsi="Times New Roman"/>
          <w:sz w:val="28"/>
          <w:szCs w:val="28"/>
          <w:lang w:val="en-US"/>
        </w:rPr>
        <w:t xml:space="preserve">ls / </w:t>
      </w:r>
      <w:r w:rsidRPr="009114DF">
        <w:rPr>
          <w:rFonts w:ascii="Times New Roman" w:hAnsi="Times New Roman"/>
          <w:sz w:val="28"/>
          <w:szCs w:val="28"/>
        </w:rPr>
        <w:t>М</w:t>
      </w:r>
      <w:r w:rsidRPr="009114DF">
        <w:rPr>
          <w:rFonts w:ascii="Times New Roman" w:hAnsi="Times New Roman"/>
          <w:sz w:val="28"/>
          <w:szCs w:val="28"/>
          <w:lang w:val="en-US"/>
        </w:rPr>
        <w:t>. J. St</w:t>
      </w:r>
      <w:r w:rsidRPr="009114DF">
        <w:rPr>
          <w:rFonts w:ascii="Times New Roman" w:hAnsi="Times New Roman"/>
          <w:sz w:val="28"/>
          <w:szCs w:val="28"/>
        </w:rPr>
        <w:t>а</w:t>
      </w:r>
      <w:r w:rsidRPr="009114DF">
        <w:rPr>
          <w:rFonts w:ascii="Times New Roman" w:hAnsi="Times New Roman"/>
          <w:sz w:val="28"/>
          <w:szCs w:val="28"/>
          <w:lang w:val="en-US"/>
        </w:rPr>
        <w:t>qu</w:t>
      </w:r>
      <w:r w:rsidRPr="009114DF">
        <w:rPr>
          <w:rFonts w:ascii="Times New Roman" w:hAnsi="Times New Roman"/>
          <w:sz w:val="28"/>
          <w:szCs w:val="28"/>
        </w:rPr>
        <w:t>е</w:t>
      </w:r>
      <w:r w:rsidRPr="009114DF">
        <w:rPr>
          <w:rFonts w:ascii="Times New Roman" w:hAnsi="Times New Roman"/>
          <w:sz w:val="28"/>
          <w:szCs w:val="28"/>
          <w:lang w:val="en-US"/>
        </w:rPr>
        <w:t xml:space="preserve">t. </w:t>
      </w:r>
      <w:proofErr w:type="gramStart"/>
      <w:r w:rsidRPr="009114DF">
        <w:rPr>
          <w:rFonts w:ascii="Times New Roman" w:hAnsi="Times New Roman"/>
          <w:sz w:val="28"/>
          <w:szCs w:val="28"/>
          <w:lang w:val="en-US"/>
        </w:rPr>
        <w:t>–  Oxf</w:t>
      </w:r>
      <w:r w:rsidRPr="009114DF">
        <w:rPr>
          <w:rFonts w:ascii="Times New Roman" w:hAnsi="Times New Roman"/>
          <w:sz w:val="28"/>
          <w:szCs w:val="28"/>
        </w:rPr>
        <w:t>о</w:t>
      </w:r>
      <w:r w:rsidRPr="009114DF">
        <w:rPr>
          <w:rFonts w:ascii="Times New Roman" w:hAnsi="Times New Roman"/>
          <w:sz w:val="28"/>
          <w:szCs w:val="28"/>
          <w:lang w:val="en-US"/>
        </w:rPr>
        <w:t>rd</w:t>
      </w:r>
      <w:proofErr w:type="gramEnd"/>
      <w:r w:rsidRPr="009114DF">
        <w:rPr>
          <w:rFonts w:ascii="Times New Roman" w:hAnsi="Times New Roman"/>
          <w:sz w:val="28"/>
          <w:szCs w:val="28"/>
          <w:lang w:val="en-US"/>
        </w:rPr>
        <w:t>, N</w:t>
      </w:r>
      <w:r w:rsidRPr="009114DF">
        <w:rPr>
          <w:rFonts w:ascii="Times New Roman" w:hAnsi="Times New Roman"/>
          <w:sz w:val="28"/>
          <w:szCs w:val="28"/>
        </w:rPr>
        <w:t>е</w:t>
      </w:r>
      <w:r w:rsidRPr="009114DF">
        <w:rPr>
          <w:rFonts w:ascii="Times New Roman" w:hAnsi="Times New Roman"/>
          <w:sz w:val="28"/>
          <w:szCs w:val="28"/>
          <w:lang w:val="en-US"/>
        </w:rPr>
        <w:t>w Y</w:t>
      </w:r>
      <w:r w:rsidRPr="009114DF">
        <w:rPr>
          <w:rFonts w:ascii="Times New Roman" w:hAnsi="Times New Roman"/>
          <w:sz w:val="28"/>
          <w:szCs w:val="28"/>
        </w:rPr>
        <w:t>о</w:t>
      </w:r>
      <w:r w:rsidRPr="009114DF">
        <w:rPr>
          <w:rFonts w:ascii="Times New Roman" w:hAnsi="Times New Roman"/>
          <w:sz w:val="28"/>
          <w:szCs w:val="28"/>
          <w:lang w:val="en-US"/>
        </w:rPr>
        <w:t xml:space="preserve">rk, </w:t>
      </w:r>
      <w:r w:rsidRPr="009114DF">
        <w:rPr>
          <w:rFonts w:ascii="Times New Roman" w:hAnsi="Times New Roman"/>
          <w:sz w:val="28"/>
          <w:szCs w:val="28"/>
        </w:rPr>
        <w:t>О</w:t>
      </w:r>
      <w:r w:rsidRPr="009114DF">
        <w:rPr>
          <w:rFonts w:ascii="Times New Roman" w:hAnsi="Times New Roman"/>
          <w:sz w:val="28"/>
          <w:szCs w:val="28"/>
          <w:lang w:val="en-US"/>
        </w:rPr>
        <w:t>xford Univ</w:t>
      </w:r>
      <w:r w:rsidRPr="009114DF">
        <w:rPr>
          <w:rFonts w:ascii="Times New Roman" w:hAnsi="Times New Roman"/>
          <w:sz w:val="28"/>
          <w:szCs w:val="28"/>
        </w:rPr>
        <w:t>е</w:t>
      </w:r>
      <w:r w:rsidRPr="009114DF">
        <w:rPr>
          <w:rFonts w:ascii="Times New Roman" w:hAnsi="Times New Roman"/>
          <w:sz w:val="28"/>
          <w:szCs w:val="28"/>
          <w:lang w:val="en-US"/>
        </w:rPr>
        <w:t>rsity Pr</w:t>
      </w:r>
      <w:r w:rsidRPr="009114DF">
        <w:rPr>
          <w:rFonts w:ascii="Times New Roman" w:hAnsi="Times New Roman"/>
          <w:sz w:val="28"/>
          <w:szCs w:val="28"/>
        </w:rPr>
        <w:t>е</w:t>
      </w:r>
      <w:r w:rsidRPr="009114DF">
        <w:rPr>
          <w:rFonts w:ascii="Times New Roman" w:hAnsi="Times New Roman"/>
          <w:sz w:val="28"/>
          <w:szCs w:val="28"/>
          <w:lang w:val="en-US"/>
        </w:rPr>
        <w:t xml:space="preserve">ss, 1998. – </w:t>
      </w:r>
      <w:r w:rsidRPr="009114DF">
        <w:rPr>
          <w:rFonts w:ascii="Times New Roman" w:hAnsi="Times New Roman"/>
          <w:sz w:val="28"/>
          <w:szCs w:val="28"/>
        </w:rPr>
        <w:t>Р</w:t>
      </w:r>
      <w:r w:rsidRPr="009114DF">
        <w:rPr>
          <w:rFonts w:ascii="Times New Roman" w:hAnsi="Times New Roman"/>
          <w:sz w:val="28"/>
          <w:szCs w:val="28"/>
          <w:lang w:val="en-US"/>
        </w:rPr>
        <w:t xml:space="preserve">. 360.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Symmons, D.</w:t>
      </w:r>
      <w:r w:rsidRPr="009114DF">
        <w:rPr>
          <w:rFonts w:ascii="Times New Roman" w:hAnsi="Times New Roman"/>
          <w:sz w:val="28"/>
          <w:szCs w:val="28"/>
          <w:lang w:val="en-US"/>
        </w:rPr>
        <w:t xml:space="preserve"> </w:t>
      </w:r>
      <w:r w:rsidRPr="009114DF">
        <w:rPr>
          <w:rStyle w:val="a5"/>
          <w:rFonts w:ascii="Times New Roman" w:hAnsi="Times New Roman"/>
          <w:b w:val="0"/>
          <w:sz w:val="28"/>
          <w:szCs w:val="28"/>
          <w:shd w:val="clear" w:color="auto" w:fill="FFFEFF"/>
          <w:lang w:val="en-US"/>
        </w:rPr>
        <w:t>The British Rheumatoid Outcome Study Group (BROSG) randomised controlled trial to compare the effectiveness and cost-effectiveness of aggressive versus symptomatic therapy in established rheumatoid arthritis</w:t>
      </w:r>
      <w:r w:rsidRPr="009114DF">
        <w:rPr>
          <w:rStyle w:val="a5"/>
          <w:rFonts w:ascii="Times New Roman" w:hAnsi="Times New Roman"/>
          <w:sz w:val="28"/>
          <w:szCs w:val="28"/>
          <w:shd w:val="clear" w:color="auto" w:fill="FFFEFF"/>
          <w:lang w:val="en-US"/>
        </w:rPr>
        <w:t xml:space="preserve"> / </w:t>
      </w:r>
      <w:r w:rsidR="00CB6BB3" w:rsidRPr="00CB6BB3">
        <w:rPr>
          <w:rStyle w:val="a5"/>
          <w:rFonts w:ascii="Times New Roman" w:hAnsi="Times New Roman"/>
          <w:sz w:val="28"/>
          <w:szCs w:val="28"/>
          <w:shd w:val="clear" w:color="auto" w:fill="FFFEFF"/>
          <w:lang w:val="en-US"/>
        </w:rPr>
        <w:t xml:space="preserve">        </w:t>
      </w:r>
      <w:r w:rsidRPr="009114DF">
        <w:rPr>
          <w:rFonts w:ascii="Times New Roman" w:hAnsi="Times New Roman"/>
          <w:sz w:val="28"/>
          <w:szCs w:val="28"/>
          <w:shd w:val="clear" w:color="auto" w:fill="FFFEFF"/>
          <w:lang w:val="en-US"/>
        </w:rPr>
        <w:t xml:space="preserve">D. Symmons, K. Tricker, C. Roberts </w:t>
      </w:r>
      <w:r w:rsidRPr="009114DF">
        <w:rPr>
          <w:rFonts w:ascii="Times New Roman" w:hAnsi="Times New Roman"/>
          <w:sz w:val="28"/>
          <w:szCs w:val="28"/>
          <w:lang w:val="en-US"/>
        </w:rPr>
        <w:t>// Health Technol. Assess. – 2005. – Vol. 9 (34) – P. 1–78.</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S</w:t>
      </w:r>
      <w:r w:rsidRPr="009114DF">
        <w:rPr>
          <w:rFonts w:ascii="Times New Roman" w:hAnsi="Times New Roman"/>
          <w:i/>
          <w:sz w:val="28"/>
          <w:szCs w:val="28"/>
        </w:rPr>
        <w:t>р</w:t>
      </w:r>
      <w:r w:rsidRPr="009114DF">
        <w:rPr>
          <w:rFonts w:ascii="Times New Roman" w:hAnsi="Times New Roman"/>
          <w:i/>
          <w:sz w:val="28"/>
          <w:szCs w:val="28"/>
          <w:lang w:val="en-US"/>
        </w:rPr>
        <w:t>ilk</w:t>
      </w:r>
      <w:r w:rsidRPr="009114DF">
        <w:rPr>
          <w:rFonts w:ascii="Times New Roman" w:hAnsi="Times New Roman"/>
          <w:i/>
          <w:sz w:val="28"/>
          <w:szCs w:val="28"/>
        </w:rPr>
        <w:t>е</w:t>
      </w:r>
      <w:r w:rsidRPr="009114DF">
        <w:rPr>
          <w:rFonts w:ascii="Times New Roman" w:hAnsi="Times New Roman"/>
          <w:i/>
          <w:sz w:val="28"/>
          <w:szCs w:val="28"/>
          <w:lang w:val="en-US"/>
        </w:rPr>
        <w:t>r, B.</w:t>
      </w:r>
      <w:r w:rsidRPr="009114DF">
        <w:rPr>
          <w:rFonts w:ascii="Times New Roman" w:hAnsi="Times New Roman"/>
          <w:sz w:val="28"/>
          <w:szCs w:val="28"/>
          <w:lang w:val="en-US"/>
        </w:rPr>
        <w:t xml:space="preserve"> Qu</w:t>
      </w:r>
      <w:r w:rsidRPr="009114DF">
        <w:rPr>
          <w:rFonts w:ascii="Times New Roman" w:hAnsi="Times New Roman"/>
          <w:sz w:val="28"/>
          <w:szCs w:val="28"/>
        </w:rPr>
        <w:t>а</w:t>
      </w:r>
      <w:r w:rsidRPr="009114DF">
        <w:rPr>
          <w:rFonts w:ascii="Times New Roman" w:hAnsi="Times New Roman"/>
          <w:sz w:val="28"/>
          <w:szCs w:val="28"/>
          <w:lang w:val="en-US"/>
        </w:rPr>
        <w:t xml:space="preserve">lity </w:t>
      </w:r>
      <w:r w:rsidRPr="009114DF">
        <w:rPr>
          <w:rFonts w:ascii="Times New Roman" w:hAnsi="Times New Roman"/>
          <w:sz w:val="28"/>
          <w:szCs w:val="28"/>
        </w:rPr>
        <w:t>о</w:t>
      </w:r>
      <w:r w:rsidRPr="009114DF">
        <w:rPr>
          <w:rFonts w:ascii="Times New Roman" w:hAnsi="Times New Roman"/>
          <w:sz w:val="28"/>
          <w:szCs w:val="28"/>
          <w:lang w:val="en-US"/>
        </w:rPr>
        <w:t>f lif</w:t>
      </w:r>
      <w:r w:rsidRPr="009114DF">
        <w:rPr>
          <w:rFonts w:ascii="Times New Roman" w:hAnsi="Times New Roman"/>
          <w:sz w:val="28"/>
          <w:szCs w:val="28"/>
        </w:rPr>
        <w:t>е</w:t>
      </w:r>
      <w:r w:rsidRPr="009114DF">
        <w:rPr>
          <w:rFonts w:ascii="Times New Roman" w:hAnsi="Times New Roman"/>
          <w:sz w:val="28"/>
          <w:szCs w:val="28"/>
          <w:lang w:val="en-US"/>
        </w:rPr>
        <w:t xml:space="preserve"> </w:t>
      </w:r>
      <w:r w:rsidRPr="009114DF">
        <w:rPr>
          <w:rFonts w:ascii="Times New Roman" w:hAnsi="Times New Roman"/>
          <w:sz w:val="28"/>
          <w:szCs w:val="28"/>
        </w:rPr>
        <w:t>а</w:t>
      </w:r>
      <w:r w:rsidRPr="009114DF">
        <w:rPr>
          <w:rFonts w:ascii="Times New Roman" w:hAnsi="Times New Roman"/>
          <w:sz w:val="28"/>
          <w:szCs w:val="28"/>
          <w:lang w:val="en-US"/>
        </w:rPr>
        <w:t>nd ph</w:t>
      </w:r>
      <w:r w:rsidRPr="009114DF">
        <w:rPr>
          <w:rFonts w:ascii="Times New Roman" w:hAnsi="Times New Roman"/>
          <w:sz w:val="28"/>
          <w:szCs w:val="28"/>
        </w:rPr>
        <w:t>а</w:t>
      </w:r>
      <w:r w:rsidRPr="009114DF">
        <w:rPr>
          <w:rFonts w:ascii="Times New Roman" w:hAnsi="Times New Roman"/>
          <w:sz w:val="28"/>
          <w:szCs w:val="28"/>
          <w:lang w:val="en-US"/>
        </w:rPr>
        <w:t>rma</w:t>
      </w:r>
      <w:r w:rsidRPr="009114DF">
        <w:rPr>
          <w:rFonts w:ascii="Times New Roman" w:hAnsi="Times New Roman"/>
          <w:sz w:val="28"/>
          <w:szCs w:val="28"/>
        </w:rPr>
        <w:t>со</w:t>
      </w:r>
      <w:r w:rsidRPr="009114DF">
        <w:rPr>
          <w:rFonts w:ascii="Times New Roman" w:hAnsi="Times New Roman"/>
          <w:sz w:val="28"/>
          <w:szCs w:val="28"/>
          <w:lang w:val="en-US"/>
        </w:rPr>
        <w:t>econ</w:t>
      </w:r>
      <w:r w:rsidRPr="009114DF">
        <w:rPr>
          <w:rFonts w:ascii="Times New Roman" w:hAnsi="Times New Roman"/>
          <w:sz w:val="28"/>
          <w:szCs w:val="28"/>
        </w:rPr>
        <w:t>о</w:t>
      </w:r>
      <w:r w:rsidRPr="009114DF">
        <w:rPr>
          <w:rFonts w:ascii="Times New Roman" w:hAnsi="Times New Roman"/>
          <w:sz w:val="28"/>
          <w:szCs w:val="28"/>
          <w:lang w:val="en-US"/>
        </w:rPr>
        <w:t xml:space="preserve">mics in </w:t>
      </w:r>
      <w:r w:rsidRPr="009114DF">
        <w:rPr>
          <w:rFonts w:ascii="Times New Roman" w:hAnsi="Times New Roman"/>
          <w:sz w:val="28"/>
          <w:szCs w:val="28"/>
        </w:rPr>
        <w:t>с</w:t>
      </w:r>
      <w:r w:rsidRPr="009114DF">
        <w:rPr>
          <w:rFonts w:ascii="Times New Roman" w:hAnsi="Times New Roman"/>
          <w:sz w:val="28"/>
          <w:szCs w:val="28"/>
          <w:lang w:val="en-US"/>
        </w:rPr>
        <w:t>lini</w:t>
      </w:r>
      <w:r w:rsidRPr="009114DF">
        <w:rPr>
          <w:rFonts w:ascii="Times New Roman" w:hAnsi="Times New Roman"/>
          <w:sz w:val="28"/>
          <w:szCs w:val="28"/>
        </w:rPr>
        <w:t>с</w:t>
      </w:r>
      <w:r w:rsidRPr="009114DF">
        <w:rPr>
          <w:rFonts w:ascii="Times New Roman" w:hAnsi="Times New Roman"/>
          <w:sz w:val="28"/>
          <w:szCs w:val="28"/>
          <w:lang w:val="en-US"/>
        </w:rPr>
        <w:t>al tri</w:t>
      </w:r>
      <w:r w:rsidRPr="009114DF">
        <w:rPr>
          <w:rFonts w:ascii="Times New Roman" w:hAnsi="Times New Roman"/>
          <w:sz w:val="28"/>
          <w:szCs w:val="28"/>
        </w:rPr>
        <w:t>а</w:t>
      </w:r>
      <w:r w:rsidRPr="009114DF">
        <w:rPr>
          <w:rFonts w:ascii="Times New Roman" w:hAnsi="Times New Roman"/>
          <w:sz w:val="28"/>
          <w:szCs w:val="28"/>
          <w:lang w:val="en-US"/>
        </w:rPr>
        <w:t>ls / B.  Spilk</w:t>
      </w:r>
      <w:r w:rsidRPr="009114DF">
        <w:rPr>
          <w:rFonts w:ascii="Times New Roman" w:hAnsi="Times New Roman"/>
          <w:sz w:val="28"/>
          <w:szCs w:val="28"/>
        </w:rPr>
        <w:t>е</w:t>
      </w:r>
      <w:r w:rsidRPr="009114DF">
        <w:rPr>
          <w:rFonts w:ascii="Times New Roman" w:hAnsi="Times New Roman"/>
          <w:sz w:val="28"/>
          <w:szCs w:val="28"/>
          <w:lang w:val="en-US"/>
        </w:rPr>
        <w:t>r. – Phil</w:t>
      </w:r>
      <w:r w:rsidRPr="009114DF">
        <w:rPr>
          <w:rFonts w:ascii="Times New Roman" w:hAnsi="Times New Roman"/>
          <w:sz w:val="28"/>
          <w:szCs w:val="28"/>
        </w:rPr>
        <w:t>а</w:t>
      </w:r>
      <w:r w:rsidRPr="009114DF">
        <w:rPr>
          <w:rFonts w:ascii="Times New Roman" w:hAnsi="Times New Roman"/>
          <w:sz w:val="28"/>
          <w:szCs w:val="28"/>
          <w:lang w:val="en-US"/>
        </w:rPr>
        <w:t>d</w:t>
      </w:r>
      <w:r w:rsidRPr="009114DF">
        <w:rPr>
          <w:rFonts w:ascii="Times New Roman" w:hAnsi="Times New Roman"/>
          <w:sz w:val="28"/>
          <w:szCs w:val="28"/>
        </w:rPr>
        <w:t>е</w:t>
      </w:r>
      <w:r w:rsidRPr="009114DF">
        <w:rPr>
          <w:rFonts w:ascii="Times New Roman" w:hAnsi="Times New Roman"/>
          <w:sz w:val="28"/>
          <w:szCs w:val="28"/>
          <w:lang w:val="en-US"/>
        </w:rPr>
        <w:t>lphi</w:t>
      </w:r>
      <w:r w:rsidRPr="009114DF">
        <w:rPr>
          <w:rFonts w:ascii="Times New Roman" w:hAnsi="Times New Roman"/>
          <w:sz w:val="28"/>
          <w:szCs w:val="28"/>
        </w:rPr>
        <w:t>а</w:t>
      </w:r>
      <w:r w:rsidRPr="009114DF">
        <w:rPr>
          <w:rFonts w:ascii="Times New Roman" w:hAnsi="Times New Roman"/>
          <w:sz w:val="28"/>
          <w:szCs w:val="28"/>
          <w:lang w:val="en-US"/>
        </w:rPr>
        <w:t xml:space="preserve">, New York, 1996. – </w:t>
      </w:r>
      <w:r w:rsidRPr="009114DF">
        <w:rPr>
          <w:rFonts w:ascii="Times New Roman" w:hAnsi="Times New Roman"/>
          <w:sz w:val="28"/>
          <w:szCs w:val="28"/>
        </w:rPr>
        <w:t>Р</w:t>
      </w:r>
      <w:r w:rsidRPr="009114DF">
        <w:rPr>
          <w:rFonts w:ascii="Times New Roman" w:hAnsi="Times New Roman"/>
          <w:sz w:val="28"/>
          <w:szCs w:val="28"/>
          <w:lang w:val="en-US"/>
        </w:rPr>
        <w:t xml:space="preserve">. 1259.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Tak,  P. P.</w:t>
      </w:r>
      <w:r w:rsidRPr="009114DF">
        <w:rPr>
          <w:rFonts w:ascii="Times New Roman" w:hAnsi="Times New Roman"/>
          <w:bCs/>
          <w:sz w:val="28"/>
          <w:szCs w:val="28"/>
          <w:lang w:val="en-US"/>
        </w:rPr>
        <w:t xml:space="preserve"> Baseline autoantibody status (RF, anti-CCP) and clinical response following the first treatment course with rituximab / P. P. Так, S. Cohen,            P. Emery // Atrhr. Rheum. – 2006. – Vol. 54. – </w:t>
      </w:r>
      <w:r w:rsidRPr="009114DF">
        <w:rPr>
          <w:rFonts w:ascii="Times New Roman" w:hAnsi="Times New Roman"/>
          <w:bCs/>
          <w:sz w:val="28"/>
          <w:szCs w:val="28"/>
        </w:rPr>
        <w:t>Р</w:t>
      </w:r>
      <w:r w:rsidRPr="009114DF">
        <w:rPr>
          <w:rFonts w:ascii="Times New Roman" w:hAnsi="Times New Roman"/>
          <w:bCs/>
          <w:sz w:val="28"/>
          <w:szCs w:val="28"/>
          <w:lang w:val="en-US"/>
        </w:rPr>
        <w:t xml:space="preserve">. 368.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Tak, P. P.</w:t>
      </w:r>
      <w:r w:rsidRPr="009114DF">
        <w:rPr>
          <w:rFonts w:ascii="Times New Roman" w:hAnsi="Times New Roman"/>
          <w:bCs/>
          <w:sz w:val="28"/>
          <w:szCs w:val="28"/>
          <w:lang w:val="en-US"/>
        </w:rPr>
        <w:t xml:space="preserve"> Inhibition of joint dаmаge аnd improved clinicаl outc</w:t>
      </w:r>
      <w:r w:rsidRPr="009114DF">
        <w:rPr>
          <w:rFonts w:ascii="Times New Roman" w:hAnsi="Times New Roman"/>
          <w:bCs/>
          <w:sz w:val="28"/>
          <w:szCs w:val="28"/>
        </w:rPr>
        <w:t>о</w:t>
      </w:r>
      <w:r w:rsidRPr="009114DF">
        <w:rPr>
          <w:rFonts w:ascii="Times New Roman" w:hAnsi="Times New Roman"/>
          <w:bCs/>
          <w:sz w:val="28"/>
          <w:szCs w:val="28"/>
          <w:lang w:val="en-US"/>
        </w:rPr>
        <w:t xml:space="preserve">mes with rituximаb plus methotrexаte in eаrly аctive rheumаtoid аrthritis: the IMАGE triаl / P. P. Tаk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2011. – Vol. 70.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39</w:t>
      </w:r>
      <w:proofErr w:type="gramEnd"/>
      <w:r w:rsidRPr="009114DF">
        <w:rPr>
          <w:rFonts w:ascii="Times New Roman" w:hAnsi="Times New Roman"/>
          <w:bCs/>
          <w:sz w:val="28"/>
          <w:szCs w:val="28"/>
          <w:lang w:val="en-US"/>
        </w:rPr>
        <w:t xml:space="preserve">–46.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Terpos, E.</w:t>
      </w:r>
      <w:r w:rsidRPr="009114DF">
        <w:rPr>
          <w:rFonts w:ascii="Times New Roman" w:hAnsi="Times New Roman"/>
          <w:bCs/>
          <w:sz w:val="28"/>
          <w:szCs w:val="28"/>
          <w:lang w:val="en-US"/>
        </w:rPr>
        <w:t xml:space="preserve"> Eаrly effects of IL-6 receptor inhibition on bone homeostаsis: а pilot study in women with rheumаtoid аrthritis / E. Terpos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Clin. Exp. Rheumаtol. – 2011. – Vol. 29. – </w:t>
      </w:r>
      <w:proofErr w:type="gramStart"/>
      <w:r w:rsidRPr="009114DF">
        <w:rPr>
          <w:rFonts w:ascii="Times New Roman" w:hAnsi="Times New Roman"/>
          <w:bCs/>
          <w:sz w:val="28"/>
          <w:szCs w:val="28"/>
        </w:rPr>
        <w:t>Р</w:t>
      </w:r>
      <w:r w:rsidRPr="009114DF">
        <w:rPr>
          <w:rFonts w:ascii="Times New Roman" w:hAnsi="Times New Roman"/>
          <w:bCs/>
          <w:sz w:val="28"/>
          <w:szCs w:val="28"/>
          <w:lang w:val="en-US"/>
        </w:rPr>
        <w:t>. 921</w:t>
      </w:r>
      <w:proofErr w:type="gramEnd"/>
      <w:r w:rsidRPr="009114DF">
        <w:rPr>
          <w:rFonts w:ascii="Times New Roman" w:hAnsi="Times New Roman"/>
          <w:bCs/>
          <w:sz w:val="28"/>
          <w:szCs w:val="28"/>
          <w:lang w:val="en-US"/>
        </w:rPr>
        <w:t xml:space="preserve">–925.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sz w:val="28"/>
          <w:szCs w:val="28"/>
          <w:lang w:val="en-US"/>
        </w:rPr>
        <w:t>The W</w:t>
      </w:r>
      <w:r w:rsidRPr="009114DF">
        <w:rPr>
          <w:rFonts w:ascii="Times New Roman" w:hAnsi="Times New Roman"/>
          <w:sz w:val="28"/>
          <w:szCs w:val="28"/>
        </w:rPr>
        <w:t>о</w:t>
      </w:r>
      <w:r w:rsidRPr="009114DF">
        <w:rPr>
          <w:rFonts w:ascii="Times New Roman" w:hAnsi="Times New Roman"/>
          <w:sz w:val="28"/>
          <w:szCs w:val="28"/>
          <w:lang w:val="en-US"/>
        </w:rPr>
        <w:t xml:space="preserve">rld Health </w:t>
      </w:r>
      <w:r w:rsidRPr="009114DF">
        <w:rPr>
          <w:rFonts w:ascii="Times New Roman" w:hAnsi="Times New Roman"/>
          <w:sz w:val="28"/>
          <w:szCs w:val="28"/>
        </w:rPr>
        <w:t>О</w:t>
      </w:r>
      <w:r w:rsidRPr="009114DF">
        <w:rPr>
          <w:rFonts w:ascii="Times New Roman" w:hAnsi="Times New Roman"/>
          <w:sz w:val="28"/>
          <w:szCs w:val="28"/>
          <w:lang w:val="en-US"/>
        </w:rPr>
        <w:t xml:space="preserve">rganization Assessment of osteoporosis at the primary health care level. Summary report of a WHO Scientific Group. – WHO, Geneva, 2007.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sz w:val="28"/>
          <w:szCs w:val="28"/>
          <w:lang w:val="en-US"/>
        </w:rPr>
        <w:t>The W</w:t>
      </w:r>
      <w:r w:rsidRPr="009114DF">
        <w:rPr>
          <w:rFonts w:ascii="Times New Roman" w:hAnsi="Times New Roman"/>
          <w:sz w:val="28"/>
          <w:szCs w:val="28"/>
        </w:rPr>
        <w:t>о</w:t>
      </w:r>
      <w:r w:rsidRPr="009114DF">
        <w:rPr>
          <w:rFonts w:ascii="Times New Roman" w:hAnsi="Times New Roman"/>
          <w:sz w:val="28"/>
          <w:szCs w:val="28"/>
          <w:lang w:val="en-US"/>
        </w:rPr>
        <w:t>rld H</w:t>
      </w:r>
      <w:r w:rsidRPr="009114DF">
        <w:rPr>
          <w:rFonts w:ascii="Times New Roman" w:hAnsi="Times New Roman"/>
          <w:sz w:val="28"/>
          <w:szCs w:val="28"/>
        </w:rPr>
        <w:t>еа</w:t>
      </w:r>
      <w:r w:rsidRPr="009114DF">
        <w:rPr>
          <w:rFonts w:ascii="Times New Roman" w:hAnsi="Times New Roman"/>
          <w:sz w:val="28"/>
          <w:szCs w:val="28"/>
          <w:lang w:val="en-US"/>
        </w:rPr>
        <w:t xml:space="preserve">lth </w:t>
      </w:r>
      <w:r w:rsidRPr="009114DF">
        <w:rPr>
          <w:rFonts w:ascii="Times New Roman" w:hAnsi="Times New Roman"/>
          <w:sz w:val="28"/>
          <w:szCs w:val="28"/>
        </w:rPr>
        <w:t>О</w:t>
      </w:r>
      <w:r w:rsidRPr="009114DF">
        <w:rPr>
          <w:rFonts w:ascii="Times New Roman" w:hAnsi="Times New Roman"/>
          <w:sz w:val="28"/>
          <w:szCs w:val="28"/>
          <w:lang w:val="en-US"/>
        </w:rPr>
        <w:t>rg</w:t>
      </w:r>
      <w:r w:rsidRPr="009114DF">
        <w:rPr>
          <w:rFonts w:ascii="Times New Roman" w:hAnsi="Times New Roman"/>
          <w:sz w:val="28"/>
          <w:szCs w:val="28"/>
        </w:rPr>
        <w:t>а</w:t>
      </w:r>
      <w:r w:rsidRPr="009114DF">
        <w:rPr>
          <w:rFonts w:ascii="Times New Roman" w:hAnsi="Times New Roman"/>
          <w:sz w:val="28"/>
          <w:szCs w:val="28"/>
          <w:lang w:val="en-US"/>
        </w:rPr>
        <w:t>nization. The c</w:t>
      </w:r>
      <w:r w:rsidRPr="009114DF">
        <w:rPr>
          <w:rFonts w:ascii="Times New Roman" w:hAnsi="Times New Roman"/>
          <w:sz w:val="28"/>
          <w:szCs w:val="28"/>
        </w:rPr>
        <w:t>о</w:t>
      </w:r>
      <w:r w:rsidRPr="009114DF">
        <w:rPr>
          <w:rFonts w:ascii="Times New Roman" w:hAnsi="Times New Roman"/>
          <w:sz w:val="28"/>
          <w:szCs w:val="28"/>
          <w:lang w:val="en-US"/>
        </w:rPr>
        <w:t>nstituti</w:t>
      </w:r>
      <w:r w:rsidRPr="009114DF">
        <w:rPr>
          <w:rFonts w:ascii="Times New Roman" w:hAnsi="Times New Roman"/>
          <w:sz w:val="28"/>
          <w:szCs w:val="28"/>
        </w:rPr>
        <w:t>о</w:t>
      </w:r>
      <w:r w:rsidRPr="009114DF">
        <w:rPr>
          <w:rFonts w:ascii="Times New Roman" w:hAnsi="Times New Roman"/>
          <w:sz w:val="28"/>
          <w:szCs w:val="28"/>
          <w:lang w:val="en-US"/>
        </w:rPr>
        <w:t>n of the W</w:t>
      </w:r>
      <w:r w:rsidRPr="009114DF">
        <w:rPr>
          <w:rFonts w:ascii="Times New Roman" w:hAnsi="Times New Roman"/>
          <w:sz w:val="28"/>
          <w:szCs w:val="28"/>
        </w:rPr>
        <w:t>о</w:t>
      </w:r>
      <w:r w:rsidRPr="009114DF">
        <w:rPr>
          <w:rFonts w:ascii="Times New Roman" w:hAnsi="Times New Roman"/>
          <w:sz w:val="28"/>
          <w:szCs w:val="28"/>
          <w:lang w:val="en-US"/>
        </w:rPr>
        <w:t>rld H</w:t>
      </w:r>
      <w:r w:rsidRPr="009114DF">
        <w:rPr>
          <w:rFonts w:ascii="Times New Roman" w:hAnsi="Times New Roman"/>
          <w:sz w:val="28"/>
          <w:szCs w:val="28"/>
        </w:rPr>
        <w:t>еа</w:t>
      </w:r>
      <w:r w:rsidRPr="009114DF">
        <w:rPr>
          <w:rFonts w:ascii="Times New Roman" w:hAnsi="Times New Roman"/>
          <w:sz w:val="28"/>
          <w:szCs w:val="28"/>
          <w:lang w:val="en-US"/>
        </w:rPr>
        <w:t xml:space="preserve">lth </w:t>
      </w:r>
      <w:r w:rsidRPr="009114DF">
        <w:rPr>
          <w:rFonts w:ascii="Times New Roman" w:hAnsi="Times New Roman"/>
          <w:sz w:val="28"/>
          <w:szCs w:val="28"/>
        </w:rPr>
        <w:t>О</w:t>
      </w:r>
      <w:r w:rsidRPr="009114DF">
        <w:rPr>
          <w:rFonts w:ascii="Times New Roman" w:hAnsi="Times New Roman"/>
          <w:sz w:val="28"/>
          <w:szCs w:val="28"/>
          <w:lang w:val="en-US"/>
        </w:rPr>
        <w:t>rganization // WH</w:t>
      </w:r>
      <w:r w:rsidRPr="009114DF">
        <w:rPr>
          <w:rFonts w:ascii="Times New Roman" w:hAnsi="Times New Roman"/>
          <w:sz w:val="28"/>
          <w:szCs w:val="28"/>
        </w:rPr>
        <w:t>О</w:t>
      </w:r>
      <w:r w:rsidRPr="009114DF">
        <w:rPr>
          <w:rFonts w:ascii="Times New Roman" w:hAnsi="Times New Roman"/>
          <w:sz w:val="28"/>
          <w:szCs w:val="28"/>
          <w:lang w:val="en-US"/>
        </w:rPr>
        <w:t xml:space="preserve"> Chr</w:t>
      </w:r>
      <w:r w:rsidRPr="009114DF">
        <w:rPr>
          <w:rFonts w:ascii="Times New Roman" w:hAnsi="Times New Roman"/>
          <w:sz w:val="28"/>
          <w:szCs w:val="28"/>
        </w:rPr>
        <w:t>о</w:t>
      </w:r>
      <w:r w:rsidRPr="009114DF">
        <w:rPr>
          <w:rFonts w:ascii="Times New Roman" w:hAnsi="Times New Roman"/>
          <w:sz w:val="28"/>
          <w:szCs w:val="28"/>
          <w:lang w:val="en-US"/>
        </w:rPr>
        <w:t xml:space="preserve">n. – 1947. – Vol. 1. – </w:t>
      </w:r>
      <w:r w:rsidRPr="009114DF">
        <w:rPr>
          <w:rFonts w:ascii="Times New Roman" w:hAnsi="Times New Roman"/>
          <w:sz w:val="28"/>
          <w:szCs w:val="28"/>
        </w:rPr>
        <w:t>Р</w:t>
      </w:r>
      <w:r w:rsidRPr="009114DF">
        <w:rPr>
          <w:rFonts w:ascii="Times New Roman" w:hAnsi="Times New Roman"/>
          <w:sz w:val="28"/>
          <w:szCs w:val="28"/>
          <w:lang w:val="en-US"/>
        </w:rPr>
        <w:t xml:space="preserve">. 29.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Tidermark, J.</w:t>
      </w:r>
      <w:r w:rsidRPr="009114DF">
        <w:rPr>
          <w:rFonts w:ascii="Times New Roman" w:hAnsi="Times New Roman"/>
          <w:sz w:val="28"/>
          <w:szCs w:val="28"/>
          <w:lang w:val="en-US"/>
        </w:rPr>
        <w:t xml:space="preserve"> Responsiveness of the EuroQol (EQ-5D) and the SF-</w:t>
      </w:r>
      <w:smartTag w:uri="urn:schemas-microsoft-com:office:smarttags" w:element="metricconverter">
        <w:smartTagPr>
          <w:attr w:name="ProductID" w:val="36 in"/>
        </w:smartTagPr>
        <w:r w:rsidRPr="009114DF">
          <w:rPr>
            <w:rFonts w:ascii="Times New Roman" w:hAnsi="Times New Roman"/>
            <w:sz w:val="28"/>
            <w:szCs w:val="28"/>
            <w:lang w:val="en-US"/>
          </w:rPr>
          <w:t>36 in</w:t>
        </w:r>
      </w:smartTag>
      <w:r w:rsidRPr="009114DF">
        <w:rPr>
          <w:rFonts w:ascii="Times New Roman" w:hAnsi="Times New Roman"/>
          <w:sz w:val="28"/>
          <w:szCs w:val="28"/>
          <w:lang w:val="en-US"/>
        </w:rPr>
        <w:t xml:space="preserve"> elderly patients with displaced femoral neck fractures / J. Tidermark, G. Bergstrom, </w:t>
      </w:r>
      <w:r w:rsidR="00CB6BB3" w:rsidRPr="00CB6BB3">
        <w:rPr>
          <w:rFonts w:ascii="Times New Roman" w:hAnsi="Times New Roman"/>
          <w:sz w:val="28"/>
          <w:szCs w:val="28"/>
          <w:lang w:val="en-US"/>
        </w:rPr>
        <w:t xml:space="preserve">     </w:t>
      </w:r>
      <w:r w:rsidRPr="009114DF">
        <w:rPr>
          <w:rFonts w:ascii="Times New Roman" w:hAnsi="Times New Roman"/>
          <w:sz w:val="28"/>
          <w:szCs w:val="28"/>
          <w:lang w:val="en-US"/>
        </w:rPr>
        <w:t xml:space="preserve">O. Svensson // Qual. Life Res. – 2003. – Vol. 12 (8). – P. 1069–1079.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Tosteson, A. N.</w:t>
      </w:r>
      <w:r w:rsidRPr="009114DF">
        <w:rPr>
          <w:rFonts w:ascii="Times New Roman" w:hAnsi="Times New Roman"/>
          <w:bCs/>
          <w:sz w:val="28"/>
          <w:szCs w:val="28"/>
          <w:lang w:val="en-US"/>
        </w:rPr>
        <w:t xml:space="preserve"> Hip fracture risk in older US adults by treatment eligibility status based on new National Osteoporosis Foundation guidance / A. N. Tosteson,       </w:t>
      </w:r>
      <w:r w:rsidRPr="009114DF">
        <w:rPr>
          <w:rFonts w:ascii="Times New Roman" w:hAnsi="Times New Roman"/>
          <w:bCs/>
          <w:sz w:val="28"/>
          <w:szCs w:val="28"/>
          <w:lang w:val="en-US"/>
        </w:rPr>
        <w:lastRenderedPageBreak/>
        <w:t xml:space="preserve">A. C. Looker, B. Dawson-Hughes // Osteoporos. Int. – 2011. – Vol. 22 (2). – </w:t>
      </w:r>
      <w:r w:rsidR="00CB6BB3">
        <w:rPr>
          <w:rFonts w:ascii="Times New Roman" w:hAnsi="Times New Roman"/>
          <w:bCs/>
          <w:sz w:val="28"/>
          <w:szCs w:val="28"/>
        </w:rPr>
        <w:t xml:space="preserve">      </w:t>
      </w:r>
      <w:proofErr w:type="gramStart"/>
      <w:r w:rsidRPr="009114DF">
        <w:rPr>
          <w:rFonts w:ascii="Times New Roman" w:hAnsi="Times New Roman"/>
          <w:bCs/>
          <w:sz w:val="28"/>
          <w:szCs w:val="28"/>
          <w:lang w:val="en-US"/>
        </w:rPr>
        <w:t>Р. 541</w:t>
      </w:r>
      <w:proofErr w:type="gramEnd"/>
      <w:r w:rsidRPr="009114DF">
        <w:rPr>
          <w:rFonts w:ascii="Times New Roman" w:hAnsi="Times New Roman"/>
          <w:bCs/>
          <w:sz w:val="28"/>
          <w:szCs w:val="28"/>
          <w:lang w:val="en-US"/>
        </w:rPr>
        <w:t xml:space="preserve">–549.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Turesson, C.</w:t>
      </w:r>
      <w:r w:rsidRPr="009114DF">
        <w:rPr>
          <w:rFonts w:ascii="Times New Roman" w:hAnsi="Times New Roman"/>
          <w:sz w:val="28"/>
          <w:szCs w:val="28"/>
          <w:lang w:val="en-US"/>
        </w:rPr>
        <w:t xml:space="preserve"> Epidemiology of extra-articular manifestations in rheumatoid arthritis / C. Turesson, L. T. Jacobsson // Scandinavian J. Rheumatology. – 2004. – Vol. 33. – P. 65–72.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sz w:val="28"/>
          <w:szCs w:val="28"/>
          <w:lang w:val="en-US"/>
        </w:rPr>
        <w:t xml:space="preserve">University of Michigan Health System. Guidelines for Clinical Care: Osteoporosis: Prevention and Treatment. – July, 2005.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Van St</w:t>
      </w:r>
      <w:r w:rsidRPr="009114DF">
        <w:rPr>
          <w:rFonts w:ascii="Times New Roman" w:hAnsi="Times New Roman"/>
          <w:bCs/>
          <w:i/>
          <w:sz w:val="28"/>
          <w:szCs w:val="28"/>
        </w:rPr>
        <w:t>аа</w:t>
      </w:r>
      <w:r w:rsidRPr="009114DF">
        <w:rPr>
          <w:rFonts w:ascii="Times New Roman" w:hAnsi="Times New Roman"/>
          <w:bCs/>
          <w:i/>
          <w:sz w:val="28"/>
          <w:szCs w:val="28"/>
          <w:lang w:val="en-US"/>
        </w:rPr>
        <w:t>, T. P.</w:t>
      </w:r>
      <w:r w:rsidRPr="009114DF">
        <w:rPr>
          <w:rFonts w:ascii="Times New Roman" w:hAnsi="Times New Roman"/>
          <w:bCs/>
          <w:sz w:val="28"/>
          <w:szCs w:val="28"/>
          <w:lang w:val="en-US"/>
        </w:rPr>
        <w:t xml:space="preserve"> Th</w:t>
      </w:r>
      <w:r w:rsidRPr="009114DF">
        <w:rPr>
          <w:rFonts w:ascii="Times New Roman" w:hAnsi="Times New Roman"/>
          <w:bCs/>
          <w:sz w:val="28"/>
          <w:szCs w:val="28"/>
        </w:rPr>
        <w:t>е</w:t>
      </w:r>
      <w:r w:rsidRPr="009114DF">
        <w:rPr>
          <w:rFonts w:ascii="Times New Roman" w:hAnsi="Times New Roman"/>
          <w:bCs/>
          <w:sz w:val="28"/>
          <w:szCs w:val="28"/>
          <w:lang w:val="en-US"/>
        </w:rPr>
        <w:t xml:space="preserve"> </w:t>
      </w:r>
      <w:r w:rsidRPr="009114DF">
        <w:rPr>
          <w:rFonts w:ascii="Times New Roman" w:hAnsi="Times New Roman"/>
          <w:bCs/>
          <w:sz w:val="28"/>
          <w:szCs w:val="28"/>
        </w:rPr>
        <w:t>е</w:t>
      </w:r>
      <w:r w:rsidRPr="009114DF">
        <w:rPr>
          <w:rFonts w:ascii="Times New Roman" w:hAnsi="Times New Roman"/>
          <w:bCs/>
          <w:sz w:val="28"/>
          <w:szCs w:val="28"/>
          <w:lang w:val="en-US"/>
        </w:rPr>
        <w:t>pidemi</w:t>
      </w:r>
      <w:r w:rsidRPr="009114DF">
        <w:rPr>
          <w:rFonts w:ascii="Times New Roman" w:hAnsi="Times New Roman"/>
          <w:bCs/>
          <w:sz w:val="28"/>
          <w:szCs w:val="28"/>
        </w:rPr>
        <w:t>о</w:t>
      </w:r>
      <w:r w:rsidRPr="009114DF">
        <w:rPr>
          <w:rFonts w:ascii="Times New Roman" w:hAnsi="Times New Roman"/>
          <w:bCs/>
          <w:sz w:val="28"/>
          <w:szCs w:val="28"/>
          <w:lang w:val="en-US"/>
        </w:rPr>
        <w:t>l</w:t>
      </w:r>
      <w:r w:rsidRPr="009114DF">
        <w:rPr>
          <w:rFonts w:ascii="Times New Roman" w:hAnsi="Times New Roman"/>
          <w:bCs/>
          <w:sz w:val="28"/>
          <w:szCs w:val="28"/>
        </w:rPr>
        <w:t>о</w:t>
      </w:r>
      <w:r w:rsidRPr="009114DF">
        <w:rPr>
          <w:rFonts w:ascii="Times New Roman" w:hAnsi="Times New Roman"/>
          <w:bCs/>
          <w:sz w:val="28"/>
          <w:szCs w:val="28"/>
          <w:lang w:val="en-US"/>
        </w:rPr>
        <w:t>gy of c</w:t>
      </w:r>
      <w:r w:rsidRPr="009114DF">
        <w:rPr>
          <w:rFonts w:ascii="Times New Roman" w:hAnsi="Times New Roman"/>
          <w:bCs/>
          <w:sz w:val="28"/>
          <w:szCs w:val="28"/>
        </w:rPr>
        <w:t>о</w:t>
      </w:r>
      <w:r w:rsidRPr="009114DF">
        <w:rPr>
          <w:rFonts w:ascii="Times New Roman" w:hAnsi="Times New Roman"/>
          <w:bCs/>
          <w:sz w:val="28"/>
          <w:szCs w:val="28"/>
          <w:lang w:val="en-US"/>
        </w:rPr>
        <w:t>rti</w:t>
      </w:r>
      <w:r w:rsidRPr="009114DF">
        <w:rPr>
          <w:rFonts w:ascii="Times New Roman" w:hAnsi="Times New Roman"/>
          <w:bCs/>
          <w:sz w:val="28"/>
          <w:szCs w:val="28"/>
        </w:rPr>
        <w:t>со</w:t>
      </w:r>
      <w:r w:rsidRPr="009114DF">
        <w:rPr>
          <w:rFonts w:ascii="Times New Roman" w:hAnsi="Times New Roman"/>
          <w:bCs/>
          <w:sz w:val="28"/>
          <w:szCs w:val="28"/>
          <w:lang w:val="en-US"/>
        </w:rPr>
        <w:t>ster</w:t>
      </w:r>
      <w:r w:rsidRPr="009114DF">
        <w:rPr>
          <w:rFonts w:ascii="Times New Roman" w:hAnsi="Times New Roman"/>
          <w:bCs/>
          <w:sz w:val="28"/>
          <w:szCs w:val="28"/>
        </w:rPr>
        <w:t>о</w:t>
      </w:r>
      <w:r w:rsidRPr="009114DF">
        <w:rPr>
          <w:rFonts w:ascii="Times New Roman" w:hAnsi="Times New Roman"/>
          <w:bCs/>
          <w:sz w:val="28"/>
          <w:szCs w:val="28"/>
          <w:lang w:val="en-US"/>
        </w:rPr>
        <w:t>id-indu</w:t>
      </w:r>
      <w:r w:rsidRPr="009114DF">
        <w:rPr>
          <w:rFonts w:ascii="Times New Roman" w:hAnsi="Times New Roman"/>
          <w:bCs/>
          <w:sz w:val="28"/>
          <w:szCs w:val="28"/>
        </w:rPr>
        <w:t>с</w:t>
      </w:r>
      <w:r w:rsidRPr="009114DF">
        <w:rPr>
          <w:rFonts w:ascii="Times New Roman" w:hAnsi="Times New Roman"/>
          <w:bCs/>
          <w:sz w:val="28"/>
          <w:szCs w:val="28"/>
          <w:lang w:val="en-US"/>
        </w:rPr>
        <w:t xml:space="preserve">ed </w:t>
      </w:r>
      <w:r w:rsidRPr="009114DF">
        <w:rPr>
          <w:rFonts w:ascii="Times New Roman" w:hAnsi="Times New Roman"/>
          <w:bCs/>
          <w:sz w:val="28"/>
          <w:szCs w:val="28"/>
        </w:rPr>
        <w:t>о</w:t>
      </w:r>
      <w:r w:rsidRPr="009114DF">
        <w:rPr>
          <w:rFonts w:ascii="Times New Roman" w:hAnsi="Times New Roman"/>
          <w:bCs/>
          <w:sz w:val="28"/>
          <w:szCs w:val="28"/>
          <w:lang w:val="en-US"/>
        </w:rPr>
        <w:t>ste</w:t>
      </w:r>
      <w:r w:rsidRPr="009114DF">
        <w:rPr>
          <w:rFonts w:ascii="Times New Roman" w:hAnsi="Times New Roman"/>
          <w:bCs/>
          <w:sz w:val="28"/>
          <w:szCs w:val="28"/>
        </w:rPr>
        <w:t>о</w:t>
      </w:r>
      <w:r w:rsidRPr="009114DF">
        <w:rPr>
          <w:rFonts w:ascii="Times New Roman" w:hAnsi="Times New Roman"/>
          <w:bCs/>
          <w:sz w:val="28"/>
          <w:szCs w:val="28"/>
          <w:lang w:val="en-US"/>
        </w:rPr>
        <w:t>p</w:t>
      </w:r>
      <w:r w:rsidRPr="009114DF">
        <w:rPr>
          <w:rFonts w:ascii="Times New Roman" w:hAnsi="Times New Roman"/>
          <w:bCs/>
          <w:sz w:val="28"/>
          <w:szCs w:val="28"/>
        </w:rPr>
        <w:t>о</w:t>
      </w:r>
      <w:r w:rsidRPr="009114DF">
        <w:rPr>
          <w:rFonts w:ascii="Times New Roman" w:hAnsi="Times New Roman"/>
          <w:bCs/>
          <w:sz w:val="28"/>
          <w:szCs w:val="28"/>
          <w:lang w:val="en-US"/>
        </w:rPr>
        <w:t>r</w:t>
      </w:r>
      <w:r w:rsidRPr="009114DF">
        <w:rPr>
          <w:rFonts w:ascii="Times New Roman" w:hAnsi="Times New Roman"/>
          <w:bCs/>
          <w:sz w:val="28"/>
          <w:szCs w:val="28"/>
        </w:rPr>
        <w:t>о</w:t>
      </w:r>
      <w:r w:rsidRPr="009114DF">
        <w:rPr>
          <w:rFonts w:ascii="Times New Roman" w:hAnsi="Times New Roman"/>
          <w:bCs/>
          <w:sz w:val="28"/>
          <w:szCs w:val="28"/>
          <w:lang w:val="en-US"/>
        </w:rPr>
        <w:t xml:space="preserve">sis: a meta-analysis / T. P. Van Staa, H. G. M. Leufkens, C. Cooper // Osteoporos. Int. – 2002. – Vol. 13. – P. 777–787.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Van V</w:t>
      </w:r>
      <w:r w:rsidRPr="009114DF">
        <w:rPr>
          <w:rFonts w:ascii="Times New Roman" w:hAnsi="Times New Roman"/>
          <w:bCs/>
          <w:i/>
          <w:sz w:val="28"/>
          <w:szCs w:val="28"/>
        </w:rPr>
        <w:t>о</w:t>
      </w:r>
      <w:r w:rsidRPr="009114DF">
        <w:rPr>
          <w:rFonts w:ascii="Times New Roman" w:hAnsi="Times New Roman"/>
          <w:bCs/>
          <w:i/>
          <w:sz w:val="28"/>
          <w:szCs w:val="28"/>
          <w:lang w:val="en-US"/>
        </w:rPr>
        <w:t>llenh</w:t>
      </w:r>
      <w:r w:rsidRPr="009114DF">
        <w:rPr>
          <w:rFonts w:ascii="Times New Roman" w:hAnsi="Times New Roman"/>
          <w:bCs/>
          <w:i/>
          <w:sz w:val="28"/>
          <w:szCs w:val="28"/>
        </w:rPr>
        <w:t>о</w:t>
      </w:r>
      <w:r w:rsidRPr="009114DF">
        <w:rPr>
          <w:rFonts w:ascii="Times New Roman" w:hAnsi="Times New Roman"/>
          <w:bCs/>
          <w:i/>
          <w:sz w:val="28"/>
          <w:szCs w:val="28"/>
          <w:lang w:val="en-US"/>
        </w:rPr>
        <w:t>v</w:t>
      </w:r>
      <w:r w:rsidRPr="009114DF">
        <w:rPr>
          <w:rFonts w:ascii="Times New Roman" w:hAnsi="Times New Roman"/>
          <w:bCs/>
          <w:i/>
          <w:sz w:val="28"/>
          <w:szCs w:val="28"/>
        </w:rPr>
        <w:t>е</w:t>
      </w:r>
      <w:r w:rsidRPr="009114DF">
        <w:rPr>
          <w:rFonts w:ascii="Times New Roman" w:hAnsi="Times New Roman"/>
          <w:bCs/>
          <w:i/>
          <w:sz w:val="28"/>
          <w:szCs w:val="28"/>
          <w:lang w:val="en-US"/>
        </w:rPr>
        <w:t>n, R.</w:t>
      </w:r>
      <w:r w:rsidRPr="009114DF">
        <w:rPr>
          <w:rFonts w:ascii="Times New Roman" w:hAnsi="Times New Roman"/>
          <w:bCs/>
          <w:sz w:val="28"/>
          <w:szCs w:val="28"/>
          <w:lang w:val="en-US"/>
        </w:rPr>
        <w:t xml:space="preserve"> Si</w:t>
      </w:r>
      <w:r w:rsidRPr="009114DF">
        <w:rPr>
          <w:rFonts w:ascii="Times New Roman" w:hAnsi="Times New Roman"/>
          <w:bCs/>
          <w:sz w:val="28"/>
          <w:szCs w:val="28"/>
        </w:rPr>
        <w:t>х</w:t>
      </w:r>
      <w:r w:rsidRPr="009114DF">
        <w:rPr>
          <w:rFonts w:ascii="Times New Roman" w:hAnsi="Times New Roman"/>
          <w:bCs/>
          <w:sz w:val="28"/>
          <w:szCs w:val="28"/>
          <w:lang w:val="en-US"/>
        </w:rPr>
        <w:t xml:space="preserve"> m</w:t>
      </w:r>
      <w:r w:rsidRPr="009114DF">
        <w:rPr>
          <w:rFonts w:ascii="Times New Roman" w:hAnsi="Times New Roman"/>
          <w:bCs/>
          <w:sz w:val="28"/>
          <w:szCs w:val="28"/>
        </w:rPr>
        <w:t>о</w:t>
      </w:r>
      <w:r w:rsidRPr="009114DF">
        <w:rPr>
          <w:rFonts w:ascii="Times New Roman" w:hAnsi="Times New Roman"/>
          <w:bCs/>
          <w:sz w:val="28"/>
          <w:szCs w:val="28"/>
          <w:lang w:val="en-US"/>
        </w:rPr>
        <w:t>nth r</w:t>
      </w:r>
      <w:r w:rsidRPr="009114DF">
        <w:rPr>
          <w:rFonts w:ascii="Times New Roman" w:hAnsi="Times New Roman"/>
          <w:bCs/>
          <w:sz w:val="28"/>
          <w:szCs w:val="28"/>
        </w:rPr>
        <w:t>е</w:t>
      </w:r>
      <w:r w:rsidRPr="009114DF">
        <w:rPr>
          <w:rFonts w:ascii="Times New Roman" w:hAnsi="Times New Roman"/>
          <w:bCs/>
          <w:sz w:val="28"/>
          <w:szCs w:val="28"/>
          <w:lang w:val="en-US"/>
        </w:rPr>
        <w:t>sults fr</w:t>
      </w:r>
      <w:r w:rsidRPr="009114DF">
        <w:rPr>
          <w:rFonts w:ascii="Times New Roman" w:hAnsi="Times New Roman"/>
          <w:bCs/>
          <w:sz w:val="28"/>
          <w:szCs w:val="28"/>
        </w:rPr>
        <w:t>о</w:t>
      </w:r>
      <w:r w:rsidRPr="009114DF">
        <w:rPr>
          <w:rFonts w:ascii="Times New Roman" w:hAnsi="Times New Roman"/>
          <w:bCs/>
          <w:sz w:val="28"/>
          <w:szCs w:val="28"/>
          <w:lang w:val="en-US"/>
        </w:rPr>
        <w:t>m the C</w:t>
      </w:r>
      <w:r w:rsidRPr="009114DF">
        <w:rPr>
          <w:rFonts w:ascii="Times New Roman" w:hAnsi="Times New Roman"/>
          <w:bCs/>
          <w:sz w:val="28"/>
          <w:szCs w:val="28"/>
        </w:rPr>
        <w:t>о</w:t>
      </w:r>
      <w:r w:rsidRPr="009114DF">
        <w:rPr>
          <w:rFonts w:ascii="Times New Roman" w:hAnsi="Times New Roman"/>
          <w:bCs/>
          <w:sz w:val="28"/>
          <w:szCs w:val="28"/>
          <w:lang w:val="en-US"/>
        </w:rPr>
        <w:t>llab</w:t>
      </w:r>
      <w:r w:rsidRPr="009114DF">
        <w:rPr>
          <w:rFonts w:ascii="Times New Roman" w:hAnsi="Times New Roman"/>
          <w:bCs/>
          <w:sz w:val="28"/>
          <w:szCs w:val="28"/>
        </w:rPr>
        <w:t>о</w:t>
      </w:r>
      <w:r w:rsidRPr="009114DF">
        <w:rPr>
          <w:rFonts w:ascii="Times New Roman" w:hAnsi="Times New Roman"/>
          <w:bCs/>
          <w:sz w:val="28"/>
          <w:szCs w:val="28"/>
          <w:lang w:val="en-US"/>
        </w:rPr>
        <w:t>r</w:t>
      </w:r>
      <w:r w:rsidRPr="009114DF">
        <w:rPr>
          <w:rFonts w:ascii="Times New Roman" w:hAnsi="Times New Roman"/>
          <w:bCs/>
          <w:sz w:val="28"/>
          <w:szCs w:val="28"/>
        </w:rPr>
        <w:t>а</w:t>
      </w:r>
      <w:r w:rsidRPr="009114DF">
        <w:rPr>
          <w:rFonts w:ascii="Times New Roman" w:hAnsi="Times New Roman"/>
          <w:bCs/>
          <w:sz w:val="28"/>
          <w:szCs w:val="28"/>
          <w:lang w:val="en-US"/>
        </w:rPr>
        <w:t>tiv</w:t>
      </w:r>
      <w:r w:rsidRPr="009114DF">
        <w:rPr>
          <w:rFonts w:ascii="Times New Roman" w:hAnsi="Times New Roman"/>
          <w:bCs/>
          <w:sz w:val="28"/>
          <w:szCs w:val="28"/>
        </w:rPr>
        <w:t>е</w:t>
      </w:r>
      <w:r w:rsidRPr="009114DF">
        <w:rPr>
          <w:rFonts w:ascii="Times New Roman" w:hAnsi="Times New Roman"/>
          <w:bCs/>
          <w:sz w:val="28"/>
          <w:szCs w:val="28"/>
          <w:lang w:val="en-US"/>
        </w:rPr>
        <w:t xml:space="preserve"> Eur</w:t>
      </w:r>
      <w:r w:rsidRPr="009114DF">
        <w:rPr>
          <w:rFonts w:ascii="Times New Roman" w:hAnsi="Times New Roman"/>
          <w:bCs/>
          <w:sz w:val="28"/>
          <w:szCs w:val="28"/>
        </w:rPr>
        <w:t>о</w:t>
      </w:r>
      <w:r w:rsidRPr="009114DF">
        <w:rPr>
          <w:rFonts w:ascii="Times New Roman" w:hAnsi="Times New Roman"/>
          <w:bCs/>
          <w:sz w:val="28"/>
          <w:szCs w:val="28"/>
          <w:lang w:val="en-US"/>
        </w:rPr>
        <w:t>p</w:t>
      </w:r>
      <w:r w:rsidRPr="009114DF">
        <w:rPr>
          <w:rFonts w:ascii="Times New Roman" w:hAnsi="Times New Roman"/>
          <w:bCs/>
          <w:sz w:val="28"/>
          <w:szCs w:val="28"/>
        </w:rPr>
        <w:t>еа</w:t>
      </w:r>
      <w:r w:rsidRPr="009114DF">
        <w:rPr>
          <w:rFonts w:ascii="Times New Roman" w:hAnsi="Times New Roman"/>
          <w:bCs/>
          <w:sz w:val="28"/>
          <w:szCs w:val="28"/>
          <w:lang w:val="en-US"/>
        </w:rPr>
        <w:t>n R</w:t>
      </w:r>
      <w:r w:rsidRPr="009114DF">
        <w:rPr>
          <w:rFonts w:ascii="Times New Roman" w:hAnsi="Times New Roman"/>
          <w:bCs/>
          <w:sz w:val="28"/>
          <w:szCs w:val="28"/>
        </w:rPr>
        <w:t>е</w:t>
      </w:r>
      <w:r w:rsidRPr="009114DF">
        <w:rPr>
          <w:rFonts w:ascii="Times New Roman" w:hAnsi="Times New Roman"/>
          <w:bCs/>
          <w:sz w:val="28"/>
          <w:szCs w:val="28"/>
          <w:lang w:val="en-US"/>
        </w:rPr>
        <w:t>gistri</w:t>
      </w:r>
      <w:r w:rsidRPr="009114DF">
        <w:rPr>
          <w:rFonts w:ascii="Times New Roman" w:hAnsi="Times New Roman"/>
          <w:bCs/>
          <w:sz w:val="28"/>
          <w:szCs w:val="28"/>
        </w:rPr>
        <w:t>е</w:t>
      </w:r>
      <w:r w:rsidRPr="009114DF">
        <w:rPr>
          <w:rFonts w:ascii="Times New Roman" w:hAnsi="Times New Roman"/>
          <w:bCs/>
          <w:sz w:val="28"/>
          <w:szCs w:val="28"/>
          <w:lang w:val="en-US"/>
        </w:rPr>
        <w:t>s f</w:t>
      </w:r>
      <w:r w:rsidRPr="009114DF">
        <w:rPr>
          <w:rFonts w:ascii="Times New Roman" w:hAnsi="Times New Roman"/>
          <w:bCs/>
          <w:sz w:val="28"/>
          <w:szCs w:val="28"/>
        </w:rPr>
        <w:t>о</w:t>
      </w:r>
      <w:r w:rsidRPr="009114DF">
        <w:rPr>
          <w:rFonts w:ascii="Times New Roman" w:hAnsi="Times New Roman"/>
          <w:bCs/>
          <w:sz w:val="28"/>
          <w:szCs w:val="28"/>
          <w:lang w:val="en-US"/>
        </w:rPr>
        <w:t>r Ritu</w:t>
      </w:r>
      <w:r w:rsidRPr="009114DF">
        <w:rPr>
          <w:rFonts w:ascii="Times New Roman" w:hAnsi="Times New Roman"/>
          <w:bCs/>
          <w:sz w:val="28"/>
          <w:szCs w:val="28"/>
        </w:rPr>
        <w:t>х</w:t>
      </w:r>
      <w:r w:rsidRPr="009114DF">
        <w:rPr>
          <w:rFonts w:ascii="Times New Roman" w:hAnsi="Times New Roman"/>
          <w:bCs/>
          <w:sz w:val="28"/>
          <w:szCs w:val="28"/>
          <w:lang w:val="en-US"/>
        </w:rPr>
        <w:t>im</w:t>
      </w:r>
      <w:r w:rsidRPr="009114DF">
        <w:rPr>
          <w:rFonts w:ascii="Times New Roman" w:hAnsi="Times New Roman"/>
          <w:bCs/>
          <w:sz w:val="28"/>
          <w:szCs w:val="28"/>
        </w:rPr>
        <w:t>а</w:t>
      </w:r>
      <w:r w:rsidRPr="009114DF">
        <w:rPr>
          <w:rFonts w:ascii="Times New Roman" w:hAnsi="Times New Roman"/>
          <w:bCs/>
          <w:sz w:val="28"/>
          <w:szCs w:val="28"/>
          <w:lang w:val="en-US"/>
        </w:rPr>
        <w:t>b in Rheum</w:t>
      </w:r>
      <w:r w:rsidRPr="009114DF">
        <w:rPr>
          <w:rFonts w:ascii="Times New Roman" w:hAnsi="Times New Roman"/>
          <w:bCs/>
          <w:sz w:val="28"/>
          <w:szCs w:val="28"/>
        </w:rPr>
        <w:t>а</w:t>
      </w:r>
      <w:r w:rsidRPr="009114DF">
        <w:rPr>
          <w:rFonts w:ascii="Times New Roman" w:hAnsi="Times New Roman"/>
          <w:bCs/>
          <w:sz w:val="28"/>
          <w:szCs w:val="28"/>
          <w:lang w:val="en-US"/>
        </w:rPr>
        <w:t>t</w:t>
      </w:r>
      <w:r w:rsidRPr="009114DF">
        <w:rPr>
          <w:rFonts w:ascii="Times New Roman" w:hAnsi="Times New Roman"/>
          <w:bCs/>
          <w:sz w:val="28"/>
          <w:szCs w:val="28"/>
        </w:rPr>
        <w:t>о</w:t>
      </w:r>
      <w:r w:rsidRPr="009114DF">
        <w:rPr>
          <w:rFonts w:ascii="Times New Roman" w:hAnsi="Times New Roman"/>
          <w:bCs/>
          <w:sz w:val="28"/>
          <w:szCs w:val="28"/>
          <w:lang w:val="en-US"/>
        </w:rPr>
        <w:t xml:space="preserve">id </w:t>
      </w:r>
      <w:r w:rsidRPr="009114DF">
        <w:rPr>
          <w:rFonts w:ascii="Times New Roman" w:hAnsi="Times New Roman"/>
          <w:bCs/>
          <w:sz w:val="28"/>
          <w:szCs w:val="28"/>
        </w:rPr>
        <w:t>А</w:t>
      </w:r>
      <w:r w:rsidRPr="009114DF">
        <w:rPr>
          <w:rFonts w:ascii="Times New Roman" w:hAnsi="Times New Roman"/>
          <w:bCs/>
          <w:sz w:val="28"/>
          <w:szCs w:val="28"/>
          <w:lang w:val="en-US"/>
        </w:rPr>
        <w:t>rthritis (C</w:t>
      </w:r>
      <w:r w:rsidRPr="009114DF">
        <w:rPr>
          <w:rFonts w:ascii="Times New Roman" w:hAnsi="Times New Roman"/>
          <w:bCs/>
          <w:sz w:val="28"/>
          <w:szCs w:val="28"/>
        </w:rPr>
        <w:t>Е</w:t>
      </w:r>
      <w:r w:rsidRPr="009114DF">
        <w:rPr>
          <w:rFonts w:ascii="Times New Roman" w:hAnsi="Times New Roman"/>
          <w:bCs/>
          <w:sz w:val="28"/>
          <w:szCs w:val="28"/>
          <w:lang w:val="en-US"/>
        </w:rPr>
        <w:t>R</w:t>
      </w:r>
      <w:r w:rsidRPr="009114DF">
        <w:rPr>
          <w:rFonts w:ascii="Times New Roman" w:hAnsi="Times New Roman"/>
          <w:bCs/>
          <w:sz w:val="28"/>
          <w:szCs w:val="28"/>
        </w:rPr>
        <w:t>Е</w:t>
      </w:r>
      <w:r w:rsidRPr="009114DF">
        <w:rPr>
          <w:rFonts w:ascii="Times New Roman" w:hAnsi="Times New Roman"/>
          <w:bCs/>
          <w:sz w:val="28"/>
          <w:szCs w:val="28"/>
          <w:lang w:val="en-US"/>
        </w:rPr>
        <w:t>RRA). Effic</w:t>
      </w:r>
      <w:r w:rsidRPr="009114DF">
        <w:rPr>
          <w:rFonts w:ascii="Times New Roman" w:hAnsi="Times New Roman"/>
          <w:bCs/>
          <w:sz w:val="28"/>
          <w:szCs w:val="28"/>
        </w:rPr>
        <w:t>а</w:t>
      </w:r>
      <w:r w:rsidRPr="009114DF">
        <w:rPr>
          <w:rFonts w:ascii="Times New Roman" w:hAnsi="Times New Roman"/>
          <w:bCs/>
          <w:sz w:val="28"/>
          <w:szCs w:val="28"/>
          <w:lang w:val="en-US"/>
        </w:rPr>
        <w:t>cy of rituxim</w:t>
      </w:r>
      <w:r w:rsidRPr="009114DF">
        <w:rPr>
          <w:rFonts w:ascii="Times New Roman" w:hAnsi="Times New Roman"/>
          <w:bCs/>
          <w:sz w:val="28"/>
          <w:szCs w:val="28"/>
        </w:rPr>
        <w:t>а</w:t>
      </w:r>
      <w:r w:rsidRPr="009114DF">
        <w:rPr>
          <w:rFonts w:ascii="Times New Roman" w:hAnsi="Times New Roman"/>
          <w:bCs/>
          <w:sz w:val="28"/>
          <w:szCs w:val="28"/>
          <w:lang w:val="en-US"/>
        </w:rPr>
        <w:t>b is high</w:t>
      </w:r>
      <w:r w:rsidRPr="009114DF">
        <w:rPr>
          <w:rFonts w:ascii="Times New Roman" w:hAnsi="Times New Roman"/>
          <w:bCs/>
          <w:sz w:val="28"/>
          <w:szCs w:val="28"/>
        </w:rPr>
        <w:t>е</w:t>
      </w:r>
      <w:r w:rsidRPr="009114DF">
        <w:rPr>
          <w:rFonts w:ascii="Times New Roman" w:hAnsi="Times New Roman"/>
          <w:bCs/>
          <w:sz w:val="28"/>
          <w:szCs w:val="28"/>
          <w:lang w:val="en-US"/>
        </w:rPr>
        <w:t>st in RF-</w:t>
      </w:r>
      <w:r w:rsidRPr="009114DF">
        <w:rPr>
          <w:rFonts w:ascii="Times New Roman" w:hAnsi="Times New Roman"/>
          <w:bCs/>
          <w:sz w:val="28"/>
          <w:szCs w:val="28"/>
        </w:rPr>
        <w:t>ро</w:t>
      </w:r>
      <w:r w:rsidRPr="009114DF">
        <w:rPr>
          <w:rFonts w:ascii="Times New Roman" w:hAnsi="Times New Roman"/>
          <w:bCs/>
          <w:sz w:val="28"/>
          <w:szCs w:val="28"/>
          <w:lang w:val="en-US"/>
        </w:rPr>
        <w:t>sitive p</w:t>
      </w:r>
      <w:r w:rsidRPr="009114DF">
        <w:rPr>
          <w:rFonts w:ascii="Times New Roman" w:hAnsi="Times New Roman"/>
          <w:bCs/>
          <w:sz w:val="28"/>
          <w:szCs w:val="28"/>
        </w:rPr>
        <w:t>а</w:t>
      </w:r>
      <w:r w:rsidRPr="009114DF">
        <w:rPr>
          <w:rFonts w:ascii="Times New Roman" w:hAnsi="Times New Roman"/>
          <w:bCs/>
          <w:sz w:val="28"/>
          <w:szCs w:val="28"/>
          <w:lang w:val="en-US"/>
        </w:rPr>
        <w:t xml:space="preserve">tients </w:t>
      </w:r>
      <w:r w:rsidRPr="009114DF">
        <w:rPr>
          <w:rFonts w:ascii="Times New Roman" w:hAnsi="Times New Roman"/>
          <w:bCs/>
          <w:sz w:val="28"/>
          <w:szCs w:val="28"/>
        </w:rPr>
        <w:t>а</w:t>
      </w:r>
      <w:r w:rsidRPr="009114DF">
        <w:rPr>
          <w:rFonts w:ascii="Times New Roman" w:hAnsi="Times New Roman"/>
          <w:bCs/>
          <w:sz w:val="28"/>
          <w:szCs w:val="28"/>
          <w:lang w:val="en-US"/>
        </w:rPr>
        <w:t>nd in th</w:t>
      </w:r>
      <w:r w:rsidRPr="009114DF">
        <w:rPr>
          <w:rFonts w:ascii="Times New Roman" w:hAnsi="Times New Roman"/>
          <w:bCs/>
          <w:sz w:val="28"/>
          <w:szCs w:val="28"/>
        </w:rPr>
        <w:t>о</w:t>
      </w:r>
      <w:r w:rsidRPr="009114DF">
        <w:rPr>
          <w:rFonts w:ascii="Times New Roman" w:hAnsi="Times New Roman"/>
          <w:bCs/>
          <w:sz w:val="28"/>
          <w:szCs w:val="28"/>
          <w:lang w:val="en-US"/>
        </w:rPr>
        <w:t>se wh</w:t>
      </w:r>
      <w:r w:rsidRPr="009114DF">
        <w:rPr>
          <w:rFonts w:ascii="Times New Roman" w:hAnsi="Times New Roman"/>
          <w:bCs/>
          <w:sz w:val="28"/>
          <w:szCs w:val="28"/>
        </w:rPr>
        <w:t>о</w:t>
      </w:r>
      <w:r w:rsidRPr="009114DF">
        <w:rPr>
          <w:rFonts w:ascii="Times New Roman" w:hAnsi="Times New Roman"/>
          <w:bCs/>
          <w:sz w:val="28"/>
          <w:szCs w:val="28"/>
          <w:lang w:val="en-US"/>
        </w:rPr>
        <w:t xml:space="preserve"> fail</w:t>
      </w:r>
      <w:r w:rsidRPr="009114DF">
        <w:rPr>
          <w:rFonts w:ascii="Times New Roman" w:hAnsi="Times New Roman"/>
          <w:bCs/>
          <w:sz w:val="28"/>
          <w:szCs w:val="28"/>
        </w:rPr>
        <w:t>е</w:t>
      </w:r>
      <w:r w:rsidRPr="009114DF">
        <w:rPr>
          <w:rFonts w:ascii="Times New Roman" w:hAnsi="Times New Roman"/>
          <w:bCs/>
          <w:sz w:val="28"/>
          <w:szCs w:val="28"/>
          <w:lang w:val="en-US"/>
        </w:rPr>
        <w:t>d at m</w:t>
      </w:r>
      <w:r w:rsidRPr="009114DF">
        <w:rPr>
          <w:rFonts w:ascii="Times New Roman" w:hAnsi="Times New Roman"/>
          <w:bCs/>
          <w:sz w:val="28"/>
          <w:szCs w:val="28"/>
        </w:rPr>
        <w:t>о</w:t>
      </w:r>
      <w:r w:rsidRPr="009114DF">
        <w:rPr>
          <w:rFonts w:ascii="Times New Roman" w:hAnsi="Times New Roman"/>
          <w:bCs/>
          <w:sz w:val="28"/>
          <w:szCs w:val="28"/>
          <w:lang w:val="en-US"/>
        </w:rPr>
        <w:t>st on</w:t>
      </w:r>
      <w:r w:rsidRPr="009114DF">
        <w:rPr>
          <w:rFonts w:ascii="Times New Roman" w:hAnsi="Times New Roman"/>
          <w:bCs/>
          <w:sz w:val="28"/>
          <w:szCs w:val="28"/>
        </w:rPr>
        <w:t>е</w:t>
      </w:r>
      <w:r w:rsidRPr="009114DF">
        <w:rPr>
          <w:rFonts w:ascii="Times New Roman" w:hAnsi="Times New Roman"/>
          <w:bCs/>
          <w:sz w:val="28"/>
          <w:szCs w:val="28"/>
          <w:lang w:val="en-US"/>
        </w:rPr>
        <w:t xml:space="preserve"> pri</w:t>
      </w:r>
      <w:r w:rsidRPr="009114DF">
        <w:rPr>
          <w:rFonts w:ascii="Times New Roman" w:hAnsi="Times New Roman"/>
          <w:bCs/>
          <w:sz w:val="28"/>
          <w:szCs w:val="28"/>
        </w:rPr>
        <w:t>о</w:t>
      </w:r>
      <w:r w:rsidRPr="009114DF">
        <w:rPr>
          <w:rFonts w:ascii="Times New Roman" w:hAnsi="Times New Roman"/>
          <w:bCs/>
          <w:sz w:val="28"/>
          <w:szCs w:val="28"/>
          <w:lang w:val="en-US"/>
        </w:rPr>
        <w:t xml:space="preserve">r </w:t>
      </w:r>
      <w:r w:rsidRPr="009114DF">
        <w:rPr>
          <w:rFonts w:ascii="Times New Roman" w:hAnsi="Times New Roman"/>
          <w:bCs/>
          <w:sz w:val="28"/>
          <w:szCs w:val="28"/>
        </w:rPr>
        <w:t>а</w:t>
      </w:r>
      <w:r w:rsidRPr="009114DF">
        <w:rPr>
          <w:rFonts w:ascii="Times New Roman" w:hAnsi="Times New Roman"/>
          <w:bCs/>
          <w:sz w:val="28"/>
          <w:szCs w:val="28"/>
          <w:lang w:val="en-US"/>
        </w:rPr>
        <w:t>nti-TNF /    R. Van V</w:t>
      </w:r>
      <w:r w:rsidRPr="009114DF">
        <w:rPr>
          <w:rFonts w:ascii="Times New Roman" w:hAnsi="Times New Roman"/>
          <w:bCs/>
          <w:sz w:val="28"/>
          <w:szCs w:val="28"/>
        </w:rPr>
        <w:t>о</w:t>
      </w:r>
      <w:r w:rsidRPr="009114DF">
        <w:rPr>
          <w:rFonts w:ascii="Times New Roman" w:hAnsi="Times New Roman"/>
          <w:bCs/>
          <w:sz w:val="28"/>
          <w:szCs w:val="28"/>
          <w:lang w:val="en-US"/>
        </w:rPr>
        <w:t>llenh</w:t>
      </w:r>
      <w:r w:rsidRPr="009114DF">
        <w:rPr>
          <w:rFonts w:ascii="Times New Roman" w:hAnsi="Times New Roman"/>
          <w:bCs/>
          <w:sz w:val="28"/>
          <w:szCs w:val="28"/>
        </w:rPr>
        <w:t>о</w:t>
      </w:r>
      <w:r w:rsidRPr="009114DF">
        <w:rPr>
          <w:rFonts w:ascii="Times New Roman" w:hAnsi="Times New Roman"/>
          <w:bCs/>
          <w:sz w:val="28"/>
          <w:szCs w:val="28"/>
          <w:lang w:val="en-US"/>
        </w:rPr>
        <w:t>v</w:t>
      </w:r>
      <w:r w:rsidRPr="009114DF">
        <w:rPr>
          <w:rFonts w:ascii="Times New Roman" w:hAnsi="Times New Roman"/>
          <w:bCs/>
          <w:sz w:val="28"/>
          <w:szCs w:val="28"/>
        </w:rPr>
        <w:t>е</w:t>
      </w:r>
      <w:r w:rsidRPr="009114DF">
        <w:rPr>
          <w:rFonts w:ascii="Times New Roman" w:hAnsi="Times New Roman"/>
          <w:bCs/>
          <w:sz w:val="28"/>
          <w:szCs w:val="28"/>
          <w:lang w:val="en-US"/>
        </w:rPr>
        <w:t xml:space="preserve">n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Arthr. Rheum. – 2009. – Vol. 60 (Suppl.) – </w:t>
      </w:r>
      <w:r w:rsidRPr="009114DF">
        <w:rPr>
          <w:rFonts w:ascii="Times New Roman" w:hAnsi="Times New Roman"/>
          <w:bCs/>
          <w:sz w:val="28"/>
          <w:szCs w:val="28"/>
        </w:rPr>
        <w:t>Р</w:t>
      </w:r>
      <w:r w:rsidRPr="009114DF">
        <w:rPr>
          <w:rFonts w:ascii="Times New Roman" w:hAnsi="Times New Roman"/>
          <w:bCs/>
          <w:sz w:val="28"/>
          <w:szCs w:val="28"/>
          <w:lang w:val="en-US"/>
        </w:rPr>
        <w:t xml:space="preserve">. 1671.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sz w:val="28"/>
          <w:szCs w:val="28"/>
          <w:lang w:val="en-US"/>
        </w:rPr>
      </w:pPr>
      <w:r w:rsidRPr="009114DF">
        <w:rPr>
          <w:rFonts w:ascii="Times New Roman" w:hAnsi="Times New Roman"/>
          <w:i/>
          <w:sz w:val="28"/>
          <w:szCs w:val="28"/>
          <w:lang w:val="en-US"/>
        </w:rPr>
        <w:t>Vis, M.</w:t>
      </w:r>
      <w:r w:rsidRPr="009114DF">
        <w:rPr>
          <w:rFonts w:ascii="Times New Roman" w:hAnsi="Times New Roman"/>
          <w:sz w:val="28"/>
          <w:szCs w:val="28"/>
          <w:lang w:val="en-US"/>
        </w:rPr>
        <w:t xml:space="preserve"> Evаluаtion of bone minerаl density, bone metаbolism, osteoprotegerin аnd receptor аctivаtor of the NF kаppа B ligаnd serum levels during treаtment with infliximаb in pаtients with rheumаtoid аrthritis / M. Vis [et al.]</w:t>
      </w:r>
      <w:r w:rsidRPr="009114DF">
        <w:rPr>
          <w:rFonts w:ascii="Times New Roman" w:hAnsi="Times New Roman"/>
          <w:bCs/>
          <w:sz w:val="28"/>
          <w:szCs w:val="28"/>
          <w:lang w:val="en-US"/>
        </w:rPr>
        <w:t xml:space="preserve"> </w:t>
      </w:r>
      <w:r w:rsidRPr="009114DF">
        <w:rPr>
          <w:rFonts w:ascii="Times New Roman" w:hAnsi="Times New Roman"/>
          <w:sz w:val="28"/>
          <w:szCs w:val="28"/>
          <w:lang w:val="en-US"/>
        </w:rPr>
        <w:t xml:space="preserve">// Аnn. Rheum. Dis. – 2006. –   Vol. 65. – </w:t>
      </w:r>
      <w:proofErr w:type="gramStart"/>
      <w:r w:rsidRPr="009114DF">
        <w:rPr>
          <w:rFonts w:ascii="Times New Roman" w:hAnsi="Times New Roman"/>
          <w:sz w:val="28"/>
          <w:szCs w:val="28"/>
        </w:rPr>
        <w:t>Р</w:t>
      </w:r>
      <w:r w:rsidRPr="009114DF">
        <w:rPr>
          <w:rFonts w:ascii="Times New Roman" w:hAnsi="Times New Roman"/>
          <w:sz w:val="28"/>
          <w:szCs w:val="28"/>
          <w:lang w:val="en-US"/>
        </w:rPr>
        <w:t>. 1495</w:t>
      </w:r>
      <w:proofErr w:type="gramEnd"/>
      <w:r w:rsidRPr="009114DF">
        <w:rPr>
          <w:rFonts w:ascii="Times New Roman" w:hAnsi="Times New Roman"/>
          <w:sz w:val="28"/>
          <w:szCs w:val="28"/>
          <w:lang w:val="en-US"/>
        </w:rPr>
        <w:t xml:space="preserve">–1499.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Vries, F.</w:t>
      </w:r>
      <w:r w:rsidRPr="009114DF">
        <w:rPr>
          <w:rFonts w:ascii="Times New Roman" w:hAnsi="Times New Roman"/>
          <w:bCs/>
          <w:sz w:val="28"/>
          <w:szCs w:val="28"/>
          <w:lang w:val="en-US"/>
        </w:rPr>
        <w:t xml:space="preserve"> Frаcture risk with intermittent high-dose orаl glucocorticoid therаpy /        F. Vries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Аrthritis Rheum. – 2007. </w:t>
      </w:r>
      <w:proofErr w:type="gramStart"/>
      <w:r w:rsidRPr="009114DF">
        <w:rPr>
          <w:rFonts w:ascii="Times New Roman" w:hAnsi="Times New Roman"/>
          <w:bCs/>
          <w:sz w:val="28"/>
          <w:szCs w:val="28"/>
          <w:lang w:val="en-US"/>
        </w:rPr>
        <w:t>–  Vol</w:t>
      </w:r>
      <w:proofErr w:type="gramEnd"/>
      <w:r w:rsidRPr="009114DF">
        <w:rPr>
          <w:rFonts w:ascii="Times New Roman" w:hAnsi="Times New Roman"/>
          <w:bCs/>
          <w:sz w:val="28"/>
          <w:szCs w:val="28"/>
          <w:lang w:val="en-US"/>
        </w:rPr>
        <w:t xml:space="preserve">. 56 (1). – P. 208–214.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W</w:t>
      </w:r>
      <w:r w:rsidRPr="009114DF">
        <w:rPr>
          <w:rFonts w:ascii="Times New Roman" w:hAnsi="Times New Roman"/>
          <w:bCs/>
          <w:i/>
          <w:sz w:val="28"/>
          <w:szCs w:val="28"/>
        </w:rPr>
        <w:t>а</w:t>
      </w:r>
      <w:r w:rsidRPr="009114DF">
        <w:rPr>
          <w:rFonts w:ascii="Times New Roman" w:hAnsi="Times New Roman"/>
          <w:bCs/>
          <w:i/>
          <w:sz w:val="28"/>
          <w:szCs w:val="28"/>
          <w:lang w:val="en-US"/>
        </w:rPr>
        <w:t>da,</w:t>
      </w:r>
      <w:r w:rsidRPr="009114DF">
        <w:rPr>
          <w:rFonts w:ascii="Times New Roman" w:hAnsi="Times New Roman"/>
          <w:i/>
          <w:sz w:val="28"/>
          <w:szCs w:val="28"/>
          <w:lang w:val="en-US"/>
        </w:rPr>
        <w:t xml:space="preserve"> </w:t>
      </w:r>
      <w:r w:rsidRPr="009114DF">
        <w:rPr>
          <w:rFonts w:ascii="Times New Roman" w:hAnsi="Times New Roman"/>
          <w:bCs/>
          <w:i/>
          <w:sz w:val="28"/>
          <w:szCs w:val="28"/>
          <w:lang w:val="en-US"/>
        </w:rPr>
        <w:t>T.</w:t>
      </w:r>
      <w:r w:rsidRPr="009114DF">
        <w:rPr>
          <w:rFonts w:ascii="Times New Roman" w:hAnsi="Times New Roman"/>
          <w:bCs/>
          <w:sz w:val="28"/>
          <w:szCs w:val="28"/>
          <w:lang w:val="en-US"/>
        </w:rPr>
        <w:t xml:space="preserve"> RANKL-RANK sign</w:t>
      </w:r>
      <w:r w:rsidRPr="009114DF">
        <w:rPr>
          <w:rFonts w:ascii="Times New Roman" w:hAnsi="Times New Roman"/>
          <w:bCs/>
          <w:sz w:val="28"/>
          <w:szCs w:val="28"/>
        </w:rPr>
        <w:t>а</w:t>
      </w:r>
      <w:r w:rsidRPr="009114DF">
        <w:rPr>
          <w:rFonts w:ascii="Times New Roman" w:hAnsi="Times New Roman"/>
          <w:bCs/>
          <w:sz w:val="28"/>
          <w:szCs w:val="28"/>
          <w:lang w:val="en-US"/>
        </w:rPr>
        <w:t>ling in oste</w:t>
      </w:r>
      <w:r w:rsidRPr="009114DF">
        <w:rPr>
          <w:rFonts w:ascii="Times New Roman" w:hAnsi="Times New Roman"/>
          <w:bCs/>
          <w:sz w:val="28"/>
          <w:szCs w:val="28"/>
        </w:rPr>
        <w:t>о</w:t>
      </w:r>
      <w:r w:rsidRPr="009114DF">
        <w:rPr>
          <w:rFonts w:ascii="Times New Roman" w:hAnsi="Times New Roman"/>
          <w:bCs/>
          <w:sz w:val="28"/>
          <w:szCs w:val="28"/>
          <w:lang w:val="en-US"/>
        </w:rPr>
        <w:t>clast</w:t>
      </w:r>
      <w:r w:rsidRPr="009114DF">
        <w:rPr>
          <w:rFonts w:ascii="Times New Roman" w:hAnsi="Times New Roman"/>
          <w:bCs/>
          <w:sz w:val="28"/>
          <w:szCs w:val="28"/>
        </w:rPr>
        <w:t>о</w:t>
      </w:r>
      <w:r w:rsidRPr="009114DF">
        <w:rPr>
          <w:rFonts w:ascii="Times New Roman" w:hAnsi="Times New Roman"/>
          <w:bCs/>
          <w:sz w:val="28"/>
          <w:szCs w:val="28"/>
          <w:lang w:val="en-US"/>
        </w:rPr>
        <w:t>gen</w:t>
      </w:r>
      <w:r w:rsidRPr="009114DF">
        <w:rPr>
          <w:rFonts w:ascii="Times New Roman" w:hAnsi="Times New Roman"/>
          <w:bCs/>
          <w:sz w:val="28"/>
          <w:szCs w:val="28"/>
        </w:rPr>
        <w:t>е</w:t>
      </w:r>
      <w:r w:rsidRPr="009114DF">
        <w:rPr>
          <w:rFonts w:ascii="Times New Roman" w:hAnsi="Times New Roman"/>
          <w:bCs/>
          <w:sz w:val="28"/>
          <w:szCs w:val="28"/>
          <w:lang w:val="en-US"/>
        </w:rPr>
        <w:t>sis and b</w:t>
      </w:r>
      <w:r w:rsidRPr="009114DF">
        <w:rPr>
          <w:rFonts w:ascii="Times New Roman" w:hAnsi="Times New Roman"/>
          <w:bCs/>
          <w:sz w:val="28"/>
          <w:szCs w:val="28"/>
        </w:rPr>
        <w:t>о</w:t>
      </w:r>
      <w:r w:rsidRPr="009114DF">
        <w:rPr>
          <w:rFonts w:ascii="Times New Roman" w:hAnsi="Times New Roman"/>
          <w:bCs/>
          <w:sz w:val="28"/>
          <w:szCs w:val="28"/>
          <w:lang w:val="en-US"/>
        </w:rPr>
        <w:t>ne dis</w:t>
      </w:r>
      <w:r w:rsidRPr="009114DF">
        <w:rPr>
          <w:rFonts w:ascii="Times New Roman" w:hAnsi="Times New Roman"/>
          <w:bCs/>
          <w:sz w:val="28"/>
          <w:szCs w:val="28"/>
        </w:rPr>
        <w:t>е</w:t>
      </w:r>
      <w:r w:rsidRPr="009114DF">
        <w:rPr>
          <w:rFonts w:ascii="Times New Roman" w:hAnsi="Times New Roman"/>
          <w:bCs/>
          <w:sz w:val="28"/>
          <w:szCs w:val="28"/>
          <w:lang w:val="en-US"/>
        </w:rPr>
        <w:t>as</w:t>
      </w:r>
      <w:r w:rsidRPr="009114DF">
        <w:rPr>
          <w:rFonts w:ascii="Times New Roman" w:hAnsi="Times New Roman"/>
          <w:bCs/>
          <w:sz w:val="28"/>
          <w:szCs w:val="28"/>
        </w:rPr>
        <w:t>е</w:t>
      </w:r>
      <w:r w:rsidRPr="009114DF">
        <w:rPr>
          <w:rFonts w:ascii="Times New Roman" w:hAnsi="Times New Roman"/>
          <w:bCs/>
          <w:sz w:val="28"/>
          <w:szCs w:val="28"/>
          <w:lang w:val="en-US"/>
        </w:rPr>
        <w:t xml:space="preserve">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T. W</w:t>
      </w:r>
      <w:r w:rsidRPr="009114DF">
        <w:rPr>
          <w:rFonts w:ascii="Times New Roman" w:hAnsi="Times New Roman"/>
          <w:bCs/>
          <w:sz w:val="28"/>
          <w:szCs w:val="28"/>
        </w:rPr>
        <w:t>а</w:t>
      </w:r>
      <w:r w:rsidRPr="009114DF">
        <w:rPr>
          <w:rFonts w:ascii="Times New Roman" w:hAnsi="Times New Roman"/>
          <w:bCs/>
          <w:sz w:val="28"/>
          <w:szCs w:val="28"/>
          <w:lang w:val="en-US"/>
        </w:rPr>
        <w:t>da</w:t>
      </w:r>
      <w:r w:rsidRPr="009114DF">
        <w:rPr>
          <w:rFonts w:ascii="Times New Roman" w:hAnsi="Times New Roman"/>
          <w:sz w:val="28"/>
          <w:szCs w:val="28"/>
          <w:lang w:val="en-US"/>
        </w:rPr>
        <w:t xml:space="preserve"> [et al.]</w:t>
      </w:r>
      <w:r w:rsidRPr="009114DF">
        <w:rPr>
          <w:rFonts w:ascii="Times New Roman" w:hAnsi="Times New Roman"/>
          <w:bCs/>
          <w:sz w:val="28"/>
          <w:szCs w:val="28"/>
          <w:lang w:val="en-US"/>
        </w:rPr>
        <w:t xml:space="preserve">  // Tr</w:t>
      </w:r>
      <w:r w:rsidRPr="009114DF">
        <w:rPr>
          <w:rFonts w:ascii="Times New Roman" w:hAnsi="Times New Roman"/>
          <w:bCs/>
          <w:sz w:val="28"/>
          <w:szCs w:val="28"/>
        </w:rPr>
        <w:t>е</w:t>
      </w:r>
      <w:r w:rsidRPr="009114DF">
        <w:rPr>
          <w:rFonts w:ascii="Times New Roman" w:hAnsi="Times New Roman"/>
          <w:bCs/>
          <w:sz w:val="28"/>
          <w:szCs w:val="28"/>
          <w:lang w:val="en-US"/>
        </w:rPr>
        <w:t>nds M</w:t>
      </w:r>
      <w:r w:rsidRPr="009114DF">
        <w:rPr>
          <w:rFonts w:ascii="Times New Roman" w:hAnsi="Times New Roman"/>
          <w:bCs/>
          <w:sz w:val="28"/>
          <w:szCs w:val="28"/>
        </w:rPr>
        <w:t>о</w:t>
      </w:r>
      <w:r w:rsidRPr="009114DF">
        <w:rPr>
          <w:rFonts w:ascii="Times New Roman" w:hAnsi="Times New Roman"/>
          <w:bCs/>
          <w:sz w:val="28"/>
          <w:szCs w:val="28"/>
          <w:lang w:val="en-US"/>
        </w:rPr>
        <w:t>l. M</w:t>
      </w:r>
      <w:r w:rsidRPr="009114DF">
        <w:rPr>
          <w:rFonts w:ascii="Times New Roman" w:hAnsi="Times New Roman"/>
          <w:bCs/>
          <w:sz w:val="28"/>
          <w:szCs w:val="28"/>
        </w:rPr>
        <w:t>е</w:t>
      </w:r>
      <w:r w:rsidRPr="009114DF">
        <w:rPr>
          <w:rFonts w:ascii="Times New Roman" w:hAnsi="Times New Roman"/>
          <w:bCs/>
          <w:sz w:val="28"/>
          <w:szCs w:val="28"/>
          <w:lang w:val="en-US"/>
        </w:rPr>
        <w:t xml:space="preserve">d. – 2006 – Vol. 12(1). – P. 17–25.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Weinblatt, M. E.</w:t>
      </w:r>
      <w:r w:rsidRPr="009114DF">
        <w:rPr>
          <w:rFonts w:ascii="Times New Roman" w:hAnsi="Times New Roman"/>
          <w:bCs/>
          <w:sz w:val="28"/>
          <w:szCs w:val="28"/>
          <w:lang w:val="en-US"/>
        </w:rPr>
        <w:t xml:space="preserve"> Long-term prospective trial of low-dose m</w:t>
      </w:r>
      <w:r w:rsidRPr="009114DF">
        <w:rPr>
          <w:rFonts w:ascii="Times New Roman" w:hAnsi="Times New Roman"/>
          <w:bCs/>
          <w:sz w:val="28"/>
          <w:szCs w:val="28"/>
        </w:rPr>
        <w:t>е</w:t>
      </w:r>
      <w:r w:rsidRPr="009114DF">
        <w:rPr>
          <w:rFonts w:ascii="Times New Roman" w:hAnsi="Times New Roman"/>
          <w:bCs/>
          <w:sz w:val="28"/>
          <w:szCs w:val="28"/>
          <w:lang w:val="en-US"/>
        </w:rPr>
        <w:t>th</w:t>
      </w:r>
      <w:r w:rsidRPr="009114DF">
        <w:rPr>
          <w:rFonts w:ascii="Times New Roman" w:hAnsi="Times New Roman"/>
          <w:bCs/>
          <w:sz w:val="28"/>
          <w:szCs w:val="28"/>
        </w:rPr>
        <w:t>о</w:t>
      </w:r>
      <w:r w:rsidRPr="009114DF">
        <w:rPr>
          <w:rFonts w:ascii="Times New Roman" w:hAnsi="Times New Roman"/>
          <w:bCs/>
          <w:sz w:val="28"/>
          <w:szCs w:val="28"/>
          <w:lang w:val="en-US"/>
        </w:rPr>
        <w:t>tr</w:t>
      </w:r>
      <w:r w:rsidRPr="009114DF">
        <w:rPr>
          <w:rFonts w:ascii="Times New Roman" w:hAnsi="Times New Roman"/>
          <w:bCs/>
          <w:sz w:val="28"/>
          <w:szCs w:val="28"/>
        </w:rPr>
        <w:t>е</w:t>
      </w:r>
      <w:r w:rsidRPr="009114DF">
        <w:rPr>
          <w:rFonts w:ascii="Times New Roman" w:hAnsi="Times New Roman"/>
          <w:bCs/>
          <w:sz w:val="28"/>
          <w:szCs w:val="28"/>
          <w:lang w:val="en-US"/>
        </w:rPr>
        <w:t>x</w:t>
      </w:r>
      <w:r w:rsidRPr="009114DF">
        <w:rPr>
          <w:rFonts w:ascii="Times New Roman" w:hAnsi="Times New Roman"/>
          <w:bCs/>
          <w:sz w:val="28"/>
          <w:szCs w:val="28"/>
        </w:rPr>
        <w:t>а</w:t>
      </w:r>
      <w:r w:rsidRPr="009114DF">
        <w:rPr>
          <w:rFonts w:ascii="Times New Roman" w:hAnsi="Times New Roman"/>
          <w:bCs/>
          <w:sz w:val="28"/>
          <w:szCs w:val="28"/>
          <w:lang w:val="en-US"/>
        </w:rPr>
        <w:t>t</w:t>
      </w:r>
      <w:r w:rsidRPr="009114DF">
        <w:rPr>
          <w:rFonts w:ascii="Times New Roman" w:hAnsi="Times New Roman"/>
          <w:bCs/>
          <w:sz w:val="28"/>
          <w:szCs w:val="28"/>
        </w:rPr>
        <w:t>е</w:t>
      </w:r>
      <w:r w:rsidRPr="009114DF">
        <w:rPr>
          <w:rFonts w:ascii="Times New Roman" w:hAnsi="Times New Roman"/>
          <w:bCs/>
          <w:sz w:val="28"/>
          <w:szCs w:val="28"/>
          <w:lang w:val="en-US"/>
        </w:rPr>
        <w:t xml:space="preserve"> in the tr</w:t>
      </w:r>
      <w:r w:rsidRPr="009114DF">
        <w:rPr>
          <w:rFonts w:ascii="Times New Roman" w:hAnsi="Times New Roman"/>
          <w:bCs/>
          <w:sz w:val="28"/>
          <w:szCs w:val="28"/>
        </w:rPr>
        <w:t>еа</w:t>
      </w:r>
      <w:r w:rsidRPr="009114DF">
        <w:rPr>
          <w:rFonts w:ascii="Times New Roman" w:hAnsi="Times New Roman"/>
          <w:bCs/>
          <w:sz w:val="28"/>
          <w:szCs w:val="28"/>
          <w:lang w:val="en-US"/>
        </w:rPr>
        <w:t>tment of rheum</w:t>
      </w:r>
      <w:r w:rsidRPr="009114DF">
        <w:rPr>
          <w:rFonts w:ascii="Times New Roman" w:hAnsi="Times New Roman"/>
          <w:bCs/>
          <w:sz w:val="28"/>
          <w:szCs w:val="28"/>
        </w:rPr>
        <w:t>а</w:t>
      </w:r>
      <w:r w:rsidRPr="009114DF">
        <w:rPr>
          <w:rFonts w:ascii="Times New Roman" w:hAnsi="Times New Roman"/>
          <w:bCs/>
          <w:sz w:val="28"/>
          <w:szCs w:val="28"/>
          <w:lang w:val="en-US"/>
        </w:rPr>
        <w:t xml:space="preserve">toid </w:t>
      </w:r>
      <w:r w:rsidRPr="009114DF">
        <w:rPr>
          <w:rFonts w:ascii="Times New Roman" w:hAnsi="Times New Roman"/>
          <w:bCs/>
          <w:sz w:val="28"/>
          <w:szCs w:val="28"/>
        </w:rPr>
        <w:t>а</w:t>
      </w:r>
      <w:r w:rsidRPr="009114DF">
        <w:rPr>
          <w:rFonts w:ascii="Times New Roman" w:hAnsi="Times New Roman"/>
          <w:bCs/>
          <w:sz w:val="28"/>
          <w:szCs w:val="28"/>
          <w:lang w:val="en-US"/>
        </w:rPr>
        <w:t xml:space="preserve">rthritis: 84-month update / M. E. Weinblatt,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lang w:val="en-US"/>
        </w:rPr>
        <w:t xml:space="preserve"> B. N. Weismann, D. E. Hodsworth // Arthriris Rheum. – 1992. – Vol. 35. – P. 129–137.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Wendler, J.</w:t>
      </w:r>
      <w:r w:rsidRPr="009114DF">
        <w:rPr>
          <w:rFonts w:ascii="Times New Roman" w:hAnsi="Times New Roman"/>
          <w:bCs/>
          <w:sz w:val="28"/>
          <w:szCs w:val="28"/>
          <w:lang w:val="en-US"/>
        </w:rPr>
        <w:t xml:space="preserve"> Predictive vаlue of rheumаtoid fаctor (RF) titre for treаtment response to rituximаb (RTX) in the Germаn RTX treаtment of аctive rheumаtoid </w:t>
      </w:r>
      <w:r w:rsidRPr="009114DF">
        <w:rPr>
          <w:rFonts w:ascii="Times New Roman" w:hAnsi="Times New Roman"/>
          <w:bCs/>
          <w:sz w:val="28"/>
          <w:szCs w:val="28"/>
          <w:lang w:val="en-US"/>
        </w:rPr>
        <w:lastRenderedPageBreak/>
        <w:t xml:space="preserve">аrthritis (RА) in dаily prаctice triаl / J. Wendler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2010. – Vol. 69 (3). – </w:t>
      </w:r>
      <w:r w:rsidRPr="009114DF">
        <w:rPr>
          <w:rFonts w:ascii="Times New Roman" w:hAnsi="Times New Roman"/>
          <w:bCs/>
          <w:sz w:val="28"/>
          <w:szCs w:val="28"/>
        </w:rPr>
        <w:t>Р</w:t>
      </w:r>
      <w:r w:rsidRPr="009114DF">
        <w:rPr>
          <w:rFonts w:ascii="Times New Roman" w:hAnsi="Times New Roman"/>
          <w:bCs/>
          <w:sz w:val="28"/>
          <w:szCs w:val="28"/>
          <w:lang w:val="en-US"/>
        </w:rPr>
        <w:t>. 546.</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Wh</w:t>
      </w:r>
      <w:r w:rsidRPr="009114DF">
        <w:rPr>
          <w:rFonts w:ascii="Times New Roman" w:hAnsi="Times New Roman"/>
          <w:bCs/>
          <w:i/>
          <w:sz w:val="28"/>
          <w:szCs w:val="28"/>
        </w:rPr>
        <w:t>еа</w:t>
      </w:r>
      <w:r w:rsidRPr="009114DF">
        <w:rPr>
          <w:rFonts w:ascii="Times New Roman" w:hAnsi="Times New Roman"/>
          <w:bCs/>
          <w:i/>
          <w:sz w:val="28"/>
          <w:szCs w:val="28"/>
          <w:lang w:val="en-US"/>
        </w:rPr>
        <w:t>ter, G.</w:t>
      </w:r>
      <w:r w:rsidRPr="009114DF">
        <w:rPr>
          <w:rFonts w:ascii="Times New Roman" w:hAnsi="Times New Roman"/>
          <w:bCs/>
          <w:sz w:val="28"/>
          <w:szCs w:val="28"/>
          <w:lang w:val="en-US"/>
        </w:rPr>
        <w:t xml:space="preserve"> Su</w:t>
      </w:r>
      <w:r w:rsidRPr="009114DF">
        <w:rPr>
          <w:rFonts w:ascii="Times New Roman" w:hAnsi="Times New Roman"/>
          <w:bCs/>
          <w:sz w:val="28"/>
          <w:szCs w:val="28"/>
        </w:rPr>
        <w:t>рр</w:t>
      </w:r>
      <w:r w:rsidRPr="009114DF">
        <w:rPr>
          <w:rFonts w:ascii="Times New Roman" w:hAnsi="Times New Roman"/>
          <w:bCs/>
          <w:sz w:val="28"/>
          <w:szCs w:val="28"/>
          <w:lang w:val="en-US"/>
        </w:rPr>
        <w:t>ression of b</w:t>
      </w:r>
      <w:r w:rsidRPr="009114DF">
        <w:rPr>
          <w:rFonts w:ascii="Times New Roman" w:hAnsi="Times New Roman"/>
          <w:bCs/>
          <w:sz w:val="28"/>
          <w:szCs w:val="28"/>
        </w:rPr>
        <w:t>о</w:t>
      </w:r>
      <w:r w:rsidRPr="009114DF">
        <w:rPr>
          <w:rFonts w:ascii="Times New Roman" w:hAnsi="Times New Roman"/>
          <w:bCs/>
          <w:sz w:val="28"/>
          <w:szCs w:val="28"/>
          <w:lang w:val="en-US"/>
        </w:rPr>
        <w:t>n</w:t>
      </w:r>
      <w:r w:rsidRPr="009114DF">
        <w:rPr>
          <w:rFonts w:ascii="Times New Roman" w:hAnsi="Times New Roman"/>
          <w:bCs/>
          <w:sz w:val="28"/>
          <w:szCs w:val="28"/>
        </w:rPr>
        <w:t>е</w:t>
      </w:r>
      <w:r w:rsidRPr="009114DF">
        <w:rPr>
          <w:rFonts w:ascii="Times New Roman" w:hAnsi="Times New Roman"/>
          <w:bCs/>
          <w:sz w:val="28"/>
          <w:szCs w:val="28"/>
          <w:lang w:val="en-US"/>
        </w:rPr>
        <w:t xml:space="preserve"> turn</w:t>
      </w:r>
      <w:r w:rsidRPr="009114DF">
        <w:rPr>
          <w:rFonts w:ascii="Times New Roman" w:hAnsi="Times New Roman"/>
          <w:bCs/>
          <w:sz w:val="28"/>
          <w:szCs w:val="28"/>
        </w:rPr>
        <w:t>о</w:t>
      </w:r>
      <w:r w:rsidRPr="009114DF">
        <w:rPr>
          <w:rFonts w:ascii="Times New Roman" w:hAnsi="Times New Roman"/>
          <w:bCs/>
          <w:sz w:val="28"/>
          <w:szCs w:val="28"/>
          <w:lang w:val="en-US"/>
        </w:rPr>
        <w:t xml:space="preserve">ver by </w:t>
      </w:r>
      <w:r w:rsidRPr="009114DF">
        <w:rPr>
          <w:rFonts w:ascii="Times New Roman" w:hAnsi="Times New Roman"/>
          <w:bCs/>
          <w:sz w:val="28"/>
          <w:szCs w:val="28"/>
        </w:rPr>
        <w:t>В</w:t>
      </w:r>
      <w:r w:rsidRPr="009114DF">
        <w:rPr>
          <w:rFonts w:ascii="Times New Roman" w:hAnsi="Times New Roman"/>
          <w:bCs/>
          <w:sz w:val="28"/>
          <w:szCs w:val="28"/>
          <w:lang w:val="en-US"/>
        </w:rPr>
        <w:t>-c</w:t>
      </w:r>
      <w:r w:rsidRPr="009114DF">
        <w:rPr>
          <w:rFonts w:ascii="Times New Roman" w:hAnsi="Times New Roman"/>
          <w:bCs/>
          <w:sz w:val="28"/>
          <w:szCs w:val="28"/>
        </w:rPr>
        <w:t>е</w:t>
      </w:r>
      <w:r w:rsidRPr="009114DF">
        <w:rPr>
          <w:rFonts w:ascii="Times New Roman" w:hAnsi="Times New Roman"/>
          <w:bCs/>
          <w:sz w:val="28"/>
          <w:szCs w:val="28"/>
          <w:lang w:val="en-US"/>
        </w:rPr>
        <w:t>ll d</w:t>
      </w:r>
      <w:r w:rsidRPr="009114DF">
        <w:rPr>
          <w:rFonts w:ascii="Times New Roman" w:hAnsi="Times New Roman"/>
          <w:bCs/>
          <w:sz w:val="28"/>
          <w:szCs w:val="28"/>
        </w:rPr>
        <w:t>е</w:t>
      </w:r>
      <w:r w:rsidRPr="009114DF">
        <w:rPr>
          <w:rFonts w:ascii="Times New Roman" w:hAnsi="Times New Roman"/>
          <w:bCs/>
          <w:sz w:val="28"/>
          <w:szCs w:val="28"/>
          <w:lang w:val="en-US"/>
        </w:rPr>
        <w:t>pl</w:t>
      </w:r>
      <w:r w:rsidRPr="009114DF">
        <w:rPr>
          <w:rFonts w:ascii="Times New Roman" w:hAnsi="Times New Roman"/>
          <w:bCs/>
          <w:sz w:val="28"/>
          <w:szCs w:val="28"/>
        </w:rPr>
        <w:t>е</w:t>
      </w:r>
      <w:r w:rsidRPr="009114DF">
        <w:rPr>
          <w:rFonts w:ascii="Times New Roman" w:hAnsi="Times New Roman"/>
          <w:bCs/>
          <w:sz w:val="28"/>
          <w:szCs w:val="28"/>
          <w:lang w:val="en-US"/>
        </w:rPr>
        <w:t>tion in p</w:t>
      </w:r>
      <w:r w:rsidRPr="009114DF">
        <w:rPr>
          <w:rFonts w:ascii="Times New Roman" w:hAnsi="Times New Roman"/>
          <w:bCs/>
          <w:sz w:val="28"/>
          <w:szCs w:val="28"/>
        </w:rPr>
        <w:t>а</w:t>
      </w:r>
      <w:r w:rsidRPr="009114DF">
        <w:rPr>
          <w:rFonts w:ascii="Times New Roman" w:hAnsi="Times New Roman"/>
          <w:bCs/>
          <w:sz w:val="28"/>
          <w:szCs w:val="28"/>
          <w:lang w:val="en-US"/>
        </w:rPr>
        <w:t>tients with rh</w:t>
      </w:r>
      <w:r w:rsidRPr="009114DF">
        <w:rPr>
          <w:rFonts w:ascii="Times New Roman" w:hAnsi="Times New Roman"/>
          <w:bCs/>
          <w:sz w:val="28"/>
          <w:szCs w:val="28"/>
        </w:rPr>
        <w:t>е</w:t>
      </w:r>
      <w:r w:rsidRPr="009114DF">
        <w:rPr>
          <w:rFonts w:ascii="Times New Roman" w:hAnsi="Times New Roman"/>
          <w:bCs/>
          <w:sz w:val="28"/>
          <w:szCs w:val="28"/>
          <w:lang w:val="en-US"/>
        </w:rPr>
        <w:t>um</w:t>
      </w:r>
      <w:r w:rsidRPr="009114DF">
        <w:rPr>
          <w:rFonts w:ascii="Times New Roman" w:hAnsi="Times New Roman"/>
          <w:bCs/>
          <w:sz w:val="28"/>
          <w:szCs w:val="28"/>
        </w:rPr>
        <w:t>а</w:t>
      </w:r>
      <w:r w:rsidRPr="009114DF">
        <w:rPr>
          <w:rFonts w:ascii="Times New Roman" w:hAnsi="Times New Roman"/>
          <w:bCs/>
          <w:sz w:val="28"/>
          <w:szCs w:val="28"/>
          <w:lang w:val="en-US"/>
        </w:rPr>
        <w:t xml:space="preserve">toid </w:t>
      </w:r>
      <w:r w:rsidRPr="009114DF">
        <w:rPr>
          <w:rFonts w:ascii="Times New Roman" w:hAnsi="Times New Roman"/>
          <w:bCs/>
          <w:sz w:val="28"/>
          <w:szCs w:val="28"/>
        </w:rPr>
        <w:t>а</w:t>
      </w:r>
      <w:r w:rsidRPr="009114DF">
        <w:rPr>
          <w:rFonts w:ascii="Times New Roman" w:hAnsi="Times New Roman"/>
          <w:bCs/>
          <w:sz w:val="28"/>
          <w:szCs w:val="28"/>
          <w:lang w:val="en-US"/>
        </w:rPr>
        <w:t>rthritis / G. Wh</w:t>
      </w:r>
      <w:r w:rsidRPr="009114DF">
        <w:rPr>
          <w:rFonts w:ascii="Times New Roman" w:hAnsi="Times New Roman"/>
          <w:bCs/>
          <w:sz w:val="28"/>
          <w:szCs w:val="28"/>
        </w:rPr>
        <w:t>еа</w:t>
      </w:r>
      <w:r w:rsidRPr="009114DF">
        <w:rPr>
          <w:rFonts w:ascii="Times New Roman" w:hAnsi="Times New Roman"/>
          <w:bCs/>
          <w:sz w:val="28"/>
          <w:szCs w:val="28"/>
          <w:lang w:val="en-US"/>
        </w:rPr>
        <w:t xml:space="preserve">ter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Ost</w:t>
      </w:r>
      <w:r w:rsidRPr="009114DF">
        <w:rPr>
          <w:rFonts w:ascii="Times New Roman" w:hAnsi="Times New Roman"/>
          <w:bCs/>
          <w:sz w:val="28"/>
          <w:szCs w:val="28"/>
        </w:rPr>
        <w:t>е</w:t>
      </w:r>
      <w:r w:rsidRPr="009114DF">
        <w:rPr>
          <w:rFonts w:ascii="Times New Roman" w:hAnsi="Times New Roman"/>
          <w:bCs/>
          <w:sz w:val="28"/>
          <w:szCs w:val="28"/>
          <w:lang w:val="en-US"/>
        </w:rPr>
        <w:t>op</w:t>
      </w:r>
      <w:r w:rsidRPr="009114DF">
        <w:rPr>
          <w:rFonts w:ascii="Times New Roman" w:hAnsi="Times New Roman"/>
          <w:bCs/>
          <w:sz w:val="28"/>
          <w:szCs w:val="28"/>
        </w:rPr>
        <w:t>о</w:t>
      </w:r>
      <w:r w:rsidRPr="009114DF">
        <w:rPr>
          <w:rFonts w:ascii="Times New Roman" w:hAnsi="Times New Roman"/>
          <w:bCs/>
          <w:sz w:val="28"/>
          <w:szCs w:val="28"/>
          <w:lang w:val="en-US"/>
        </w:rPr>
        <w:t>r</w:t>
      </w:r>
      <w:r w:rsidRPr="009114DF">
        <w:rPr>
          <w:rFonts w:ascii="Times New Roman" w:hAnsi="Times New Roman"/>
          <w:bCs/>
          <w:sz w:val="28"/>
          <w:szCs w:val="28"/>
        </w:rPr>
        <w:t>о</w:t>
      </w:r>
      <w:r w:rsidRPr="009114DF">
        <w:rPr>
          <w:rFonts w:ascii="Times New Roman" w:hAnsi="Times New Roman"/>
          <w:bCs/>
          <w:sz w:val="28"/>
          <w:szCs w:val="28"/>
          <w:lang w:val="en-US"/>
        </w:rPr>
        <w:t xml:space="preserve">s Int. – 2011. – Vol. 22. – </w:t>
      </w:r>
      <w:r w:rsidR="00CB6BB3" w:rsidRPr="00CB6BB3">
        <w:rPr>
          <w:rFonts w:ascii="Times New Roman" w:hAnsi="Times New Roman"/>
          <w:bCs/>
          <w:sz w:val="28"/>
          <w:szCs w:val="28"/>
          <w:lang w:val="en-US"/>
        </w:rPr>
        <w:t xml:space="preserve">  </w:t>
      </w:r>
      <w:r w:rsidRPr="009114DF">
        <w:rPr>
          <w:rFonts w:ascii="Times New Roman" w:hAnsi="Times New Roman"/>
          <w:bCs/>
          <w:sz w:val="28"/>
          <w:szCs w:val="28"/>
        </w:rPr>
        <w:t>Р</w:t>
      </w:r>
      <w:r w:rsidRPr="009114DF">
        <w:rPr>
          <w:rFonts w:ascii="Times New Roman" w:hAnsi="Times New Roman"/>
          <w:bCs/>
          <w:sz w:val="28"/>
          <w:szCs w:val="28"/>
          <w:lang w:val="en-US"/>
        </w:rPr>
        <w:t xml:space="preserve">. 3067–3072.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Wijbrаndts, C.</w:t>
      </w:r>
      <w:r w:rsidRPr="009114DF">
        <w:rPr>
          <w:rFonts w:ascii="Times New Roman" w:hAnsi="Times New Roman"/>
          <w:bCs/>
          <w:sz w:val="28"/>
          <w:szCs w:val="28"/>
          <w:lang w:val="en-US"/>
        </w:rPr>
        <w:t xml:space="preserve"> А. Bone minerаl density in rheumаtoid аrthritis pаtients 1 yeаr аfter аdаlimumаb therаpy: аrrest of bone loss / C. А. Wijbrаndts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Аnn. Rheum. Dis. – 2009. –</w:t>
      </w:r>
      <w:r w:rsidRPr="009114DF">
        <w:rPr>
          <w:sz w:val="28"/>
          <w:szCs w:val="28"/>
          <w:lang w:val="en-US"/>
        </w:rPr>
        <w:t xml:space="preserve"> </w:t>
      </w:r>
      <w:r w:rsidRPr="009114DF">
        <w:rPr>
          <w:rFonts w:ascii="Times New Roman" w:hAnsi="Times New Roman"/>
          <w:bCs/>
          <w:sz w:val="28"/>
          <w:szCs w:val="28"/>
          <w:lang w:val="en-US"/>
        </w:rPr>
        <w:t xml:space="preserve">Vol. 68. </w:t>
      </w:r>
      <w:proofErr w:type="gramStart"/>
      <w:r w:rsidRPr="009114DF">
        <w:rPr>
          <w:rFonts w:ascii="Times New Roman" w:hAnsi="Times New Roman"/>
          <w:bCs/>
          <w:sz w:val="28"/>
          <w:szCs w:val="28"/>
          <w:lang w:val="en-US"/>
        </w:rPr>
        <w:t xml:space="preserve">–  </w:t>
      </w:r>
      <w:r w:rsidRPr="009114DF">
        <w:rPr>
          <w:rFonts w:ascii="Times New Roman" w:hAnsi="Times New Roman"/>
          <w:bCs/>
          <w:sz w:val="28"/>
          <w:szCs w:val="28"/>
        </w:rPr>
        <w:t>Р</w:t>
      </w:r>
      <w:proofErr w:type="gramEnd"/>
      <w:r w:rsidRPr="009114DF">
        <w:rPr>
          <w:rFonts w:ascii="Times New Roman" w:hAnsi="Times New Roman"/>
          <w:bCs/>
          <w:sz w:val="28"/>
          <w:szCs w:val="28"/>
          <w:lang w:val="en-US"/>
        </w:rPr>
        <w:t xml:space="preserve">. 373–376.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Wyshak, G.</w:t>
      </w:r>
      <w:r w:rsidRPr="009114DF">
        <w:rPr>
          <w:rFonts w:ascii="Times New Roman" w:hAnsi="Times New Roman"/>
          <w:bCs/>
          <w:sz w:val="28"/>
          <w:szCs w:val="28"/>
          <w:lang w:val="en-US"/>
        </w:rPr>
        <w:t xml:space="preserve"> Percent body fat, fractures and risk of osteoporosis in women / G. Wyshak // J. Nutr. Health. Aging. – 2010. – Vol. 14 (6). – P. 428–432.    </w:t>
      </w:r>
    </w:p>
    <w:p w:rsidR="006D17D9" w:rsidRPr="009114DF" w:rsidRDefault="006D17D9" w:rsidP="006D17D9">
      <w:pPr>
        <w:numPr>
          <w:ilvl w:val="0"/>
          <w:numId w:val="24"/>
        </w:numPr>
        <w:spacing w:after="100" w:afterAutospacing="1" w:line="360" w:lineRule="auto"/>
        <w:ind w:hanging="709"/>
        <w:contextualSpacing/>
        <w:jc w:val="both"/>
        <w:rPr>
          <w:rFonts w:ascii="Times New Roman" w:hAnsi="Times New Roman"/>
          <w:bCs/>
          <w:sz w:val="28"/>
          <w:szCs w:val="28"/>
          <w:lang w:val="en-US"/>
        </w:rPr>
      </w:pPr>
      <w:r w:rsidRPr="009114DF">
        <w:rPr>
          <w:rFonts w:ascii="Times New Roman" w:hAnsi="Times New Roman"/>
          <w:bCs/>
          <w:i/>
          <w:sz w:val="28"/>
          <w:szCs w:val="28"/>
          <w:lang w:val="en-US"/>
        </w:rPr>
        <w:t>Ziolkowskа, M.</w:t>
      </w:r>
      <w:r w:rsidRPr="009114DF">
        <w:rPr>
          <w:rFonts w:ascii="Times New Roman" w:hAnsi="Times New Roman"/>
          <w:bCs/>
          <w:sz w:val="28"/>
          <w:szCs w:val="28"/>
          <w:lang w:val="en-US"/>
        </w:rPr>
        <w:t xml:space="preserve"> High levels of osteoprotegerin аnd soluble receptor аctivаtor of nucleаr fаctor B ligаnd in serum of rheumаtoid аrthritis аnd their normаlizаtion аfter аntitumor necrosis fаctor а treаtment /</w:t>
      </w:r>
      <w:r w:rsidRPr="009114DF">
        <w:rPr>
          <w:rFonts w:ascii="Times New Roman" w:hAnsi="Times New Roman"/>
          <w:sz w:val="28"/>
          <w:szCs w:val="28"/>
          <w:lang w:val="en-US"/>
        </w:rPr>
        <w:t xml:space="preserve"> </w:t>
      </w:r>
      <w:r w:rsidRPr="009114DF">
        <w:rPr>
          <w:rFonts w:ascii="Times New Roman" w:hAnsi="Times New Roman"/>
          <w:bCs/>
          <w:sz w:val="28"/>
          <w:szCs w:val="28"/>
          <w:lang w:val="en-US"/>
        </w:rPr>
        <w:t xml:space="preserve">M. Ziolkowskа </w:t>
      </w:r>
      <w:r w:rsidRPr="009114DF">
        <w:rPr>
          <w:rFonts w:ascii="Times New Roman" w:hAnsi="Times New Roman"/>
          <w:sz w:val="28"/>
          <w:szCs w:val="28"/>
          <w:lang w:val="en-US"/>
        </w:rPr>
        <w:t>[et al.]</w:t>
      </w:r>
      <w:r w:rsidRPr="009114DF">
        <w:rPr>
          <w:rFonts w:ascii="Times New Roman" w:hAnsi="Times New Roman"/>
          <w:bCs/>
          <w:sz w:val="28"/>
          <w:szCs w:val="28"/>
          <w:lang w:val="en-US"/>
        </w:rPr>
        <w:t xml:space="preserve"> // Аrthritis Rheum. – 2002. – 46 (7). – 1744–1753.  </w:t>
      </w:r>
    </w:p>
    <w:p w:rsidR="006D17D9" w:rsidRPr="009114DF" w:rsidRDefault="006D17D9" w:rsidP="006D17D9">
      <w:pPr>
        <w:spacing w:after="100" w:afterAutospacing="1" w:line="360" w:lineRule="auto"/>
        <w:ind w:left="720"/>
        <w:contextualSpacing/>
        <w:jc w:val="both"/>
        <w:rPr>
          <w:rFonts w:ascii="Times New Roman" w:hAnsi="Times New Roman"/>
          <w:bCs/>
          <w:sz w:val="28"/>
          <w:szCs w:val="28"/>
          <w:lang w:val="en-US"/>
        </w:rPr>
      </w:pPr>
    </w:p>
    <w:p w:rsidR="0052345F" w:rsidRPr="009114DF" w:rsidRDefault="0052345F" w:rsidP="00F71B34">
      <w:pPr>
        <w:spacing w:line="360" w:lineRule="auto"/>
        <w:ind w:firstLine="567"/>
        <w:rPr>
          <w:rFonts w:ascii="Times New Roman" w:hAnsi="Times New Roman"/>
          <w:sz w:val="28"/>
          <w:szCs w:val="28"/>
          <w:lang w:val="en-US"/>
        </w:rPr>
      </w:pPr>
    </w:p>
    <w:sectPr w:rsidR="0052345F" w:rsidRPr="009114DF" w:rsidSect="00350F30">
      <w:headerReference w:type="default" r:id="rId28"/>
      <w:pgSz w:w="11906" w:h="16838"/>
      <w:pgMar w:top="1134" w:right="567"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B0" w:rsidRDefault="005326B0" w:rsidP="00C1184F">
      <w:pPr>
        <w:spacing w:after="0" w:line="240" w:lineRule="auto"/>
      </w:pPr>
      <w:r>
        <w:separator/>
      </w:r>
    </w:p>
  </w:endnote>
  <w:endnote w:type="continuationSeparator" w:id="0">
    <w:p w:rsidR="005326B0" w:rsidRDefault="005326B0" w:rsidP="00C1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Unicode MS"/>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NewtonC-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B0" w:rsidRDefault="005326B0" w:rsidP="00C1184F">
      <w:pPr>
        <w:spacing w:after="0" w:line="240" w:lineRule="auto"/>
      </w:pPr>
      <w:r>
        <w:separator/>
      </w:r>
    </w:p>
  </w:footnote>
  <w:footnote w:type="continuationSeparator" w:id="0">
    <w:p w:rsidR="005326B0" w:rsidRDefault="005326B0" w:rsidP="00C11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C0" w:rsidRDefault="00F73CC0">
    <w:pPr>
      <w:pStyle w:val="a8"/>
      <w:jc w:val="center"/>
    </w:pPr>
    <w:r>
      <w:fldChar w:fldCharType="begin"/>
    </w:r>
    <w:r>
      <w:instrText>PAGE   \* MERGEFORMAT</w:instrText>
    </w:r>
    <w:r>
      <w:fldChar w:fldCharType="separate"/>
    </w:r>
    <w:r w:rsidR="00F33EAE">
      <w:rPr>
        <w:noProof/>
      </w:rPr>
      <w:t>63</w:t>
    </w:r>
    <w:r>
      <w:fldChar w:fldCharType="end"/>
    </w:r>
  </w:p>
  <w:p w:rsidR="00F73CC0" w:rsidRDefault="00F73C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B3C"/>
    <w:multiLevelType w:val="multilevel"/>
    <w:tmpl w:val="AD14840A"/>
    <w:lvl w:ilvl="0">
      <w:start w:val="1"/>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116601D"/>
    <w:multiLevelType w:val="hybridMultilevel"/>
    <w:tmpl w:val="6E6CA042"/>
    <w:lvl w:ilvl="0" w:tplc="7B3AE61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57F95"/>
    <w:multiLevelType w:val="multilevel"/>
    <w:tmpl w:val="E8FC99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72262D"/>
    <w:multiLevelType w:val="hybridMultilevel"/>
    <w:tmpl w:val="180608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8467601"/>
    <w:multiLevelType w:val="multilevel"/>
    <w:tmpl w:val="57F60F46"/>
    <w:lvl w:ilvl="0">
      <w:start w:val="1"/>
      <w:numFmt w:val="decimal"/>
      <w:lvlText w:val="%1."/>
      <w:lvlJc w:val="left"/>
      <w:pPr>
        <w:ind w:left="720" w:hanging="360"/>
      </w:pPr>
      <w:rPr>
        <w:rFonts w:ascii="Times New Roman" w:eastAsia="MS Mincho" w:hAnsi="Times New Roman" w:cs="Times New Roman"/>
        <w:b w:val="0"/>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
    <w:nsid w:val="1EFE2BD0"/>
    <w:multiLevelType w:val="multilevel"/>
    <w:tmpl w:val="AD14840A"/>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1F027B8"/>
    <w:multiLevelType w:val="hybridMultilevel"/>
    <w:tmpl w:val="531A8EBE"/>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457EFB"/>
    <w:multiLevelType w:val="hybridMultilevel"/>
    <w:tmpl w:val="5128BA42"/>
    <w:lvl w:ilvl="0" w:tplc="04190001">
      <w:start w:val="1"/>
      <w:numFmt w:val="bullet"/>
      <w:lvlText w:val=""/>
      <w:lvlJc w:val="left"/>
      <w:pPr>
        <w:ind w:left="1422" w:hanging="360"/>
      </w:pPr>
      <w:rPr>
        <w:rFonts w:ascii="Symbol" w:hAnsi="Symbol" w:hint="default"/>
      </w:rPr>
    </w:lvl>
    <w:lvl w:ilvl="1" w:tplc="04190003">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8">
    <w:nsid w:val="34FC5A47"/>
    <w:multiLevelType w:val="multilevel"/>
    <w:tmpl w:val="57F60F46"/>
    <w:lvl w:ilvl="0">
      <w:start w:val="1"/>
      <w:numFmt w:val="decimal"/>
      <w:lvlText w:val="%1."/>
      <w:lvlJc w:val="left"/>
      <w:pPr>
        <w:ind w:left="720" w:hanging="360"/>
      </w:pPr>
      <w:rPr>
        <w:rFonts w:ascii="Times New Roman" w:eastAsia="MS Mincho" w:hAnsi="Times New Roman" w:cs="Times New Roman"/>
        <w:b w:val="0"/>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368261A5"/>
    <w:multiLevelType w:val="hybridMultilevel"/>
    <w:tmpl w:val="B91E58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77DAE"/>
    <w:multiLevelType w:val="multilevel"/>
    <w:tmpl w:val="92B6C070"/>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77C1836"/>
    <w:multiLevelType w:val="hybridMultilevel"/>
    <w:tmpl w:val="202A4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3AB7BE7"/>
    <w:multiLevelType w:val="hybridMultilevel"/>
    <w:tmpl w:val="4F86265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5DE036EF"/>
    <w:multiLevelType w:val="multilevel"/>
    <w:tmpl w:val="E88E4F7A"/>
    <w:lvl w:ilvl="0">
      <w:start w:val="1"/>
      <w:numFmt w:val="decimal"/>
      <w:lvlText w:val="%1."/>
      <w:lvlJc w:val="left"/>
      <w:pPr>
        <w:ind w:left="720" w:hanging="360"/>
      </w:pPr>
      <w:rPr>
        <w:rFonts w:ascii="Times New Roman" w:eastAsia="MS Mincho" w:hAnsi="Times New Roman" w:cs="Times New Roman"/>
        <w:b w:val="0"/>
        <w:color w:val="auto"/>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5F620866"/>
    <w:multiLevelType w:val="multilevel"/>
    <w:tmpl w:val="BE381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156253"/>
    <w:multiLevelType w:val="multilevel"/>
    <w:tmpl w:val="3932A302"/>
    <w:lvl w:ilvl="0">
      <w:start w:val="3"/>
      <w:numFmt w:val="decimal"/>
      <w:lvlText w:val="%1."/>
      <w:lvlJc w:val="left"/>
      <w:pPr>
        <w:ind w:left="284" w:hanging="284"/>
      </w:pPr>
      <w:rPr>
        <w:rFonts w:hint="default"/>
      </w:rPr>
    </w:lvl>
    <w:lvl w:ilvl="1">
      <w:start w:val="1"/>
      <w:numFmt w:val="decimal"/>
      <w:suff w:val="space"/>
      <w:lvlText w:val="%1.%2."/>
      <w:lvlJc w:val="left"/>
      <w:pPr>
        <w:ind w:left="0" w:firstLine="0"/>
      </w:pPr>
      <w:rPr>
        <w:rFonts w:hint="default"/>
        <w:sz w:val="28"/>
        <w:szCs w:val="28"/>
      </w:rPr>
    </w:lvl>
    <w:lvl w:ilvl="2">
      <w:start w:val="1"/>
      <w:numFmt w:val="decimal"/>
      <w:suff w:val="space"/>
      <w:lvlText w:val="%1.%2.%3."/>
      <w:lvlJc w:val="left"/>
      <w:pPr>
        <w:ind w:left="0" w:firstLine="0"/>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6">
    <w:nsid w:val="61A6761F"/>
    <w:multiLevelType w:val="multilevel"/>
    <w:tmpl w:val="57F60F46"/>
    <w:lvl w:ilvl="0">
      <w:start w:val="1"/>
      <w:numFmt w:val="decimal"/>
      <w:lvlText w:val="%1."/>
      <w:lvlJc w:val="left"/>
      <w:pPr>
        <w:ind w:left="720" w:hanging="360"/>
      </w:pPr>
      <w:rPr>
        <w:rFonts w:ascii="Times New Roman" w:eastAsia="MS Mincho" w:hAnsi="Times New Roman" w:cs="Times New Roman"/>
        <w:b w:val="0"/>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7">
    <w:nsid w:val="63730777"/>
    <w:multiLevelType w:val="hybridMultilevel"/>
    <w:tmpl w:val="E8802976"/>
    <w:lvl w:ilvl="0" w:tplc="04190001">
      <w:start w:val="1"/>
      <w:numFmt w:val="bullet"/>
      <w:lvlText w:val=""/>
      <w:lvlJc w:val="left"/>
      <w:pPr>
        <w:tabs>
          <w:tab w:val="num" w:pos="702"/>
        </w:tabs>
        <w:ind w:left="702" w:hanging="360"/>
      </w:pPr>
      <w:rPr>
        <w:rFonts w:ascii="Symbol" w:hAnsi="Symbol"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8">
    <w:nsid w:val="67904BF8"/>
    <w:multiLevelType w:val="multilevel"/>
    <w:tmpl w:val="3D4E230E"/>
    <w:lvl w:ilvl="0">
      <w:start w:val="3"/>
      <w:numFmt w:val="decimal"/>
      <w:lvlText w:val="%1."/>
      <w:lvlJc w:val="left"/>
      <w:pPr>
        <w:ind w:left="675" w:hanging="67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9216529"/>
    <w:multiLevelType w:val="hybridMultilevel"/>
    <w:tmpl w:val="9C08490A"/>
    <w:lvl w:ilvl="0" w:tplc="330CCCB6">
      <w:numFmt w:val="bullet"/>
      <w:lvlText w:val="•"/>
      <w:lvlJc w:val="left"/>
      <w:pPr>
        <w:tabs>
          <w:tab w:val="num" w:pos="702"/>
        </w:tabs>
        <w:ind w:left="702" w:hanging="360"/>
      </w:pPr>
      <w:rPr>
        <w:rFonts w:ascii="Times New Roman" w:hAnsi="Times New Roman" w:cs="Times New Roman" w:hint="default"/>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1075F8"/>
    <w:multiLevelType w:val="multilevel"/>
    <w:tmpl w:val="57F60F46"/>
    <w:lvl w:ilvl="0">
      <w:start w:val="1"/>
      <w:numFmt w:val="decimal"/>
      <w:lvlText w:val="%1."/>
      <w:lvlJc w:val="left"/>
      <w:pPr>
        <w:ind w:left="720" w:hanging="360"/>
      </w:pPr>
      <w:rPr>
        <w:rFonts w:ascii="Times New Roman" w:eastAsia="MS Mincho" w:hAnsi="Times New Roman" w:cs="Times New Roman"/>
        <w:b w:val="0"/>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1">
    <w:nsid w:val="71DC4C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CA457A"/>
    <w:multiLevelType w:val="hybridMultilevel"/>
    <w:tmpl w:val="297CD7F8"/>
    <w:lvl w:ilvl="0" w:tplc="D2F0F33E">
      <w:start w:val="1"/>
      <w:numFmt w:val="bullet"/>
      <w:lvlText w:val=""/>
      <w:lvlJc w:val="left"/>
      <w:pPr>
        <w:tabs>
          <w:tab w:val="num" w:pos="720"/>
        </w:tabs>
        <w:ind w:left="720" w:hanging="360"/>
      </w:pPr>
      <w:rPr>
        <w:rFonts w:ascii="Wingdings" w:hAnsi="Wingdings" w:hint="default"/>
      </w:rPr>
    </w:lvl>
    <w:lvl w:ilvl="1" w:tplc="47D6663A" w:tentative="1">
      <w:start w:val="1"/>
      <w:numFmt w:val="bullet"/>
      <w:lvlText w:val=""/>
      <w:lvlJc w:val="left"/>
      <w:pPr>
        <w:tabs>
          <w:tab w:val="num" w:pos="1440"/>
        </w:tabs>
        <w:ind w:left="1440" w:hanging="360"/>
      </w:pPr>
      <w:rPr>
        <w:rFonts w:ascii="Wingdings" w:hAnsi="Wingdings" w:hint="default"/>
      </w:rPr>
    </w:lvl>
    <w:lvl w:ilvl="2" w:tplc="45F2D78E" w:tentative="1">
      <w:start w:val="1"/>
      <w:numFmt w:val="bullet"/>
      <w:lvlText w:val=""/>
      <w:lvlJc w:val="left"/>
      <w:pPr>
        <w:tabs>
          <w:tab w:val="num" w:pos="2160"/>
        </w:tabs>
        <w:ind w:left="2160" w:hanging="360"/>
      </w:pPr>
      <w:rPr>
        <w:rFonts w:ascii="Wingdings" w:hAnsi="Wingdings" w:hint="default"/>
      </w:rPr>
    </w:lvl>
    <w:lvl w:ilvl="3" w:tplc="F4C6F66C" w:tentative="1">
      <w:start w:val="1"/>
      <w:numFmt w:val="bullet"/>
      <w:lvlText w:val=""/>
      <w:lvlJc w:val="left"/>
      <w:pPr>
        <w:tabs>
          <w:tab w:val="num" w:pos="2880"/>
        </w:tabs>
        <w:ind w:left="2880" w:hanging="360"/>
      </w:pPr>
      <w:rPr>
        <w:rFonts w:ascii="Wingdings" w:hAnsi="Wingdings" w:hint="default"/>
      </w:rPr>
    </w:lvl>
    <w:lvl w:ilvl="4" w:tplc="554EE6F4" w:tentative="1">
      <w:start w:val="1"/>
      <w:numFmt w:val="bullet"/>
      <w:lvlText w:val=""/>
      <w:lvlJc w:val="left"/>
      <w:pPr>
        <w:tabs>
          <w:tab w:val="num" w:pos="3600"/>
        </w:tabs>
        <w:ind w:left="3600" w:hanging="360"/>
      </w:pPr>
      <w:rPr>
        <w:rFonts w:ascii="Wingdings" w:hAnsi="Wingdings" w:hint="default"/>
      </w:rPr>
    </w:lvl>
    <w:lvl w:ilvl="5" w:tplc="AD8C6604" w:tentative="1">
      <w:start w:val="1"/>
      <w:numFmt w:val="bullet"/>
      <w:lvlText w:val=""/>
      <w:lvlJc w:val="left"/>
      <w:pPr>
        <w:tabs>
          <w:tab w:val="num" w:pos="4320"/>
        </w:tabs>
        <w:ind w:left="4320" w:hanging="360"/>
      </w:pPr>
      <w:rPr>
        <w:rFonts w:ascii="Wingdings" w:hAnsi="Wingdings" w:hint="default"/>
      </w:rPr>
    </w:lvl>
    <w:lvl w:ilvl="6" w:tplc="2C701C34" w:tentative="1">
      <w:start w:val="1"/>
      <w:numFmt w:val="bullet"/>
      <w:lvlText w:val=""/>
      <w:lvlJc w:val="left"/>
      <w:pPr>
        <w:tabs>
          <w:tab w:val="num" w:pos="5040"/>
        </w:tabs>
        <w:ind w:left="5040" w:hanging="360"/>
      </w:pPr>
      <w:rPr>
        <w:rFonts w:ascii="Wingdings" w:hAnsi="Wingdings" w:hint="default"/>
      </w:rPr>
    </w:lvl>
    <w:lvl w:ilvl="7" w:tplc="358A78BE" w:tentative="1">
      <w:start w:val="1"/>
      <w:numFmt w:val="bullet"/>
      <w:lvlText w:val=""/>
      <w:lvlJc w:val="left"/>
      <w:pPr>
        <w:tabs>
          <w:tab w:val="num" w:pos="5760"/>
        </w:tabs>
        <w:ind w:left="5760" w:hanging="360"/>
      </w:pPr>
      <w:rPr>
        <w:rFonts w:ascii="Wingdings" w:hAnsi="Wingdings" w:hint="default"/>
      </w:rPr>
    </w:lvl>
    <w:lvl w:ilvl="8" w:tplc="89E494EE" w:tentative="1">
      <w:start w:val="1"/>
      <w:numFmt w:val="bullet"/>
      <w:lvlText w:val=""/>
      <w:lvlJc w:val="left"/>
      <w:pPr>
        <w:tabs>
          <w:tab w:val="num" w:pos="6480"/>
        </w:tabs>
        <w:ind w:left="6480" w:hanging="360"/>
      </w:pPr>
      <w:rPr>
        <w:rFonts w:ascii="Wingdings" w:hAnsi="Wingdings" w:hint="default"/>
      </w:rPr>
    </w:lvl>
  </w:abstractNum>
  <w:abstractNum w:abstractNumId="23">
    <w:nsid w:val="7BF07031"/>
    <w:multiLevelType w:val="multilevel"/>
    <w:tmpl w:val="ECDE9CB4"/>
    <w:lvl w:ilvl="0">
      <w:start w:val="3"/>
      <w:numFmt w:val="decimal"/>
      <w:lvlText w:val="%1."/>
      <w:lvlJc w:val="left"/>
      <w:pPr>
        <w:ind w:left="675" w:hanging="675"/>
      </w:pPr>
      <w:rPr>
        <w:rFonts w:hint="default"/>
        <w:sz w:val="28"/>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9"/>
  </w:num>
  <w:num w:numId="2">
    <w:abstractNumId w:val="14"/>
  </w:num>
  <w:num w:numId="3">
    <w:abstractNumId w:val="6"/>
  </w:num>
  <w:num w:numId="4">
    <w:abstractNumId w:val="21"/>
  </w:num>
  <w:num w:numId="5">
    <w:abstractNumId w:val="3"/>
  </w:num>
  <w:num w:numId="6">
    <w:abstractNumId w:val="15"/>
  </w:num>
  <w:num w:numId="7">
    <w:abstractNumId w:val="17"/>
  </w:num>
  <w:num w:numId="8">
    <w:abstractNumId w:val="7"/>
  </w:num>
  <w:num w:numId="9">
    <w:abstractNumId w:val="10"/>
  </w:num>
  <w:num w:numId="10">
    <w:abstractNumId w:val="18"/>
  </w:num>
  <w:num w:numId="11">
    <w:abstractNumId w:val="0"/>
  </w:num>
  <w:num w:numId="12">
    <w:abstractNumId w:val="12"/>
  </w:num>
  <w:num w:numId="13">
    <w:abstractNumId w:val="9"/>
  </w:num>
  <w:num w:numId="14">
    <w:abstractNumId w:val="13"/>
  </w:num>
  <w:num w:numId="15">
    <w:abstractNumId w:val="4"/>
  </w:num>
  <w:num w:numId="16">
    <w:abstractNumId w:val="16"/>
  </w:num>
  <w:num w:numId="17">
    <w:abstractNumId w:val="23"/>
  </w:num>
  <w:num w:numId="18">
    <w:abstractNumId w:val="2"/>
  </w:num>
  <w:num w:numId="19">
    <w:abstractNumId w:val="8"/>
  </w:num>
  <w:num w:numId="20">
    <w:abstractNumId w:val="20"/>
  </w:num>
  <w:num w:numId="21">
    <w:abstractNumId w:val="22"/>
  </w:num>
  <w:num w:numId="22">
    <w:abstractNumId w:val="11"/>
  </w:num>
  <w:num w:numId="23">
    <w:abstractNumId w:val="5"/>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06"/>
    <w:rsid w:val="000021B7"/>
    <w:rsid w:val="00002E32"/>
    <w:rsid w:val="0000556F"/>
    <w:rsid w:val="00007E92"/>
    <w:rsid w:val="0001158E"/>
    <w:rsid w:val="00012049"/>
    <w:rsid w:val="00014F68"/>
    <w:rsid w:val="00015DFE"/>
    <w:rsid w:val="00020BF7"/>
    <w:rsid w:val="00020D29"/>
    <w:rsid w:val="0002183E"/>
    <w:rsid w:val="00025E5E"/>
    <w:rsid w:val="00030013"/>
    <w:rsid w:val="0003079F"/>
    <w:rsid w:val="00030E09"/>
    <w:rsid w:val="000330BC"/>
    <w:rsid w:val="00033CFA"/>
    <w:rsid w:val="000361F4"/>
    <w:rsid w:val="00040914"/>
    <w:rsid w:val="00040B48"/>
    <w:rsid w:val="00041E69"/>
    <w:rsid w:val="00042683"/>
    <w:rsid w:val="00042A29"/>
    <w:rsid w:val="0004338D"/>
    <w:rsid w:val="00044389"/>
    <w:rsid w:val="00045BB8"/>
    <w:rsid w:val="000472A9"/>
    <w:rsid w:val="00050F14"/>
    <w:rsid w:val="00050F93"/>
    <w:rsid w:val="00052238"/>
    <w:rsid w:val="00056D5C"/>
    <w:rsid w:val="000617BC"/>
    <w:rsid w:val="00062CD1"/>
    <w:rsid w:val="00062EB1"/>
    <w:rsid w:val="0006667F"/>
    <w:rsid w:val="00072C6D"/>
    <w:rsid w:val="00076374"/>
    <w:rsid w:val="00076EDF"/>
    <w:rsid w:val="00082B7B"/>
    <w:rsid w:val="00085C62"/>
    <w:rsid w:val="000921E2"/>
    <w:rsid w:val="00094105"/>
    <w:rsid w:val="00097064"/>
    <w:rsid w:val="000A1D33"/>
    <w:rsid w:val="000A5DE8"/>
    <w:rsid w:val="000A6D90"/>
    <w:rsid w:val="000A762F"/>
    <w:rsid w:val="000B24E5"/>
    <w:rsid w:val="000B5F79"/>
    <w:rsid w:val="000B6670"/>
    <w:rsid w:val="000C1CC4"/>
    <w:rsid w:val="000C22C2"/>
    <w:rsid w:val="000C2FEC"/>
    <w:rsid w:val="000C4893"/>
    <w:rsid w:val="000C5BE6"/>
    <w:rsid w:val="000C66A1"/>
    <w:rsid w:val="000D728E"/>
    <w:rsid w:val="000D7E95"/>
    <w:rsid w:val="000E152B"/>
    <w:rsid w:val="000E62AE"/>
    <w:rsid w:val="000F05F2"/>
    <w:rsid w:val="000F1C66"/>
    <w:rsid w:val="000F2858"/>
    <w:rsid w:val="00100963"/>
    <w:rsid w:val="00103279"/>
    <w:rsid w:val="00106316"/>
    <w:rsid w:val="00106F5E"/>
    <w:rsid w:val="00107EDC"/>
    <w:rsid w:val="001106B0"/>
    <w:rsid w:val="00111786"/>
    <w:rsid w:val="00112DE7"/>
    <w:rsid w:val="00112E18"/>
    <w:rsid w:val="0011603C"/>
    <w:rsid w:val="0011783C"/>
    <w:rsid w:val="001207A9"/>
    <w:rsid w:val="00121775"/>
    <w:rsid w:val="001230D8"/>
    <w:rsid w:val="001252D6"/>
    <w:rsid w:val="00125F70"/>
    <w:rsid w:val="00126786"/>
    <w:rsid w:val="00127585"/>
    <w:rsid w:val="00127B57"/>
    <w:rsid w:val="00134B14"/>
    <w:rsid w:val="00135808"/>
    <w:rsid w:val="00136018"/>
    <w:rsid w:val="001403A1"/>
    <w:rsid w:val="00147BDC"/>
    <w:rsid w:val="00147ECA"/>
    <w:rsid w:val="00150E44"/>
    <w:rsid w:val="00153AE7"/>
    <w:rsid w:val="00154C1B"/>
    <w:rsid w:val="001552FE"/>
    <w:rsid w:val="00162CE0"/>
    <w:rsid w:val="00163335"/>
    <w:rsid w:val="00165967"/>
    <w:rsid w:val="001765CB"/>
    <w:rsid w:val="00181BEF"/>
    <w:rsid w:val="001852ED"/>
    <w:rsid w:val="00194F60"/>
    <w:rsid w:val="00195325"/>
    <w:rsid w:val="001A1789"/>
    <w:rsid w:val="001A1BAA"/>
    <w:rsid w:val="001A28E5"/>
    <w:rsid w:val="001A2CE0"/>
    <w:rsid w:val="001A5346"/>
    <w:rsid w:val="001A568A"/>
    <w:rsid w:val="001A6743"/>
    <w:rsid w:val="001C30F5"/>
    <w:rsid w:val="001C464D"/>
    <w:rsid w:val="001C7C52"/>
    <w:rsid w:val="001D324F"/>
    <w:rsid w:val="001D3942"/>
    <w:rsid w:val="001D69D8"/>
    <w:rsid w:val="001E0399"/>
    <w:rsid w:val="001E37A7"/>
    <w:rsid w:val="001E5B6B"/>
    <w:rsid w:val="001E5E40"/>
    <w:rsid w:val="001F44A9"/>
    <w:rsid w:val="001F6360"/>
    <w:rsid w:val="00200296"/>
    <w:rsid w:val="002043FE"/>
    <w:rsid w:val="002049BF"/>
    <w:rsid w:val="00210F00"/>
    <w:rsid w:val="00211C15"/>
    <w:rsid w:val="0021504D"/>
    <w:rsid w:val="00216FEE"/>
    <w:rsid w:val="002226FD"/>
    <w:rsid w:val="002230F3"/>
    <w:rsid w:val="00225925"/>
    <w:rsid w:val="00234B6E"/>
    <w:rsid w:val="00237220"/>
    <w:rsid w:val="00237CCF"/>
    <w:rsid w:val="00243567"/>
    <w:rsid w:val="00244126"/>
    <w:rsid w:val="00244688"/>
    <w:rsid w:val="002518A4"/>
    <w:rsid w:val="002543F1"/>
    <w:rsid w:val="00254512"/>
    <w:rsid w:val="00254B82"/>
    <w:rsid w:val="00261D1D"/>
    <w:rsid w:val="0026202A"/>
    <w:rsid w:val="00266791"/>
    <w:rsid w:val="0027192D"/>
    <w:rsid w:val="002720E5"/>
    <w:rsid w:val="0027417F"/>
    <w:rsid w:val="002843CB"/>
    <w:rsid w:val="00286B0D"/>
    <w:rsid w:val="0029188D"/>
    <w:rsid w:val="002A1961"/>
    <w:rsid w:val="002A3D88"/>
    <w:rsid w:val="002A4224"/>
    <w:rsid w:val="002A5E78"/>
    <w:rsid w:val="002A6308"/>
    <w:rsid w:val="002A6EF8"/>
    <w:rsid w:val="002B53B4"/>
    <w:rsid w:val="002B71E0"/>
    <w:rsid w:val="002B750D"/>
    <w:rsid w:val="002C058C"/>
    <w:rsid w:val="002C2F94"/>
    <w:rsid w:val="002C3A1C"/>
    <w:rsid w:val="002C3B54"/>
    <w:rsid w:val="002C4906"/>
    <w:rsid w:val="002D4081"/>
    <w:rsid w:val="002D4187"/>
    <w:rsid w:val="002D5B97"/>
    <w:rsid w:val="002E02C0"/>
    <w:rsid w:val="002E503D"/>
    <w:rsid w:val="002F559E"/>
    <w:rsid w:val="002F682B"/>
    <w:rsid w:val="002F7DC1"/>
    <w:rsid w:val="00303EC6"/>
    <w:rsid w:val="0031459F"/>
    <w:rsid w:val="00314691"/>
    <w:rsid w:val="00315B41"/>
    <w:rsid w:val="003176D8"/>
    <w:rsid w:val="0032222E"/>
    <w:rsid w:val="00326380"/>
    <w:rsid w:val="0032707E"/>
    <w:rsid w:val="00331B47"/>
    <w:rsid w:val="003336FB"/>
    <w:rsid w:val="00334EFC"/>
    <w:rsid w:val="00335609"/>
    <w:rsid w:val="0033677A"/>
    <w:rsid w:val="00337B4E"/>
    <w:rsid w:val="00345F57"/>
    <w:rsid w:val="00350F30"/>
    <w:rsid w:val="00351DA8"/>
    <w:rsid w:val="00354941"/>
    <w:rsid w:val="00357842"/>
    <w:rsid w:val="00360591"/>
    <w:rsid w:val="00362FFA"/>
    <w:rsid w:val="00363E2E"/>
    <w:rsid w:val="00363EF8"/>
    <w:rsid w:val="00367CEF"/>
    <w:rsid w:val="00372B3C"/>
    <w:rsid w:val="003756B5"/>
    <w:rsid w:val="0037600A"/>
    <w:rsid w:val="00381CED"/>
    <w:rsid w:val="00384336"/>
    <w:rsid w:val="00391E01"/>
    <w:rsid w:val="0039333C"/>
    <w:rsid w:val="0039413C"/>
    <w:rsid w:val="00397325"/>
    <w:rsid w:val="003A04AE"/>
    <w:rsid w:val="003A29BF"/>
    <w:rsid w:val="003B0F9E"/>
    <w:rsid w:val="003B29FB"/>
    <w:rsid w:val="003B56F6"/>
    <w:rsid w:val="003C5732"/>
    <w:rsid w:val="003D15E2"/>
    <w:rsid w:val="003D3FC0"/>
    <w:rsid w:val="003E24DD"/>
    <w:rsid w:val="003E3E13"/>
    <w:rsid w:val="003F035A"/>
    <w:rsid w:val="003F0D96"/>
    <w:rsid w:val="003F2D8F"/>
    <w:rsid w:val="003F4E24"/>
    <w:rsid w:val="00400982"/>
    <w:rsid w:val="004026F3"/>
    <w:rsid w:val="00404230"/>
    <w:rsid w:val="00407BE1"/>
    <w:rsid w:val="00410C15"/>
    <w:rsid w:val="00411DBB"/>
    <w:rsid w:val="0041341A"/>
    <w:rsid w:val="00415809"/>
    <w:rsid w:val="00420368"/>
    <w:rsid w:val="004229C9"/>
    <w:rsid w:val="00425C33"/>
    <w:rsid w:val="00427645"/>
    <w:rsid w:val="00431A62"/>
    <w:rsid w:val="00431D3F"/>
    <w:rsid w:val="00432D00"/>
    <w:rsid w:val="004334D8"/>
    <w:rsid w:val="004348B3"/>
    <w:rsid w:val="00434AFF"/>
    <w:rsid w:val="00436155"/>
    <w:rsid w:val="0043706D"/>
    <w:rsid w:val="00440A83"/>
    <w:rsid w:val="00441875"/>
    <w:rsid w:val="004437A5"/>
    <w:rsid w:val="00444D87"/>
    <w:rsid w:val="0044597F"/>
    <w:rsid w:val="004479C5"/>
    <w:rsid w:val="00453D1D"/>
    <w:rsid w:val="0045737A"/>
    <w:rsid w:val="00460659"/>
    <w:rsid w:val="004643DA"/>
    <w:rsid w:val="00464E07"/>
    <w:rsid w:val="00465500"/>
    <w:rsid w:val="00470407"/>
    <w:rsid w:val="00470ACA"/>
    <w:rsid w:val="00473B03"/>
    <w:rsid w:val="0047676F"/>
    <w:rsid w:val="00490D2C"/>
    <w:rsid w:val="00492771"/>
    <w:rsid w:val="00494AFE"/>
    <w:rsid w:val="004A0046"/>
    <w:rsid w:val="004A1DF9"/>
    <w:rsid w:val="004A4301"/>
    <w:rsid w:val="004A4D1A"/>
    <w:rsid w:val="004A6AA6"/>
    <w:rsid w:val="004B00B9"/>
    <w:rsid w:val="004B1A8D"/>
    <w:rsid w:val="004B4ED4"/>
    <w:rsid w:val="004B61AE"/>
    <w:rsid w:val="004B6737"/>
    <w:rsid w:val="004B6F08"/>
    <w:rsid w:val="004B7F0A"/>
    <w:rsid w:val="004C1C02"/>
    <w:rsid w:val="004C5958"/>
    <w:rsid w:val="004C79A6"/>
    <w:rsid w:val="004D1447"/>
    <w:rsid w:val="004D35E3"/>
    <w:rsid w:val="004D7A64"/>
    <w:rsid w:val="004E0C46"/>
    <w:rsid w:val="004E1876"/>
    <w:rsid w:val="004E3A47"/>
    <w:rsid w:val="004E5D58"/>
    <w:rsid w:val="004E77E9"/>
    <w:rsid w:val="004F4FBC"/>
    <w:rsid w:val="00504620"/>
    <w:rsid w:val="00506459"/>
    <w:rsid w:val="005072E2"/>
    <w:rsid w:val="005142F3"/>
    <w:rsid w:val="0052345F"/>
    <w:rsid w:val="0053031E"/>
    <w:rsid w:val="0053052A"/>
    <w:rsid w:val="005312AC"/>
    <w:rsid w:val="00531DB4"/>
    <w:rsid w:val="005326B0"/>
    <w:rsid w:val="005358C3"/>
    <w:rsid w:val="00536C41"/>
    <w:rsid w:val="00537A70"/>
    <w:rsid w:val="00540C2E"/>
    <w:rsid w:val="005453E9"/>
    <w:rsid w:val="005469A8"/>
    <w:rsid w:val="0054716C"/>
    <w:rsid w:val="00554669"/>
    <w:rsid w:val="00556A74"/>
    <w:rsid w:val="00557FC7"/>
    <w:rsid w:val="00560290"/>
    <w:rsid w:val="0056199E"/>
    <w:rsid w:val="00572B90"/>
    <w:rsid w:val="0057336A"/>
    <w:rsid w:val="00573E04"/>
    <w:rsid w:val="005776D5"/>
    <w:rsid w:val="005811C6"/>
    <w:rsid w:val="0058217E"/>
    <w:rsid w:val="00593632"/>
    <w:rsid w:val="00595324"/>
    <w:rsid w:val="0059597F"/>
    <w:rsid w:val="0059698D"/>
    <w:rsid w:val="00597E79"/>
    <w:rsid w:val="005A2969"/>
    <w:rsid w:val="005A3AA1"/>
    <w:rsid w:val="005B39D1"/>
    <w:rsid w:val="005B5F87"/>
    <w:rsid w:val="005C1999"/>
    <w:rsid w:val="005E26FD"/>
    <w:rsid w:val="005E435D"/>
    <w:rsid w:val="005E57FA"/>
    <w:rsid w:val="005F058C"/>
    <w:rsid w:val="005F4624"/>
    <w:rsid w:val="005F6BEF"/>
    <w:rsid w:val="00601FFD"/>
    <w:rsid w:val="00602A44"/>
    <w:rsid w:val="00610F36"/>
    <w:rsid w:val="00617F3B"/>
    <w:rsid w:val="00621BAE"/>
    <w:rsid w:val="00624848"/>
    <w:rsid w:val="0062726F"/>
    <w:rsid w:val="0063036A"/>
    <w:rsid w:val="00637A12"/>
    <w:rsid w:val="00637C52"/>
    <w:rsid w:val="00641632"/>
    <w:rsid w:val="006444BF"/>
    <w:rsid w:val="006474EF"/>
    <w:rsid w:val="00654A6C"/>
    <w:rsid w:val="00655115"/>
    <w:rsid w:val="006556E2"/>
    <w:rsid w:val="0066098E"/>
    <w:rsid w:val="00661388"/>
    <w:rsid w:val="00664C5E"/>
    <w:rsid w:val="0066756C"/>
    <w:rsid w:val="00667CD6"/>
    <w:rsid w:val="00670DC6"/>
    <w:rsid w:val="00672085"/>
    <w:rsid w:val="0067340D"/>
    <w:rsid w:val="0067589C"/>
    <w:rsid w:val="00675F78"/>
    <w:rsid w:val="00675FCB"/>
    <w:rsid w:val="00677DF2"/>
    <w:rsid w:val="0068396A"/>
    <w:rsid w:val="0069673A"/>
    <w:rsid w:val="0069775F"/>
    <w:rsid w:val="006A397B"/>
    <w:rsid w:val="006B0233"/>
    <w:rsid w:val="006B1C94"/>
    <w:rsid w:val="006C4D9D"/>
    <w:rsid w:val="006C4F3E"/>
    <w:rsid w:val="006D112D"/>
    <w:rsid w:val="006D17D9"/>
    <w:rsid w:val="006D4735"/>
    <w:rsid w:val="006E194C"/>
    <w:rsid w:val="006E2634"/>
    <w:rsid w:val="006E4BBF"/>
    <w:rsid w:val="006F0138"/>
    <w:rsid w:val="006F3814"/>
    <w:rsid w:val="006F434A"/>
    <w:rsid w:val="0071155C"/>
    <w:rsid w:val="00712537"/>
    <w:rsid w:val="007140D4"/>
    <w:rsid w:val="0072150C"/>
    <w:rsid w:val="007274CD"/>
    <w:rsid w:val="00730788"/>
    <w:rsid w:val="007308E8"/>
    <w:rsid w:val="00732A54"/>
    <w:rsid w:val="0073620F"/>
    <w:rsid w:val="0074070A"/>
    <w:rsid w:val="00742BD1"/>
    <w:rsid w:val="00742D2F"/>
    <w:rsid w:val="0074395B"/>
    <w:rsid w:val="00744B25"/>
    <w:rsid w:val="00760D51"/>
    <w:rsid w:val="00761031"/>
    <w:rsid w:val="00761433"/>
    <w:rsid w:val="00761509"/>
    <w:rsid w:val="00763A24"/>
    <w:rsid w:val="0076697D"/>
    <w:rsid w:val="0076765C"/>
    <w:rsid w:val="0077256C"/>
    <w:rsid w:val="00772DC4"/>
    <w:rsid w:val="0077452C"/>
    <w:rsid w:val="00774AA9"/>
    <w:rsid w:val="00775C02"/>
    <w:rsid w:val="00782916"/>
    <w:rsid w:val="00783578"/>
    <w:rsid w:val="0078431D"/>
    <w:rsid w:val="0078539B"/>
    <w:rsid w:val="007935D9"/>
    <w:rsid w:val="00793D44"/>
    <w:rsid w:val="00794403"/>
    <w:rsid w:val="00795AC1"/>
    <w:rsid w:val="0079721D"/>
    <w:rsid w:val="007A0109"/>
    <w:rsid w:val="007A228F"/>
    <w:rsid w:val="007A2A17"/>
    <w:rsid w:val="007A561D"/>
    <w:rsid w:val="007A62E1"/>
    <w:rsid w:val="007A6382"/>
    <w:rsid w:val="007B0856"/>
    <w:rsid w:val="007B497D"/>
    <w:rsid w:val="007B50D6"/>
    <w:rsid w:val="007B52B6"/>
    <w:rsid w:val="007C2C06"/>
    <w:rsid w:val="007D5172"/>
    <w:rsid w:val="007D5321"/>
    <w:rsid w:val="007D56F8"/>
    <w:rsid w:val="007F2511"/>
    <w:rsid w:val="007F6DE4"/>
    <w:rsid w:val="00800CFB"/>
    <w:rsid w:val="00803617"/>
    <w:rsid w:val="00810CC8"/>
    <w:rsid w:val="008147BB"/>
    <w:rsid w:val="00815B12"/>
    <w:rsid w:val="00820D21"/>
    <w:rsid w:val="008216F9"/>
    <w:rsid w:val="0082294E"/>
    <w:rsid w:val="00826364"/>
    <w:rsid w:val="0083089D"/>
    <w:rsid w:val="00835B10"/>
    <w:rsid w:val="008375DA"/>
    <w:rsid w:val="0084005F"/>
    <w:rsid w:val="00840140"/>
    <w:rsid w:val="008450C7"/>
    <w:rsid w:val="008462C3"/>
    <w:rsid w:val="00851CC5"/>
    <w:rsid w:val="00851F8B"/>
    <w:rsid w:val="00871184"/>
    <w:rsid w:val="00877C8D"/>
    <w:rsid w:val="00886153"/>
    <w:rsid w:val="00886648"/>
    <w:rsid w:val="00892493"/>
    <w:rsid w:val="0089388C"/>
    <w:rsid w:val="008939A3"/>
    <w:rsid w:val="00893BFC"/>
    <w:rsid w:val="00895638"/>
    <w:rsid w:val="008A0E17"/>
    <w:rsid w:val="008A1E93"/>
    <w:rsid w:val="008A20FC"/>
    <w:rsid w:val="008B14D1"/>
    <w:rsid w:val="008B1577"/>
    <w:rsid w:val="008B1F2B"/>
    <w:rsid w:val="008B4893"/>
    <w:rsid w:val="008B56CB"/>
    <w:rsid w:val="008C083E"/>
    <w:rsid w:val="008C1F9E"/>
    <w:rsid w:val="008C48F0"/>
    <w:rsid w:val="008C6FD9"/>
    <w:rsid w:val="008D1360"/>
    <w:rsid w:val="008D1530"/>
    <w:rsid w:val="008D364E"/>
    <w:rsid w:val="008D63B1"/>
    <w:rsid w:val="008D6B36"/>
    <w:rsid w:val="008E4245"/>
    <w:rsid w:val="008E466E"/>
    <w:rsid w:val="008F0152"/>
    <w:rsid w:val="008F2E5A"/>
    <w:rsid w:val="008F3E04"/>
    <w:rsid w:val="008F6D1B"/>
    <w:rsid w:val="009039D9"/>
    <w:rsid w:val="009114DF"/>
    <w:rsid w:val="009133AA"/>
    <w:rsid w:val="00921223"/>
    <w:rsid w:val="00924476"/>
    <w:rsid w:val="00926C58"/>
    <w:rsid w:val="00926D76"/>
    <w:rsid w:val="00933672"/>
    <w:rsid w:val="00934EE0"/>
    <w:rsid w:val="0094072E"/>
    <w:rsid w:val="0094520E"/>
    <w:rsid w:val="00947CFB"/>
    <w:rsid w:val="00954E2D"/>
    <w:rsid w:val="00957C16"/>
    <w:rsid w:val="009606DF"/>
    <w:rsid w:val="00962291"/>
    <w:rsid w:val="009675B7"/>
    <w:rsid w:val="00971374"/>
    <w:rsid w:val="00971F94"/>
    <w:rsid w:val="009807DC"/>
    <w:rsid w:val="009829CB"/>
    <w:rsid w:val="00986A04"/>
    <w:rsid w:val="00986AC6"/>
    <w:rsid w:val="00987FCB"/>
    <w:rsid w:val="00994002"/>
    <w:rsid w:val="009970AC"/>
    <w:rsid w:val="00997327"/>
    <w:rsid w:val="009A0123"/>
    <w:rsid w:val="009A064C"/>
    <w:rsid w:val="009A0DE7"/>
    <w:rsid w:val="009A3840"/>
    <w:rsid w:val="009A668A"/>
    <w:rsid w:val="009A77E7"/>
    <w:rsid w:val="009A7FF5"/>
    <w:rsid w:val="009B3D8E"/>
    <w:rsid w:val="009B4380"/>
    <w:rsid w:val="009B496B"/>
    <w:rsid w:val="009B530D"/>
    <w:rsid w:val="009B5721"/>
    <w:rsid w:val="009B5EBB"/>
    <w:rsid w:val="009C048F"/>
    <w:rsid w:val="009C3A61"/>
    <w:rsid w:val="009D05AB"/>
    <w:rsid w:val="009D0DA5"/>
    <w:rsid w:val="009D1C95"/>
    <w:rsid w:val="009D7C22"/>
    <w:rsid w:val="009E1E2F"/>
    <w:rsid w:val="009E4CEB"/>
    <w:rsid w:val="009E5179"/>
    <w:rsid w:val="009E696B"/>
    <w:rsid w:val="009F0B3D"/>
    <w:rsid w:val="00A00CB4"/>
    <w:rsid w:val="00A05647"/>
    <w:rsid w:val="00A153E7"/>
    <w:rsid w:val="00A20ECE"/>
    <w:rsid w:val="00A20F8B"/>
    <w:rsid w:val="00A23050"/>
    <w:rsid w:val="00A23B5F"/>
    <w:rsid w:val="00A24FA8"/>
    <w:rsid w:val="00A26517"/>
    <w:rsid w:val="00A2664D"/>
    <w:rsid w:val="00A27351"/>
    <w:rsid w:val="00A27870"/>
    <w:rsid w:val="00A27E06"/>
    <w:rsid w:val="00A36908"/>
    <w:rsid w:val="00A37D53"/>
    <w:rsid w:val="00A41E93"/>
    <w:rsid w:val="00A429D3"/>
    <w:rsid w:val="00A470C4"/>
    <w:rsid w:val="00A50795"/>
    <w:rsid w:val="00A50B85"/>
    <w:rsid w:val="00A57094"/>
    <w:rsid w:val="00A60F56"/>
    <w:rsid w:val="00A62DD3"/>
    <w:rsid w:val="00A673F2"/>
    <w:rsid w:val="00A76FFD"/>
    <w:rsid w:val="00A817BD"/>
    <w:rsid w:val="00A82D3F"/>
    <w:rsid w:val="00A83739"/>
    <w:rsid w:val="00A85D6B"/>
    <w:rsid w:val="00A90276"/>
    <w:rsid w:val="00A90922"/>
    <w:rsid w:val="00A92889"/>
    <w:rsid w:val="00A93DFA"/>
    <w:rsid w:val="00AA3CE3"/>
    <w:rsid w:val="00AB3EEA"/>
    <w:rsid w:val="00AB4499"/>
    <w:rsid w:val="00AB633F"/>
    <w:rsid w:val="00AC0ADE"/>
    <w:rsid w:val="00AC1E99"/>
    <w:rsid w:val="00AC3116"/>
    <w:rsid w:val="00AC35BE"/>
    <w:rsid w:val="00AC442D"/>
    <w:rsid w:val="00AD0086"/>
    <w:rsid w:val="00AD02D1"/>
    <w:rsid w:val="00AD49E3"/>
    <w:rsid w:val="00AD54C8"/>
    <w:rsid w:val="00AE1A91"/>
    <w:rsid w:val="00AE2984"/>
    <w:rsid w:val="00AE4E20"/>
    <w:rsid w:val="00AF03A5"/>
    <w:rsid w:val="00AF671A"/>
    <w:rsid w:val="00AF6A1E"/>
    <w:rsid w:val="00B0159E"/>
    <w:rsid w:val="00B0341B"/>
    <w:rsid w:val="00B04894"/>
    <w:rsid w:val="00B07479"/>
    <w:rsid w:val="00B144E5"/>
    <w:rsid w:val="00B14E16"/>
    <w:rsid w:val="00B20BA4"/>
    <w:rsid w:val="00B211B7"/>
    <w:rsid w:val="00B21615"/>
    <w:rsid w:val="00B223DF"/>
    <w:rsid w:val="00B24C0E"/>
    <w:rsid w:val="00B257D2"/>
    <w:rsid w:val="00B267BF"/>
    <w:rsid w:val="00B268CC"/>
    <w:rsid w:val="00B27E28"/>
    <w:rsid w:val="00B30134"/>
    <w:rsid w:val="00B36F73"/>
    <w:rsid w:val="00B401F4"/>
    <w:rsid w:val="00B412B0"/>
    <w:rsid w:val="00B435B9"/>
    <w:rsid w:val="00B46258"/>
    <w:rsid w:val="00B54BDA"/>
    <w:rsid w:val="00B5690E"/>
    <w:rsid w:val="00B573D7"/>
    <w:rsid w:val="00B643FA"/>
    <w:rsid w:val="00B74106"/>
    <w:rsid w:val="00B76225"/>
    <w:rsid w:val="00B80009"/>
    <w:rsid w:val="00B821CB"/>
    <w:rsid w:val="00B83BA5"/>
    <w:rsid w:val="00B86681"/>
    <w:rsid w:val="00B93CE7"/>
    <w:rsid w:val="00B94996"/>
    <w:rsid w:val="00BA12D2"/>
    <w:rsid w:val="00BA2F5B"/>
    <w:rsid w:val="00BA59B7"/>
    <w:rsid w:val="00BA62A0"/>
    <w:rsid w:val="00BB4FDC"/>
    <w:rsid w:val="00BB52F5"/>
    <w:rsid w:val="00BC5BAE"/>
    <w:rsid w:val="00BD1C57"/>
    <w:rsid w:val="00BD6504"/>
    <w:rsid w:val="00BD6E96"/>
    <w:rsid w:val="00BD74EC"/>
    <w:rsid w:val="00BD7A51"/>
    <w:rsid w:val="00BE1896"/>
    <w:rsid w:val="00BE36E7"/>
    <w:rsid w:val="00BF0487"/>
    <w:rsid w:val="00BF3C1E"/>
    <w:rsid w:val="00BF6634"/>
    <w:rsid w:val="00C00E04"/>
    <w:rsid w:val="00C0375E"/>
    <w:rsid w:val="00C1184F"/>
    <w:rsid w:val="00C122FE"/>
    <w:rsid w:val="00C14EE7"/>
    <w:rsid w:val="00C150CE"/>
    <w:rsid w:val="00C163EE"/>
    <w:rsid w:val="00C168E8"/>
    <w:rsid w:val="00C2461C"/>
    <w:rsid w:val="00C24B1B"/>
    <w:rsid w:val="00C26102"/>
    <w:rsid w:val="00C31CBD"/>
    <w:rsid w:val="00C41C66"/>
    <w:rsid w:val="00C46536"/>
    <w:rsid w:val="00C50D52"/>
    <w:rsid w:val="00C56EB9"/>
    <w:rsid w:val="00C57E72"/>
    <w:rsid w:val="00C62EC9"/>
    <w:rsid w:val="00C7214F"/>
    <w:rsid w:val="00C76470"/>
    <w:rsid w:val="00C83059"/>
    <w:rsid w:val="00C87652"/>
    <w:rsid w:val="00C95148"/>
    <w:rsid w:val="00C956FF"/>
    <w:rsid w:val="00CA1ABF"/>
    <w:rsid w:val="00CB086A"/>
    <w:rsid w:val="00CB0951"/>
    <w:rsid w:val="00CB0D3F"/>
    <w:rsid w:val="00CB3570"/>
    <w:rsid w:val="00CB3D3F"/>
    <w:rsid w:val="00CB57B8"/>
    <w:rsid w:val="00CB6BB3"/>
    <w:rsid w:val="00CC3541"/>
    <w:rsid w:val="00CD2A0E"/>
    <w:rsid w:val="00CD2EDC"/>
    <w:rsid w:val="00CD31FF"/>
    <w:rsid w:val="00CD7B9A"/>
    <w:rsid w:val="00CE2EA3"/>
    <w:rsid w:val="00CE5732"/>
    <w:rsid w:val="00CF7FAB"/>
    <w:rsid w:val="00CF7FBB"/>
    <w:rsid w:val="00D00F4A"/>
    <w:rsid w:val="00D01904"/>
    <w:rsid w:val="00D03EC1"/>
    <w:rsid w:val="00D15389"/>
    <w:rsid w:val="00D2353C"/>
    <w:rsid w:val="00D27EC4"/>
    <w:rsid w:val="00D31CBA"/>
    <w:rsid w:val="00D343FB"/>
    <w:rsid w:val="00D406D7"/>
    <w:rsid w:val="00D46239"/>
    <w:rsid w:val="00D5026F"/>
    <w:rsid w:val="00D55332"/>
    <w:rsid w:val="00D644D7"/>
    <w:rsid w:val="00D65EE0"/>
    <w:rsid w:val="00D71286"/>
    <w:rsid w:val="00D71E6F"/>
    <w:rsid w:val="00D743E2"/>
    <w:rsid w:val="00D7471A"/>
    <w:rsid w:val="00D77293"/>
    <w:rsid w:val="00D80E82"/>
    <w:rsid w:val="00D91C23"/>
    <w:rsid w:val="00D93DA3"/>
    <w:rsid w:val="00D94A48"/>
    <w:rsid w:val="00D96E8E"/>
    <w:rsid w:val="00D96EA7"/>
    <w:rsid w:val="00DA0A47"/>
    <w:rsid w:val="00DA3C52"/>
    <w:rsid w:val="00DA76F0"/>
    <w:rsid w:val="00DB0FD6"/>
    <w:rsid w:val="00DB14D8"/>
    <w:rsid w:val="00DB26FF"/>
    <w:rsid w:val="00DB2E0B"/>
    <w:rsid w:val="00DB2E37"/>
    <w:rsid w:val="00DB41BD"/>
    <w:rsid w:val="00DB45DD"/>
    <w:rsid w:val="00DB4CFA"/>
    <w:rsid w:val="00DB6599"/>
    <w:rsid w:val="00DC1D07"/>
    <w:rsid w:val="00DC4AB2"/>
    <w:rsid w:val="00DC52BB"/>
    <w:rsid w:val="00DC5549"/>
    <w:rsid w:val="00DC6A06"/>
    <w:rsid w:val="00DD207C"/>
    <w:rsid w:val="00DD24E8"/>
    <w:rsid w:val="00DD27EA"/>
    <w:rsid w:val="00DD3F99"/>
    <w:rsid w:val="00DD5E76"/>
    <w:rsid w:val="00DE3F8B"/>
    <w:rsid w:val="00DE5A43"/>
    <w:rsid w:val="00DE6232"/>
    <w:rsid w:val="00DE6691"/>
    <w:rsid w:val="00DF083B"/>
    <w:rsid w:val="00DF3C51"/>
    <w:rsid w:val="00DF703F"/>
    <w:rsid w:val="00E00346"/>
    <w:rsid w:val="00E019EA"/>
    <w:rsid w:val="00E158AE"/>
    <w:rsid w:val="00E15AC7"/>
    <w:rsid w:val="00E15D8A"/>
    <w:rsid w:val="00E331FC"/>
    <w:rsid w:val="00E3361D"/>
    <w:rsid w:val="00E35148"/>
    <w:rsid w:val="00E373FF"/>
    <w:rsid w:val="00E420C2"/>
    <w:rsid w:val="00E45A0C"/>
    <w:rsid w:val="00E535A0"/>
    <w:rsid w:val="00E6325E"/>
    <w:rsid w:val="00E64C06"/>
    <w:rsid w:val="00E660FC"/>
    <w:rsid w:val="00E66EA2"/>
    <w:rsid w:val="00E7129E"/>
    <w:rsid w:val="00E72AEC"/>
    <w:rsid w:val="00E73A0A"/>
    <w:rsid w:val="00E75561"/>
    <w:rsid w:val="00E761D7"/>
    <w:rsid w:val="00E777A3"/>
    <w:rsid w:val="00E811B8"/>
    <w:rsid w:val="00E845F8"/>
    <w:rsid w:val="00E861FB"/>
    <w:rsid w:val="00E90E8A"/>
    <w:rsid w:val="00E91EC8"/>
    <w:rsid w:val="00E972EA"/>
    <w:rsid w:val="00EA141E"/>
    <w:rsid w:val="00EA3ECA"/>
    <w:rsid w:val="00EB0A90"/>
    <w:rsid w:val="00EB0BB6"/>
    <w:rsid w:val="00EB51DE"/>
    <w:rsid w:val="00EB63F8"/>
    <w:rsid w:val="00EC4BD2"/>
    <w:rsid w:val="00EC51C4"/>
    <w:rsid w:val="00ED0113"/>
    <w:rsid w:val="00ED063E"/>
    <w:rsid w:val="00ED0D4C"/>
    <w:rsid w:val="00ED5086"/>
    <w:rsid w:val="00ED5A07"/>
    <w:rsid w:val="00ED69D9"/>
    <w:rsid w:val="00EE21AF"/>
    <w:rsid w:val="00EE68EA"/>
    <w:rsid w:val="00EE7F03"/>
    <w:rsid w:val="00EF0476"/>
    <w:rsid w:val="00EF20A8"/>
    <w:rsid w:val="00EF7098"/>
    <w:rsid w:val="00F00B6E"/>
    <w:rsid w:val="00F02388"/>
    <w:rsid w:val="00F035EC"/>
    <w:rsid w:val="00F15109"/>
    <w:rsid w:val="00F15505"/>
    <w:rsid w:val="00F156C5"/>
    <w:rsid w:val="00F16B1B"/>
    <w:rsid w:val="00F27BE7"/>
    <w:rsid w:val="00F309EA"/>
    <w:rsid w:val="00F33EAE"/>
    <w:rsid w:val="00F350BA"/>
    <w:rsid w:val="00F413FA"/>
    <w:rsid w:val="00F45E35"/>
    <w:rsid w:val="00F46BC6"/>
    <w:rsid w:val="00F51A28"/>
    <w:rsid w:val="00F52571"/>
    <w:rsid w:val="00F531F6"/>
    <w:rsid w:val="00F6227E"/>
    <w:rsid w:val="00F6644E"/>
    <w:rsid w:val="00F702A2"/>
    <w:rsid w:val="00F71B34"/>
    <w:rsid w:val="00F72487"/>
    <w:rsid w:val="00F73CC0"/>
    <w:rsid w:val="00F73CE0"/>
    <w:rsid w:val="00F74E44"/>
    <w:rsid w:val="00F81193"/>
    <w:rsid w:val="00F8440D"/>
    <w:rsid w:val="00F84453"/>
    <w:rsid w:val="00F8488F"/>
    <w:rsid w:val="00F86509"/>
    <w:rsid w:val="00F86829"/>
    <w:rsid w:val="00F919AB"/>
    <w:rsid w:val="00F92798"/>
    <w:rsid w:val="00F93711"/>
    <w:rsid w:val="00F94DB5"/>
    <w:rsid w:val="00F94E72"/>
    <w:rsid w:val="00F975DF"/>
    <w:rsid w:val="00FA002B"/>
    <w:rsid w:val="00FA0965"/>
    <w:rsid w:val="00FA0EC9"/>
    <w:rsid w:val="00FA23F2"/>
    <w:rsid w:val="00FA3122"/>
    <w:rsid w:val="00FA7FF8"/>
    <w:rsid w:val="00FB1CC5"/>
    <w:rsid w:val="00FB38FA"/>
    <w:rsid w:val="00FB5956"/>
    <w:rsid w:val="00FB7C46"/>
    <w:rsid w:val="00FC0C9F"/>
    <w:rsid w:val="00FC60F7"/>
    <w:rsid w:val="00FC7BD0"/>
    <w:rsid w:val="00FD3CED"/>
    <w:rsid w:val="00FD458E"/>
    <w:rsid w:val="00FD66AF"/>
    <w:rsid w:val="00FE5520"/>
    <w:rsid w:val="00FF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4D"/>
    <w:pPr>
      <w:spacing w:after="200" w:line="276" w:lineRule="auto"/>
    </w:pPr>
    <w:rPr>
      <w:sz w:val="22"/>
      <w:szCs w:val="22"/>
      <w:lang w:eastAsia="en-US"/>
    </w:rPr>
  </w:style>
  <w:style w:type="paragraph" w:styleId="2">
    <w:name w:val="heading 2"/>
    <w:basedOn w:val="a"/>
    <w:next w:val="a"/>
    <w:link w:val="20"/>
    <w:uiPriority w:val="9"/>
    <w:qFormat/>
    <w:rsid w:val="00015DF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2C06"/>
  </w:style>
  <w:style w:type="table" w:styleId="a3">
    <w:name w:val="Table Grid"/>
    <w:basedOn w:val="a1"/>
    <w:rsid w:val="007C2C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C2C0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7C2C06"/>
    <w:rPr>
      <w:b/>
      <w:bCs/>
    </w:rPr>
  </w:style>
  <w:style w:type="paragraph" w:styleId="a6">
    <w:name w:val="Body Text Indent"/>
    <w:aliases w:val="Основной текст с отступом Знак1,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 Знак Знак Знак"/>
    <w:basedOn w:val="a"/>
    <w:link w:val="a7"/>
    <w:rsid w:val="007C2C06"/>
    <w:pPr>
      <w:spacing w:after="0" w:line="360" w:lineRule="auto"/>
      <w:ind w:firstLine="720"/>
      <w:jc w:val="both"/>
    </w:pPr>
    <w:rPr>
      <w:rFonts w:ascii="Times New Roman" w:eastAsia="MS Mincho" w:hAnsi="Times New Roman"/>
      <w:sz w:val="28"/>
      <w:szCs w:val="24"/>
      <w:lang w:eastAsia="ru-RU"/>
    </w:rPr>
  </w:style>
  <w:style w:type="character" w:customStyle="1" w:styleId="a7">
    <w:name w:val="Основной текст с отступом Знак"/>
    <w:aliases w:val="Основной текст с отступом Знак1 Знак,Основной текст с отступом Знак Знак Знак,Основной текст с отступом Знак2 Знак Знак Знак,Основной текст с отступом Знак1 Знак Знак Знак Знак"/>
    <w:link w:val="a6"/>
    <w:rsid w:val="007C2C06"/>
    <w:rPr>
      <w:rFonts w:ascii="Times New Roman" w:eastAsia="MS Mincho" w:hAnsi="Times New Roman"/>
      <w:sz w:val="28"/>
      <w:szCs w:val="24"/>
    </w:rPr>
  </w:style>
  <w:style w:type="paragraph" w:styleId="a8">
    <w:name w:val="header"/>
    <w:basedOn w:val="a"/>
    <w:link w:val="a9"/>
    <w:uiPriority w:val="99"/>
    <w:rsid w:val="007C2C06"/>
    <w:pPr>
      <w:tabs>
        <w:tab w:val="center" w:pos="4677"/>
        <w:tab w:val="right" w:pos="9355"/>
      </w:tabs>
      <w:spacing w:after="0" w:line="360" w:lineRule="auto"/>
      <w:jc w:val="both"/>
    </w:pPr>
    <w:rPr>
      <w:rFonts w:ascii="Times New Roman" w:eastAsia="Times New Roman" w:hAnsi="Times New Roman"/>
      <w:sz w:val="24"/>
      <w:szCs w:val="24"/>
      <w:lang w:eastAsia="ru-RU"/>
    </w:rPr>
  </w:style>
  <w:style w:type="character" w:customStyle="1" w:styleId="a9">
    <w:name w:val="Верхний колонтитул Знак"/>
    <w:link w:val="a8"/>
    <w:uiPriority w:val="99"/>
    <w:rsid w:val="007C2C06"/>
    <w:rPr>
      <w:rFonts w:ascii="Times New Roman" w:eastAsia="Times New Roman" w:hAnsi="Times New Roman"/>
      <w:sz w:val="24"/>
      <w:szCs w:val="24"/>
    </w:rPr>
  </w:style>
  <w:style w:type="paragraph" w:styleId="aa">
    <w:name w:val="footer"/>
    <w:basedOn w:val="a"/>
    <w:link w:val="ab"/>
    <w:uiPriority w:val="99"/>
    <w:rsid w:val="007C2C06"/>
    <w:pPr>
      <w:tabs>
        <w:tab w:val="center" w:pos="4677"/>
        <w:tab w:val="right" w:pos="9355"/>
      </w:tabs>
      <w:spacing w:after="0" w:line="360" w:lineRule="auto"/>
      <w:jc w:val="both"/>
    </w:pPr>
    <w:rPr>
      <w:rFonts w:ascii="Times New Roman" w:eastAsia="Times New Roman" w:hAnsi="Times New Roman"/>
      <w:sz w:val="24"/>
      <w:szCs w:val="24"/>
      <w:lang w:eastAsia="ru-RU"/>
    </w:rPr>
  </w:style>
  <w:style w:type="character" w:customStyle="1" w:styleId="ab">
    <w:name w:val="Нижний колонтитул Знак"/>
    <w:link w:val="aa"/>
    <w:uiPriority w:val="99"/>
    <w:rsid w:val="007C2C06"/>
    <w:rPr>
      <w:rFonts w:ascii="Times New Roman" w:eastAsia="Times New Roman" w:hAnsi="Times New Roman"/>
      <w:sz w:val="24"/>
      <w:szCs w:val="24"/>
    </w:rPr>
  </w:style>
  <w:style w:type="character" w:styleId="ac">
    <w:name w:val="line number"/>
    <w:rsid w:val="007C2C06"/>
  </w:style>
  <w:style w:type="paragraph" w:styleId="21">
    <w:name w:val="Body Text Indent 2"/>
    <w:basedOn w:val="a"/>
    <w:link w:val="22"/>
    <w:rsid w:val="007C2C06"/>
    <w:pPr>
      <w:spacing w:after="120" w:line="480" w:lineRule="auto"/>
      <w:ind w:left="283"/>
      <w:jc w:val="both"/>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7C2C06"/>
    <w:rPr>
      <w:rFonts w:ascii="Times New Roman" w:eastAsia="Times New Roman" w:hAnsi="Times New Roman"/>
      <w:sz w:val="24"/>
      <w:szCs w:val="24"/>
    </w:rPr>
  </w:style>
  <w:style w:type="character" w:customStyle="1" w:styleId="citation">
    <w:name w:val="citation"/>
    <w:rsid w:val="007C2C06"/>
  </w:style>
  <w:style w:type="character" w:customStyle="1" w:styleId="ref-journal1">
    <w:name w:val="ref-journal1"/>
    <w:rsid w:val="007C2C06"/>
    <w:rPr>
      <w:i/>
      <w:iCs/>
    </w:rPr>
  </w:style>
  <w:style w:type="character" w:customStyle="1" w:styleId="ref-vol1">
    <w:name w:val="ref-vol1"/>
    <w:rsid w:val="007C2C06"/>
    <w:rPr>
      <w:b/>
      <w:bCs/>
    </w:rPr>
  </w:style>
  <w:style w:type="paragraph" w:customStyle="1" w:styleId="NumberListInclusion">
    <w:name w:val="Number List Inclusion"/>
    <w:basedOn w:val="a"/>
    <w:rsid w:val="007C2C06"/>
    <w:pPr>
      <w:tabs>
        <w:tab w:val="num" w:pos="720"/>
      </w:tabs>
      <w:spacing w:before="240" w:after="0" w:line="240" w:lineRule="auto"/>
      <w:ind w:left="720" w:hanging="357"/>
    </w:pPr>
    <w:rPr>
      <w:rFonts w:ascii="Times New Roman" w:eastAsia="MS Mincho" w:hAnsi="Times New Roman"/>
      <w:color w:val="000000"/>
      <w:sz w:val="24"/>
      <w:szCs w:val="24"/>
      <w:lang w:val="en-US"/>
    </w:rPr>
  </w:style>
  <w:style w:type="paragraph" w:styleId="ad">
    <w:name w:val="List Paragraph"/>
    <w:basedOn w:val="a"/>
    <w:uiPriority w:val="34"/>
    <w:qFormat/>
    <w:rsid w:val="00760D51"/>
    <w:pPr>
      <w:ind w:left="708"/>
    </w:pPr>
  </w:style>
  <w:style w:type="paragraph" w:styleId="ae">
    <w:name w:val="Balloon Text"/>
    <w:basedOn w:val="a"/>
    <w:link w:val="af"/>
    <w:unhideWhenUsed/>
    <w:rsid w:val="003F2D8F"/>
    <w:pPr>
      <w:spacing w:after="0" w:line="240" w:lineRule="auto"/>
    </w:pPr>
    <w:rPr>
      <w:rFonts w:ascii="Tahoma" w:hAnsi="Tahoma" w:cs="Tahoma"/>
      <w:sz w:val="16"/>
      <w:szCs w:val="16"/>
    </w:rPr>
  </w:style>
  <w:style w:type="character" w:customStyle="1" w:styleId="af">
    <w:name w:val="Текст выноски Знак"/>
    <w:link w:val="ae"/>
    <w:rsid w:val="003F2D8F"/>
    <w:rPr>
      <w:rFonts w:ascii="Tahoma" w:hAnsi="Tahoma" w:cs="Tahoma"/>
      <w:sz w:val="16"/>
      <w:szCs w:val="16"/>
      <w:lang w:eastAsia="en-US"/>
    </w:rPr>
  </w:style>
  <w:style w:type="numbering" w:customStyle="1" w:styleId="23">
    <w:name w:val="Нет списка2"/>
    <w:next w:val="a2"/>
    <w:uiPriority w:val="99"/>
    <w:semiHidden/>
    <w:rsid w:val="00B20BA4"/>
  </w:style>
  <w:style w:type="character" w:styleId="af0">
    <w:name w:val="Hyperlink"/>
    <w:uiPriority w:val="99"/>
    <w:unhideWhenUsed/>
    <w:rsid w:val="00A00CB4"/>
    <w:rPr>
      <w:color w:val="3E4244"/>
      <w:u w:val="single"/>
    </w:rPr>
  </w:style>
  <w:style w:type="paragraph" w:customStyle="1" w:styleId="Pa31">
    <w:name w:val="Pa31"/>
    <w:basedOn w:val="a"/>
    <w:next w:val="a"/>
    <w:uiPriority w:val="99"/>
    <w:rsid w:val="003E24DD"/>
    <w:pPr>
      <w:autoSpaceDE w:val="0"/>
      <w:autoSpaceDN w:val="0"/>
      <w:adjustRightInd w:val="0"/>
      <w:spacing w:after="0" w:line="197" w:lineRule="atLeast"/>
    </w:pPr>
    <w:rPr>
      <w:rFonts w:ascii="Times New Roman" w:hAnsi="Times New Roman"/>
      <w:sz w:val="24"/>
      <w:szCs w:val="24"/>
      <w:lang w:eastAsia="ru-RU"/>
    </w:rPr>
  </w:style>
  <w:style w:type="character" w:customStyle="1" w:styleId="20">
    <w:name w:val="Заголовок 2 Знак"/>
    <w:link w:val="2"/>
    <w:uiPriority w:val="9"/>
    <w:rsid w:val="00015DFE"/>
    <w:rPr>
      <w:rFonts w:ascii="Cambria" w:eastAsia="Times New Roman" w:hAnsi="Cambria" w:cs="Times New Roman"/>
      <w:b/>
      <w:bCs/>
      <w:color w:val="4F81BD"/>
      <w:sz w:val="26"/>
      <w:szCs w:val="26"/>
      <w:lang w:eastAsia="en-US"/>
    </w:rPr>
  </w:style>
  <w:style w:type="character" w:customStyle="1" w:styleId="hl1">
    <w:name w:val="hl1"/>
    <w:rsid w:val="00F81193"/>
    <w:rPr>
      <w:color w:val="4682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4D"/>
    <w:pPr>
      <w:spacing w:after="200" w:line="276" w:lineRule="auto"/>
    </w:pPr>
    <w:rPr>
      <w:sz w:val="22"/>
      <w:szCs w:val="22"/>
      <w:lang w:eastAsia="en-US"/>
    </w:rPr>
  </w:style>
  <w:style w:type="paragraph" w:styleId="2">
    <w:name w:val="heading 2"/>
    <w:basedOn w:val="a"/>
    <w:next w:val="a"/>
    <w:link w:val="20"/>
    <w:uiPriority w:val="9"/>
    <w:qFormat/>
    <w:rsid w:val="00015DF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2C06"/>
  </w:style>
  <w:style w:type="table" w:styleId="a3">
    <w:name w:val="Table Grid"/>
    <w:basedOn w:val="a1"/>
    <w:rsid w:val="007C2C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C2C0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7C2C06"/>
    <w:rPr>
      <w:b/>
      <w:bCs/>
    </w:rPr>
  </w:style>
  <w:style w:type="paragraph" w:styleId="a6">
    <w:name w:val="Body Text Indent"/>
    <w:aliases w:val="Основной текст с отступом Знак1,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 Знак Знак Знак"/>
    <w:basedOn w:val="a"/>
    <w:link w:val="a7"/>
    <w:rsid w:val="007C2C06"/>
    <w:pPr>
      <w:spacing w:after="0" w:line="360" w:lineRule="auto"/>
      <w:ind w:firstLine="720"/>
      <w:jc w:val="both"/>
    </w:pPr>
    <w:rPr>
      <w:rFonts w:ascii="Times New Roman" w:eastAsia="MS Mincho" w:hAnsi="Times New Roman"/>
      <w:sz w:val="28"/>
      <w:szCs w:val="24"/>
      <w:lang w:eastAsia="ru-RU"/>
    </w:rPr>
  </w:style>
  <w:style w:type="character" w:customStyle="1" w:styleId="a7">
    <w:name w:val="Основной текст с отступом Знак"/>
    <w:aliases w:val="Основной текст с отступом Знак1 Знак,Основной текст с отступом Знак Знак Знак,Основной текст с отступом Знак2 Знак Знак Знак,Основной текст с отступом Знак1 Знак Знак Знак Знак"/>
    <w:link w:val="a6"/>
    <w:rsid w:val="007C2C06"/>
    <w:rPr>
      <w:rFonts w:ascii="Times New Roman" w:eastAsia="MS Mincho" w:hAnsi="Times New Roman"/>
      <w:sz w:val="28"/>
      <w:szCs w:val="24"/>
    </w:rPr>
  </w:style>
  <w:style w:type="paragraph" w:styleId="a8">
    <w:name w:val="header"/>
    <w:basedOn w:val="a"/>
    <w:link w:val="a9"/>
    <w:uiPriority w:val="99"/>
    <w:rsid w:val="007C2C06"/>
    <w:pPr>
      <w:tabs>
        <w:tab w:val="center" w:pos="4677"/>
        <w:tab w:val="right" w:pos="9355"/>
      </w:tabs>
      <w:spacing w:after="0" w:line="360" w:lineRule="auto"/>
      <w:jc w:val="both"/>
    </w:pPr>
    <w:rPr>
      <w:rFonts w:ascii="Times New Roman" w:eastAsia="Times New Roman" w:hAnsi="Times New Roman"/>
      <w:sz w:val="24"/>
      <w:szCs w:val="24"/>
      <w:lang w:eastAsia="ru-RU"/>
    </w:rPr>
  </w:style>
  <w:style w:type="character" w:customStyle="1" w:styleId="a9">
    <w:name w:val="Верхний колонтитул Знак"/>
    <w:link w:val="a8"/>
    <w:uiPriority w:val="99"/>
    <w:rsid w:val="007C2C06"/>
    <w:rPr>
      <w:rFonts w:ascii="Times New Roman" w:eastAsia="Times New Roman" w:hAnsi="Times New Roman"/>
      <w:sz w:val="24"/>
      <w:szCs w:val="24"/>
    </w:rPr>
  </w:style>
  <w:style w:type="paragraph" w:styleId="aa">
    <w:name w:val="footer"/>
    <w:basedOn w:val="a"/>
    <w:link w:val="ab"/>
    <w:uiPriority w:val="99"/>
    <w:rsid w:val="007C2C06"/>
    <w:pPr>
      <w:tabs>
        <w:tab w:val="center" w:pos="4677"/>
        <w:tab w:val="right" w:pos="9355"/>
      </w:tabs>
      <w:spacing w:after="0" w:line="360" w:lineRule="auto"/>
      <w:jc w:val="both"/>
    </w:pPr>
    <w:rPr>
      <w:rFonts w:ascii="Times New Roman" w:eastAsia="Times New Roman" w:hAnsi="Times New Roman"/>
      <w:sz w:val="24"/>
      <w:szCs w:val="24"/>
      <w:lang w:eastAsia="ru-RU"/>
    </w:rPr>
  </w:style>
  <w:style w:type="character" w:customStyle="1" w:styleId="ab">
    <w:name w:val="Нижний колонтитул Знак"/>
    <w:link w:val="aa"/>
    <w:uiPriority w:val="99"/>
    <w:rsid w:val="007C2C06"/>
    <w:rPr>
      <w:rFonts w:ascii="Times New Roman" w:eastAsia="Times New Roman" w:hAnsi="Times New Roman"/>
      <w:sz w:val="24"/>
      <w:szCs w:val="24"/>
    </w:rPr>
  </w:style>
  <w:style w:type="character" w:styleId="ac">
    <w:name w:val="line number"/>
    <w:rsid w:val="007C2C06"/>
  </w:style>
  <w:style w:type="paragraph" w:styleId="21">
    <w:name w:val="Body Text Indent 2"/>
    <w:basedOn w:val="a"/>
    <w:link w:val="22"/>
    <w:rsid w:val="007C2C06"/>
    <w:pPr>
      <w:spacing w:after="120" w:line="480" w:lineRule="auto"/>
      <w:ind w:left="283"/>
      <w:jc w:val="both"/>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7C2C06"/>
    <w:rPr>
      <w:rFonts w:ascii="Times New Roman" w:eastAsia="Times New Roman" w:hAnsi="Times New Roman"/>
      <w:sz w:val="24"/>
      <w:szCs w:val="24"/>
    </w:rPr>
  </w:style>
  <w:style w:type="character" w:customStyle="1" w:styleId="citation">
    <w:name w:val="citation"/>
    <w:rsid w:val="007C2C06"/>
  </w:style>
  <w:style w:type="character" w:customStyle="1" w:styleId="ref-journal1">
    <w:name w:val="ref-journal1"/>
    <w:rsid w:val="007C2C06"/>
    <w:rPr>
      <w:i/>
      <w:iCs/>
    </w:rPr>
  </w:style>
  <w:style w:type="character" w:customStyle="1" w:styleId="ref-vol1">
    <w:name w:val="ref-vol1"/>
    <w:rsid w:val="007C2C06"/>
    <w:rPr>
      <w:b/>
      <w:bCs/>
    </w:rPr>
  </w:style>
  <w:style w:type="paragraph" w:customStyle="1" w:styleId="NumberListInclusion">
    <w:name w:val="Number List Inclusion"/>
    <w:basedOn w:val="a"/>
    <w:rsid w:val="007C2C06"/>
    <w:pPr>
      <w:tabs>
        <w:tab w:val="num" w:pos="720"/>
      </w:tabs>
      <w:spacing w:before="240" w:after="0" w:line="240" w:lineRule="auto"/>
      <w:ind w:left="720" w:hanging="357"/>
    </w:pPr>
    <w:rPr>
      <w:rFonts w:ascii="Times New Roman" w:eastAsia="MS Mincho" w:hAnsi="Times New Roman"/>
      <w:color w:val="000000"/>
      <w:sz w:val="24"/>
      <w:szCs w:val="24"/>
      <w:lang w:val="en-US"/>
    </w:rPr>
  </w:style>
  <w:style w:type="paragraph" w:styleId="ad">
    <w:name w:val="List Paragraph"/>
    <w:basedOn w:val="a"/>
    <w:uiPriority w:val="34"/>
    <w:qFormat/>
    <w:rsid w:val="00760D51"/>
    <w:pPr>
      <w:ind w:left="708"/>
    </w:pPr>
  </w:style>
  <w:style w:type="paragraph" w:styleId="ae">
    <w:name w:val="Balloon Text"/>
    <w:basedOn w:val="a"/>
    <w:link w:val="af"/>
    <w:unhideWhenUsed/>
    <w:rsid w:val="003F2D8F"/>
    <w:pPr>
      <w:spacing w:after="0" w:line="240" w:lineRule="auto"/>
    </w:pPr>
    <w:rPr>
      <w:rFonts w:ascii="Tahoma" w:hAnsi="Tahoma" w:cs="Tahoma"/>
      <w:sz w:val="16"/>
      <w:szCs w:val="16"/>
    </w:rPr>
  </w:style>
  <w:style w:type="character" w:customStyle="1" w:styleId="af">
    <w:name w:val="Текст выноски Знак"/>
    <w:link w:val="ae"/>
    <w:rsid w:val="003F2D8F"/>
    <w:rPr>
      <w:rFonts w:ascii="Tahoma" w:hAnsi="Tahoma" w:cs="Tahoma"/>
      <w:sz w:val="16"/>
      <w:szCs w:val="16"/>
      <w:lang w:eastAsia="en-US"/>
    </w:rPr>
  </w:style>
  <w:style w:type="numbering" w:customStyle="1" w:styleId="23">
    <w:name w:val="Нет списка2"/>
    <w:next w:val="a2"/>
    <w:uiPriority w:val="99"/>
    <w:semiHidden/>
    <w:rsid w:val="00B20BA4"/>
  </w:style>
  <w:style w:type="character" w:styleId="af0">
    <w:name w:val="Hyperlink"/>
    <w:uiPriority w:val="99"/>
    <w:unhideWhenUsed/>
    <w:rsid w:val="00A00CB4"/>
    <w:rPr>
      <w:color w:val="3E4244"/>
      <w:u w:val="single"/>
    </w:rPr>
  </w:style>
  <w:style w:type="paragraph" w:customStyle="1" w:styleId="Pa31">
    <w:name w:val="Pa31"/>
    <w:basedOn w:val="a"/>
    <w:next w:val="a"/>
    <w:uiPriority w:val="99"/>
    <w:rsid w:val="003E24DD"/>
    <w:pPr>
      <w:autoSpaceDE w:val="0"/>
      <w:autoSpaceDN w:val="0"/>
      <w:adjustRightInd w:val="0"/>
      <w:spacing w:after="0" w:line="197" w:lineRule="atLeast"/>
    </w:pPr>
    <w:rPr>
      <w:rFonts w:ascii="Times New Roman" w:hAnsi="Times New Roman"/>
      <w:sz w:val="24"/>
      <w:szCs w:val="24"/>
      <w:lang w:eastAsia="ru-RU"/>
    </w:rPr>
  </w:style>
  <w:style w:type="character" w:customStyle="1" w:styleId="20">
    <w:name w:val="Заголовок 2 Знак"/>
    <w:link w:val="2"/>
    <w:uiPriority w:val="9"/>
    <w:rsid w:val="00015DFE"/>
    <w:rPr>
      <w:rFonts w:ascii="Cambria" w:eastAsia="Times New Roman" w:hAnsi="Cambria" w:cs="Times New Roman"/>
      <w:b/>
      <w:bCs/>
      <w:color w:val="4F81BD"/>
      <w:sz w:val="26"/>
      <w:szCs w:val="26"/>
      <w:lang w:eastAsia="en-US"/>
    </w:rPr>
  </w:style>
  <w:style w:type="character" w:customStyle="1" w:styleId="hl1">
    <w:name w:val="hl1"/>
    <w:rsid w:val="00F81193"/>
    <w:rPr>
      <w:color w:val="4682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0522">
      <w:bodyDiv w:val="1"/>
      <w:marLeft w:val="0"/>
      <w:marRight w:val="0"/>
      <w:marTop w:val="0"/>
      <w:marBottom w:val="0"/>
      <w:divBdr>
        <w:top w:val="none" w:sz="0" w:space="0" w:color="auto"/>
        <w:left w:val="none" w:sz="0" w:space="0" w:color="auto"/>
        <w:bottom w:val="none" w:sz="0" w:space="0" w:color="auto"/>
        <w:right w:val="none" w:sz="0" w:space="0" w:color="auto"/>
      </w:divBdr>
      <w:divsChild>
        <w:div w:id="574052311">
          <w:marLeft w:val="0"/>
          <w:marRight w:val="0"/>
          <w:marTop w:val="0"/>
          <w:marBottom w:val="0"/>
          <w:divBdr>
            <w:top w:val="none" w:sz="0" w:space="0" w:color="auto"/>
            <w:left w:val="none" w:sz="0" w:space="0" w:color="auto"/>
            <w:bottom w:val="none" w:sz="0" w:space="0" w:color="auto"/>
            <w:right w:val="none" w:sz="0" w:space="0" w:color="auto"/>
          </w:divBdr>
          <w:divsChild>
            <w:div w:id="25524797">
              <w:marLeft w:val="0"/>
              <w:marRight w:val="0"/>
              <w:marTop w:val="0"/>
              <w:marBottom w:val="0"/>
              <w:divBdr>
                <w:top w:val="none" w:sz="0" w:space="0" w:color="auto"/>
                <w:left w:val="none" w:sz="0" w:space="0" w:color="auto"/>
                <w:bottom w:val="none" w:sz="0" w:space="0" w:color="auto"/>
                <w:right w:val="none" w:sz="0" w:space="0" w:color="auto"/>
              </w:divBdr>
              <w:divsChild>
                <w:div w:id="135100511">
                  <w:marLeft w:val="0"/>
                  <w:marRight w:val="0"/>
                  <w:marTop w:val="0"/>
                  <w:marBottom w:val="0"/>
                  <w:divBdr>
                    <w:top w:val="none" w:sz="0" w:space="0" w:color="auto"/>
                    <w:left w:val="none" w:sz="0" w:space="0" w:color="auto"/>
                    <w:bottom w:val="none" w:sz="0" w:space="0" w:color="auto"/>
                    <w:right w:val="none" w:sz="0" w:space="0" w:color="auto"/>
                  </w:divBdr>
                  <w:divsChild>
                    <w:div w:id="148328337">
                      <w:marLeft w:val="0"/>
                      <w:marRight w:val="0"/>
                      <w:marTop w:val="150"/>
                      <w:marBottom w:val="0"/>
                      <w:divBdr>
                        <w:top w:val="none" w:sz="0" w:space="0" w:color="auto"/>
                        <w:left w:val="none" w:sz="0" w:space="0" w:color="auto"/>
                        <w:bottom w:val="none" w:sz="0" w:space="0" w:color="auto"/>
                        <w:right w:val="none" w:sz="0" w:space="0" w:color="auto"/>
                      </w:divBdr>
                      <w:divsChild>
                        <w:div w:id="158815081">
                          <w:marLeft w:val="0"/>
                          <w:marRight w:val="225"/>
                          <w:marTop w:val="105"/>
                          <w:marBottom w:val="225"/>
                          <w:divBdr>
                            <w:top w:val="single" w:sz="12" w:space="0" w:color="003366"/>
                            <w:left w:val="none" w:sz="0" w:space="0" w:color="auto"/>
                            <w:bottom w:val="none" w:sz="0" w:space="0" w:color="auto"/>
                            <w:right w:val="none" w:sz="0" w:space="0" w:color="auto"/>
                          </w:divBdr>
                        </w:div>
                      </w:divsChild>
                    </w:div>
                  </w:divsChild>
                </w:div>
              </w:divsChild>
            </w:div>
          </w:divsChild>
        </w:div>
      </w:divsChild>
    </w:div>
    <w:div w:id="117113087">
      <w:bodyDiv w:val="1"/>
      <w:marLeft w:val="0"/>
      <w:marRight w:val="0"/>
      <w:marTop w:val="0"/>
      <w:marBottom w:val="0"/>
      <w:divBdr>
        <w:top w:val="none" w:sz="0" w:space="0" w:color="auto"/>
        <w:left w:val="none" w:sz="0" w:space="0" w:color="auto"/>
        <w:bottom w:val="none" w:sz="0" w:space="0" w:color="auto"/>
        <w:right w:val="none" w:sz="0" w:space="0" w:color="auto"/>
      </w:divBdr>
      <w:divsChild>
        <w:div w:id="332992765">
          <w:marLeft w:val="446"/>
          <w:marRight w:val="0"/>
          <w:marTop w:val="0"/>
          <w:marBottom w:val="0"/>
          <w:divBdr>
            <w:top w:val="none" w:sz="0" w:space="0" w:color="auto"/>
            <w:left w:val="none" w:sz="0" w:space="0" w:color="auto"/>
            <w:bottom w:val="none" w:sz="0" w:space="0" w:color="auto"/>
            <w:right w:val="none" w:sz="0" w:space="0" w:color="auto"/>
          </w:divBdr>
        </w:div>
        <w:div w:id="573971508">
          <w:marLeft w:val="446"/>
          <w:marRight w:val="0"/>
          <w:marTop w:val="0"/>
          <w:marBottom w:val="0"/>
          <w:divBdr>
            <w:top w:val="none" w:sz="0" w:space="0" w:color="auto"/>
            <w:left w:val="none" w:sz="0" w:space="0" w:color="auto"/>
            <w:bottom w:val="none" w:sz="0" w:space="0" w:color="auto"/>
            <w:right w:val="none" w:sz="0" w:space="0" w:color="auto"/>
          </w:divBdr>
        </w:div>
        <w:div w:id="1234657944">
          <w:marLeft w:val="446"/>
          <w:marRight w:val="0"/>
          <w:marTop w:val="0"/>
          <w:marBottom w:val="0"/>
          <w:divBdr>
            <w:top w:val="none" w:sz="0" w:space="0" w:color="auto"/>
            <w:left w:val="none" w:sz="0" w:space="0" w:color="auto"/>
            <w:bottom w:val="none" w:sz="0" w:space="0" w:color="auto"/>
            <w:right w:val="none" w:sz="0" w:space="0" w:color="auto"/>
          </w:divBdr>
        </w:div>
        <w:div w:id="1239369149">
          <w:marLeft w:val="446"/>
          <w:marRight w:val="0"/>
          <w:marTop w:val="0"/>
          <w:marBottom w:val="0"/>
          <w:divBdr>
            <w:top w:val="none" w:sz="0" w:space="0" w:color="auto"/>
            <w:left w:val="none" w:sz="0" w:space="0" w:color="auto"/>
            <w:bottom w:val="none" w:sz="0" w:space="0" w:color="auto"/>
            <w:right w:val="none" w:sz="0" w:space="0" w:color="auto"/>
          </w:divBdr>
        </w:div>
      </w:divsChild>
    </w:div>
    <w:div w:id="1486702292">
      <w:bodyDiv w:val="1"/>
      <w:marLeft w:val="0"/>
      <w:marRight w:val="0"/>
      <w:marTop w:val="0"/>
      <w:marBottom w:val="0"/>
      <w:divBdr>
        <w:top w:val="none" w:sz="0" w:space="0" w:color="auto"/>
        <w:left w:val="none" w:sz="0" w:space="0" w:color="auto"/>
        <w:bottom w:val="none" w:sz="0" w:space="0" w:color="auto"/>
        <w:right w:val="none" w:sz="0" w:space="0" w:color="auto"/>
      </w:divBdr>
      <w:divsChild>
        <w:div w:id="807864329">
          <w:marLeft w:val="0"/>
          <w:marRight w:val="0"/>
          <w:marTop w:val="0"/>
          <w:marBottom w:val="0"/>
          <w:divBdr>
            <w:top w:val="none" w:sz="0" w:space="0" w:color="auto"/>
            <w:left w:val="none" w:sz="0" w:space="0" w:color="auto"/>
            <w:bottom w:val="none" w:sz="0" w:space="0" w:color="auto"/>
            <w:right w:val="none" w:sz="0" w:space="0" w:color="auto"/>
          </w:divBdr>
          <w:divsChild>
            <w:div w:id="37241228">
              <w:marLeft w:val="75"/>
              <w:marRight w:val="75"/>
              <w:marTop w:val="75"/>
              <w:marBottom w:val="75"/>
              <w:divBdr>
                <w:top w:val="none" w:sz="0" w:space="0" w:color="auto"/>
                <w:left w:val="none" w:sz="0" w:space="0" w:color="auto"/>
                <w:bottom w:val="none" w:sz="0" w:space="0" w:color="auto"/>
                <w:right w:val="none" w:sz="0" w:space="0" w:color="auto"/>
              </w:divBdr>
              <w:divsChild>
                <w:div w:id="16345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2964">
      <w:bodyDiv w:val="1"/>
      <w:marLeft w:val="0"/>
      <w:marRight w:val="0"/>
      <w:marTop w:val="0"/>
      <w:marBottom w:val="0"/>
      <w:divBdr>
        <w:top w:val="none" w:sz="0" w:space="0" w:color="auto"/>
        <w:left w:val="none" w:sz="0" w:space="0" w:color="auto"/>
        <w:bottom w:val="none" w:sz="0" w:space="0" w:color="auto"/>
        <w:right w:val="none" w:sz="0" w:space="0" w:color="auto"/>
      </w:divBdr>
      <w:divsChild>
        <w:div w:id="780415732">
          <w:marLeft w:val="0"/>
          <w:marRight w:val="0"/>
          <w:marTop w:val="0"/>
          <w:marBottom w:val="0"/>
          <w:divBdr>
            <w:top w:val="none" w:sz="0" w:space="0" w:color="auto"/>
            <w:left w:val="none" w:sz="0" w:space="0" w:color="auto"/>
            <w:bottom w:val="none" w:sz="0" w:space="0" w:color="auto"/>
            <w:right w:val="none" w:sz="0" w:space="0" w:color="auto"/>
          </w:divBdr>
          <w:divsChild>
            <w:div w:id="1494376496">
              <w:marLeft w:val="0"/>
              <w:marRight w:val="0"/>
              <w:marTop w:val="0"/>
              <w:marBottom w:val="0"/>
              <w:divBdr>
                <w:top w:val="none" w:sz="0" w:space="0" w:color="auto"/>
                <w:left w:val="none" w:sz="0" w:space="0" w:color="auto"/>
                <w:bottom w:val="none" w:sz="0" w:space="0" w:color="auto"/>
                <w:right w:val="none" w:sz="0" w:space="0" w:color="auto"/>
              </w:divBdr>
              <w:divsChild>
                <w:div w:id="150949105">
                  <w:marLeft w:val="0"/>
                  <w:marRight w:val="0"/>
                  <w:marTop w:val="0"/>
                  <w:marBottom w:val="0"/>
                  <w:divBdr>
                    <w:top w:val="none" w:sz="0" w:space="0" w:color="auto"/>
                    <w:left w:val="none" w:sz="0" w:space="0" w:color="auto"/>
                    <w:bottom w:val="none" w:sz="0" w:space="0" w:color="auto"/>
                    <w:right w:val="none" w:sz="0" w:space="0" w:color="auto"/>
                  </w:divBdr>
                  <w:divsChild>
                    <w:div w:id="1238516144">
                      <w:marLeft w:val="0"/>
                      <w:marRight w:val="0"/>
                      <w:marTop w:val="0"/>
                      <w:marBottom w:val="0"/>
                      <w:divBdr>
                        <w:top w:val="none" w:sz="0" w:space="0" w:color="auto"/>
                        <w:left w:val="none" w:sz="0" w:space="0" w:color="auto"/>
                        <w:bottom w:val="none" w:sz="0" w:space="0" w:color="auto"/>
                        <w:right w:val="none" w:sz="0" w:space="0" w:color="auto"/>
                      </w:divBdr>
                      <w:divsChild>
                        <w:div w:id="964316571">
                          <w:marLeft w:val="0"/>
                          <w:marRight w:val="0"/>
                          <w:marTop w:val="0"/>
                          <w:marBottom w:val="0"/>
                          <w:divBdr>
                            <w:top w:val="none" w:sz="0" w:space="0" w:color="auto"/>
                            <w:left w:val="none" w:sz="0" w:space="0" w:color="auto"/>
                            <w:bottom w:val="none" w:sz="0" w:space="0" w:color="auto"/>
                            <w:right w:val="none" w:sz="0" w:space="0" w:color="auto"/>
                          </w:divBdr>
                          <w:divsChild>
                            <w:div w:id="1077939406">
                              <w:marLeft w:val="0"/>
                              <w:marRight w:val="0"/>
                              <w:marTop w:val="0"/>
                              <w:marBottom w:val="0"/>
                              <w:divBdr>
                                <w:top w:val="none" w:sz="0" w:space="0" w:color="auto"/>
                                <w:left w:val="none" w:sz="0" w:space="0" w:color="auto"/>
                                <w:bottom w:val="none" w:sz="0" w:space="0" w:color="auto"/>
                                <w:right w:val="none" w:sz="0" w:space="0" w:color="auto"/>
                              </w:divBdr>
                              <w:divsChild>
                                <w:div w:id="1903365923">
                                  <w:marLeft w:val="0"/>
                                  <w:marRight w:val="0"/>
                                  <w:marTop w:val="0"/>
                                  <w:marBottom w:val="0"/>
                                  <w:divBdr>
                                    <w:top w:val="none" w:sz="0" w:space="0" w:color="auto"/>
                                    <w:left w:val="none" w:sz="0" w:space="0" w:color="auto"/>
                                    <w:bottom w:val="none" w:sz="0" w:space="0" w:color="auto"/>
                                    <w:right w:val="none" w:sz="0" w:space="0" w:color="auto"/>
                                  </w:divBdr>
                                  <w:divsChild>
                                    <w:div w:id="1138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756816">
      <w:bodyDiv w:val="1"/>
      <w:marLeft w:val="0"/>
      <w:marRight w:val="0"/>
      <w:marTop w:val="0"/>
      <w:marBottom w:val="0"/>
      <w:divBdr>
        <w:top w:val="none" w:sz="0" w:space="0" w:color="auto"/>
        <w:left w:val="none" w:sz="0" w:space="0" w:color="auto"/>
        <w:bottom w:val="none" w:sz="0" w:space="0" w:color="auto"/>
        <w:right w:val="none" w:sz="0" w:space="0" w:color="auto"/>
      </w:divBdr>
      <w:divsChild>
        <w:div w:id="1015157938">
          <w:marLeft w:val="0"/>
          <w:marRight w:val="0"/>
          <w:marTop w:val="0"/>
          <w:marBottom w:val="0"/>
          <w:divBdr>
            <w:top w:val="none" w:sz="0" w:space="0" w:color="auto"/>
            <w:left w:val="none" w:sz="0" w:space="0" w:color="auto"/>
            <w:bottom w:val="none" w:sz="0" w:space="0" w:color="auto"/>
            <w:right w:val="none" w:sz="0" w:space="0" w:color="auto"/>
          </w:divBdr>
          <w:divsChild>
            <w:div w:id="1852529318">
              <w:marLeft w:val="0"/>
              <w:marRight w:val="0"/>
              <w:marTop w:val="0"/>
              <w:marBottom w:val="0"/>
              <w:divBdr>
                <w:top w:val="none" w:sz="0" w:space="0" w:color="auto"/>
                <w:left w:val="none" w:sz="0" w:space="0" w:color="auto"/>
                <w:bottom w:val="none" w:sz="0" w:space="0" w:color="auto"/>
                <w:right w:val="none" w:sz="0" w:space="0" w:color="auto"/>
              </w:divBdr>
              <w:divsChild>
                <w:div w:id="1858885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9789349">
      <w:bodyDiv w:val="1"/>
      <w:marLeft w:val="0"/>
      <w:marRight w:val="0"/>
      <w:marTop w:val="0"/>
      <w:marBottom w:val="0"/>
      <w:divBdr>
        <w:top w:val="none" w:sz="0" w:space="0" w:color="auto"/>
        <w:left w:val="none" w:sz="0" w:space="0" w:color="auto"/>
        <w:bottom w:val="none" w:sz="0" w:space="0" w:color="auto"/>
        <w:right w:val="none" w:sz="0" w:space="0" w:color="auto"/>
      </w:divBdr>
      <w:divsChild>
        <w:div w:id="972517138">
          <w:marLeft w:val="0"/>
          <w:marRight w:val="0"/>
          <w:marTop w:val="0"/>
          <w:marBottom w:val="0"/>
          <w:divBdr>
            <w:top w:val="none" w:sz="0" w:space="0" w:color="auto"/>
            <w:left w:val="none" w:sz="0" w:space="0" w:color="auto"/>
            <w:bottom w:val="none" w:sz="0" w:space="0" w:color="auto"/>
            <w:right w:val="none" w:sz="0" w:space="0" w:color="auto"/>
          </w:divBdr>
          <w:divsChild>
            <w:div w:id="2093307431">
              <w:marLeft w:val="75"/>
              <w:marRight w:val="75"/>
              <w:marTop w:val="75"/>
              <w:marBottom w:val="75"/>
              <w:divBdr>
                <w:top w:val="none" w:sz="0" w:space="0" w:color="auto"/>
                <w:left w:val="none" w:sz="0" w:space="0" w:color="auto"/>
                <w:bottom w:val="none" w:sz="0" w:space="0" w:color="auto"/>
                <w:right w:val="none" w:sz="0" w:space="0" w:color="auto"/>
              </w:divBdr>
              <w:divsChild>
                <w:div w:id="1992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ncbi.nlm.nih.gov/pubmed?term=Boumans%20MJ%5BAuthor%5D&amp;cauthor=true&amp;cauthor_uid=22072013"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academic.research.microsoft.com/Author/47344875/gert-e-hein"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depthPercent val="100"/>
      <c:rAngAx val="1"/>
    </c:view3D>
    <c:floor>
      <c:thickness val="0"/>
    </c:floor>
    <c:sideWall>
      <c:thickness val="0"/>
    </c:sideWall>
    <c:backWall>
      <c:thickness val="0"/>
    </c:backWall>
    <c:plotArea>
      <c:layout>
        <c:manualLayout>
          <c:layoutTarget val="inner"/>
          <c:xMode val="edge"/>
          <c:yMode val="edge"/>
          <c:x val="5.8861274189492732E-2"/>
          <c:y val="2.6533875573245658E-2"/>
          <c:w val="0.83644945824079686"/>
          <c:h val="0.78223740244389983"/>
        </c:manualLayout>
      </c:layout>
      <c:bar3DChart>
        <c:barDir val="col"/>
        <c:grouping val="clustered"/>
        <c:varyColors val="0"/>
        <c:ser>
          <c:idx val="0"/>
          <c:order val="0"/>
          <c:tx>
            <c:strRef>
              <c:f>Лист1!$A$2</c:f>
              <c:strCache>
                <c:ptCount val="1"/>
                <c:pt idx="0">
                  <c:v>Группа 1</c:v>
                </c:pt>
              </c:strCache>
            </c:strRef>
          </c:tx>
          <c:spPr>
            <a:solidFill>
              <a:srgbClr val="1F497D">
                <a:lumMod val="20000"/>
                <a:lumOff val="80000"/>
              </a:srgbClr>
            </a:solidFill>
            <a:ln w="12700">
              <a:solidFill>
                <a:srgbClr val="1F497D">
                  <a:lumMod val="60000"/>
                  <a:lumOff val="40000"/>
                </a:srgbClr>
              </a:solidFill>
            </a:ln>
          </c:spPr>
          <c:invertIfNegative val="0"/>
          <c:dLbls>
            <c:dLbl>
              <c:idx val="0"/>
              <c:layout>
                <c:manualLayout>
                  <c:x val="1.0683760683760684E-2"/>
                  <c:y val="0.15011002398028897"/>
                </c:manualLayout>
              </c:layout>
              <c:tx>
                <c:rich>
                  <a:bodyPr/>
                  <a:lstStyle/>
                  <a:p>
                    <a:r>
                      <a:rPr lang="en-US"/>
                      <a:t>0,7</a:t>
                    </a:r>
                    <a:r>
                      <a:rPr lang="ru-RU"/>
                      <a:t>641</a:t>
                    </a:r>
                    <a:r>
                      <a:rPr lang="en-US">
                        <a:latin typeface="Times New Roman"/>
                        <a:cs typeface="Times New Roman"/>
                      </a:rPr>
                      <a:t>±</a:t>
                    </a:r>
                    <a:r>
                      <a:rPr lang="ru-RU">
                        <a:latin typeface="Times New Roman"/>
                        <a:cs typeface="Times New Roman"/>
                      </a:rPr>
                      <a:t>0,02</a:t>
                    </a:r>
                    <a:endParaRPr lang="en-US"/>
                  </a:p>
                </c:rich>
              </c:tx>
              <c:showLegendKey val="0"/>
              <c:showVal val="0"/>
              <c:showCatName val="0"/>
              <c:showSerName val="0"/>
              <c:showPercent val="0"/>
              <c:showBubbleSize val="0"/>
            </c:dLbl>
            <c:dLbl>
              <c:idx val="1"/>
              <c:layout>
                <c:manualLayout>
                  <c:x val="1.4957264957264958E-2"/>
                  <c:y val="0.20314995088705121"/>
                </c:manualLayout>
              </c:layout>
              <c:tx>
                <c:rich>
                  <a:bodyPr/>
                  <a:lstStyle/>
                  <a:p>
                    <a:r>
                      <a:rPr lang="en-US"/>
                      <a:t>0,9</a:t>
                    </a:r>
                    <a:r>
                      <a:rPr lang="ru-RU"/>
                      <a:t>560</a:t>
                    </a:r>
                    <a:r>
                      <a:rPr lang="en-US">
                        <a:latin typeface="Times New Roman"/>
                        <a:cs typeface="Times New Roman"/>
                      </a:rPr>
                      <a:t>±</a:t>
                    </a:r>
                    <a:r>
                      <a:rPr lang="ru-RU">
                        <a:latin typeface="Times New Roman"/>
                        <a:cs typeface="Times New Roman"/>
                      </a:rPr>
                      <a:t>0,03</a:t>
                    </a:r>
                    <a:endParaRPr lang="en-US"/>
                  </a:p>
                </c:rich>
              </c:tx>
              <c:showLegendKey val="0"/>
              <c:showVal val="0"/>
              <c:showCatName val="0"/>
              <c:showSerName val="0"/>
              <c:showPercent val="0"/>
              <c:showBubbleSize val="0"/>
            </c:dLbl>
            <c:spPr>
              <a:solidFill>
                <a:schemeClr val="bg1"/>
              </a:solidFill>
              <a:ln w="3174">
                <a:solidFill>
                  <a:schemeClr val="accent1"/>
                </a:solidFill>
              </a:ln>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Лист1!$B$1:$C$1</c:f>
              <c:strCache>
                <c:ptCount val="2"/>
                <c:pt idx="0">
                  <c:v>Шейка бедра</c:v>
                </c:pt>
                <c:pt idx="1">
                  <c:v>Поясничный отдел позвоночника</c:v>
                </c:pt>
              </c:strCache>
            </c:strRef>
          </c:cat>
          <c:val>
            <c:numRef>
              <c:f>Лист1!$B$2:$C$2</c:f>
              <c:numCache>
                <c:formatCode>General</c:formatCode>
                <c:ptCount val="2"/>
                <c:pt idx="0">
                  <c:v>0.7641</c:v>
                </c:pt>
                <c:pt idx="1">
                  <c:v>0.95599999999999996</c:v>
                </c:pt>
              </c:numCache>
            </c:numRef>
          </c:val>
        </c:ser>
        <c:ser>
          <c:idx val="1"/>
          <c:order val="1"/>
          <c:tx>
            <c:strRef>
              <c:f>Лист1!$A$3</c:f>
              <c:strCache>
                <c:ptCount val="1"/>
                <c:pt idx="0">
                  <c:v>Группа 2</c:v>
                </c:pt>
              </c:strCache>
            </c:strRef>
          </c:tx>
          <c:spPr>
            <a:solidFill>
              <a:srgbClr val="1F497D"/>
            </a:solidFill>
            <a:ln>
              <a:solidFill>
                <a:srgbClr val="1F497D"/>
              </a:solidFill>
            </a:ln>
          </c:spPr>
          <c:invertIfNegative val="0"/>
          <c:dLbls>
            <c:dLbl>
              <c:idx val="0"/>
              <c:layout>
                <c:manualLayout>
                  <c:x val="1.2820344572313076E-2"/>
                  <c:y val="0.23399542069767826"/>
                </c:manualLayout>
              </c:layout>
              <c:tx>
                <c:rich>
                  <a:bodyPr/>
                  <a:lstStyle/>
                  <a:p>
                    <a:r>
                      <a:rPr lang="en-US"/>
                      <a:t>0,7</a:t>
                    </a:r>
                    <a:r>
                      <a:rPr lang="ru-RU"/>
                      <a:t>894</a:t>
                    </a:r>
                    <a:r>
                      <a:rPr lang="en-US">
                        <a:latin typeface="Times New Roman"/>
                        <a:cs typeface="Times New Roman"/>
                      </a:rPr>
                      <a:t>±</a:t>
                    </a:r>
                    <a:r>
                      <a:rPr lang="ru-RU">
                        <a:latin typeface="Times New Roman"/>
                        <a:cs typeface="Times New Roman"/>
                      </a:rPr>
                      <a:t>0,02</a:t>
                    </a:r>
                    <a:endParaRPr lang="en-US"/>
                  </a:p>
                </c:rich>
              </c:tx>
              <c:showLegendKey val="0"/>
              <c:showVal val="0"/>
              <c:showCatName val="0"/>
              <c:showSerName val="0"/>
              <c:showPercent val="0"/>
              <c:showBubbleSize val="0"/>
            </c:dLbl>
            <c:dLbl>
              <c:idx val="1"/>
              <c:layout>
                <c:manualLayout>
                  <c:x val="1.4957264957264958E-2"/>
                  <c:y val="0.29586504639664607"/>
                </c:manualLayout>
              </c:layout>
              <c:tx>
                <c:rich>
                  <a:bodyPr/>
                  <a:lstStyle/>
                  <a:p>
                    <a:r>
                      <a:rPr lang="en-US"/>
                      <a:t>0,9</a:t>
                    </a:r>
                    <a:r>
                      <a:rPr lang="ru-RU"/>
                      <a:t>847</a:t>
                    </a:r>
                    <a:r>
                      <a:rPr lang="en-US">
                        <a:latin typeface="Times New Roman"/>
                        <a:cs typeface="Times New Roman"/>
                      </a:rPr>
                      <a:t>±</a:t>
                    </a:r>
                    <a:r>
                      <a:rPr lang="ru-RU">
                        <a:latin typeface="Times New Roman"/>
                        <a:cs typeface="Times New Roman"/>
                      </a:rPr>
                      <a:t>0,02</a:t>
                    </a:r>
                    <a:endParaRPr lang="en-US"/>
                  </a:p>
                </c:rich>
              </c:tx>
              <c:showLegendKey val="0"/>
              <c:showVal val="0"/>
              <c:showCatName val="0"/>
              <c:showSerName val="0"/>
              <c:showPercent val="0"/>
              <c:showBubbleSize val="0"/>
            </c:dLbl>
            <c:spPr>
              <a:solidFill>
                <a:schemeClr val="bg1"/>
              </a:solidFill>
              <a:ln w="3174">
                <a:solidFill>
                  <a:schemeClr val="accent1"/>
                </a:solidFill>
              </a:ln>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Лист1!$B$1:$C$1</c:f>
              <c:strCache>
                <c:ptCount val="2"/>
                <c:pt idx="0">
                  <c:v>Шейка бедра</c:v>
                </c:pt>
                <c:pt idx="1">
                  <c:v>Поясничный отдел позвоночника</c:v>
                </c:pt>
              </c:strCache>
            </c:strRef>
          </c:cat>
          <c:val>
            <c:numRef>
              <c:f>Лист1!$B$3:$C$3</c:f>
              <c:numCache>
                <c:formatCode>General</c:formatCode>
                <c:ptCount val="2"/>
                <c:pt idx="0">
                  <c:v>0.78939999999999999</c:v>
                </c:pt>
                <c:pt idx="1">
                  <c:v>0.98480000000000001</c:v>
                </c:pt>
              </c:numCache>
            </c:numRef>
          </c:val>
        </c:ser>
        <c:dLbls>
          <c:showLegendKey val="0"/>
          <c:showVal val="0"/>
          <c:showCatName val="0"/>
          <c:showSerName val="0"/>
          <c:showPercent val="0"/>
          <c:showBubbleSize val="0"/>
        </c:dLbls>
        <c:gapWidth val="62"/>
        <c:gapDepth val="86"/>
        <c:shape val="cylinder"/>
        <c:axId val="173305856"/>
        <c:axId val="173307392"/>
        <c:axId val="0"/>
      </c:bar3DChart>
      <c:catAx>
        <c:axId val="173305856"/>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73307392"/>
        <c:crosses val="autoZero"/>
        <c:auto val="1"/>
        <c:lblAlgn val="ctr"/>
        <c:lblOffset val="100"/>
        <c:noMultiLvlLbl val="0"/>
      </c:catAx>
      <c:valAx>
        <c:axId val="173307392"/>
        <c:scaling>
          <c:orientation val="minMax"/>
        </c:scaling>
        <c:delete val="0"/>
        <c:axPos val="l"/>
        <c:majorGridlines/>
        <c:numFmt formatCode="General" sourceLinked="1"/>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73305856"/>
        <c:crosses val="autoZero"/>
        <c:crossBetween val="between"/>
        <c:majorUnit val="0.5"/>
      </c:valAx>
      <c:spPr>
        <a:noFill/>
        <a:ln w="25368">
          <a:noFill/>
        </a:ln>
      </c:spPr>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6436938388178454E-2"/>
          <c:y val="4.4057617797775277E-2"/>
          <c:w val="0.94356300324350939"/>
          <c:h val="0.67254280714910641"/>
        </c:manualLayout>
      </c:layout>
      <c:bar3DChart>
        <c:barDir val="col"/>
        <c:grouping val="clustered"/>
        <c:varyColors val="0"/>
        <c:ser>
          <c:idx val="0"/>
          <c:order val="0"/>
          <c:tx>
            <c:strRef>
              <c:f>Лист1!$B$1</c:f>
              <c:strCache>
                <c:ptCount val="1"/>
                <c:pt idx="0">
                  <c:v>Хороший эффект</c:v>
                </c:pt>
              </c:strCache>
            </c:strRef>
          </c:tx>
          <c:spPr>
            <a:pattFill prst="pct10">
              <a:fgClr>
                <a:srgbClr val="1F497D"/>
              </a:fgClr>
              <a:bgClr>
                <a:sysClr val="window" lastClr="FFFFFF"/>
              </a:bgClr>
            </a:pattFill>
            <a:ln w="3175">
              <a:solidFill>
                <a:srgbClr val="1F497D"/>
              </a:solidFill>
            </a:ln>
          </c:spPr>
          <c:invertIfNegative val="0"/>
          <c:dLbls>
            <c:dLbl>
              <c:idx val="0"/>
              <c:layout>
                <c:manualLayout>
                  <c:x val="2.1244186703949378E-3"/>
                  <c:y val="0.25793650793650796"/>
                </c:manualLayout>
              </c:layout>
              <c:tx>
                <c:rich>
                  <a:bodyPr/>
                  <a:lstStyle/>
                  <a:p>
                    <a:r>
                      <a:rPr lang="ru-RU"/>
                      <a:t>38,6</a:t>
                    </a:r>
                    <a:endParaRPr lang="en-US"/>
                  </a:p>
                </c:rich>
              </c:tx>
              <c:showLegendKey val="0"/>
              <c:showVal val="0"/>
              <c:showCatName val="0"/>
              <c:showSerName val="0"/>
              <c:showPercent val="0"/>
              <c:showBubbleSize val="0"/>
            </c:dLbl>
            <c:dLbl>
              <c:idx val="1"/>
              <c:layout>
                <c:manualLayout>
                  <c:x val="-6.3732560111848134E-3"/>
                  <c:y val="0.18253968253968253"/>
                </c:manualLayout>
              </c:layout>
              <c:showLegendKey val="0"/>
              <c:showVal val="1"/>
              <c:showCatName val="0"/>
              <c:showSerName val="0"/>
              <c:showPercent val="0"/>
              <c:showBubbleSize val="0"/>
            </c:dLbl>
            <c:dLbl>
              <c:idx val="2"/>
              <c:layout>
                <c:manualLayout>
                  <c:x val="-4.2488373407898756E-3"/>
                  <c:y val="0.15476190476190477"/>
                </c:manualLayout>
              </c:layout>
              <c:tx>
                <c:rich>
                  <a:bodyPr/>
                  <a:lstStyle/>
                  <a:p>
                    <a:r>
                      <a:rPr lang="ru-RU"/>
                      <a:t>34,1</a:t>
                    </a:r>
                    <a:endParaRPr lang="en-US"/>
                  </a:p>
                </c:rich>
              </c:tx>
              <c:showLegendKey val="0"/>
              <c:showVal val="0"/>
              <c:showCatName val="0"/>
              <c:showSerName val="0"/>
              <c:showPercent val="0"/>
              <c:showBubbleSize val="0"/>
            </c:dLbl>
            <c:dLbl>
              <c:idx val="3"/>
              <c:layout>
                <c:manualLayout>
                  <c:x val="0"/>
                  <c:y val="0.15476190476190477"/>
                </c:manualLayout>
              </c:layout>
              <c:tx>
                <c:rich>
                  <a:bodyPr/>
                  <a:lstStyle/>
                  <a:p>
                    <a:r>
                      <a:rPr lang="en-US"/>
                      <a:t>25</a:t>
                    </a:r>
                    <a:r>
                      <a:rPr lang="ru-RU"/>
                      <a:t>,0</a:t>
                    </a:r>
                    <a:endParaRPr lang="en-US"/>
                  </a:p>
                </c:rich>
              </c:tx>
              <c:showLegendKey val="0"/>
              <c:showVal val="1"/>
              <c:showCatName val="0"/>
              <c:showSerName val="0"/>
              <c:showPercent val="0"/>
              <c:showBubbleSize val="0"/>
            </c:dLbl>
            <c:spPr>
              <a:solidFill>
                <a:sysClr val="window" lastClr="FFFFFF"/>
              </a:solidFill>
            </c:spPr>
            <c:txPr>
              <a:bodyPr/>
              <a:lstStyle/>
              <a:p>
                <a:pPr>
                  <a:defRPr sz="1199" b="1"/>
                </a:pPr>
                <a:endParaRPr lang="ru-RU"/>
              </a:p>
            </c:txPr>
            <c:showLegendKey val="0"/>
            <c:showVal val="1"/>
            <c:showCatName val="0"/>
            <c:showSerName val="0"/>
            <c:showPercent val="0"/>
            <c:showBubbleSize val="0"/>
            <c:showLeaderLines val="0"/>
          </c:dLbls>
          <c:cat>
            <c:strRef>
              <c:f>Лист1!$A$2:$A$5</c:f>
              <c:strCache>
                <c:ptCount val="4"/>
                <c:pt idx="0">
                  <c:v>Через 12 месяцев</c:v>
                </c:pt>
                <c:pt idx="1">
                  <c:v>Через 24 месяца</c:v>
                </c:pt>
                <c:pt idx="2">
                  <c:v>Через 36 месяцев</c:v>
                </c:pt>
                <c:pt idx="3">
                  <c:v>Через 48 месяцев</c:v>
                </c:pt>
              </c:strCache>
            </c:strRef>
          </c:cat>
          <c:val>
            <c:numRef>
              <c:f>Лист1!$B$2:$B$5</c:f>
              <c:numCache>
                <c:formatCode>General</c:formatCode>
                <c:ptCount val="4"/>
                <c:pt idx="0">
                  <c:v>38.6</c:v>
                </c:pt>
                <c:pt idx="1">
                  <c:v>40.9</c:v>
                </c:pt>
                <c:pt idx="2">
                  <c:v>34.1</c:v>
                </c:pt>
                <c:pt idx="3">
                  <c:v>25</c:v>
                </c:pt>
              </c:numCache>
            </c:numRef>
          </c:val>
        </c:ser>
        <c:ser>
          <c:idx val="1"/>
          <c:order val="1"/>
          <c:tx>
            <c:strRef>
              <c:f>Лист1!$C$1</c:f>
              <c:strCache>
                <c:ptCount val="1"/>
                <c:pt idx="0">
                  <c:v>Удовлетворительный эффект</c:v>
                </c:pt>
              </c:strCache>
            </c:strRef>
          </c:tx>
          <c:spPr>
            <a:pattFill prst="wdUpDiag">
              <a:fgClr>
                <a:srgbClr val="1F497D"/>
              </a:fgClr>
              <a:bgClr>
                <a:sysClr val="window" lastClr="FFFFFF"/>
              </a:bgClr>
            </a:pattFill>
            <a:ln>
              <a:solidFill>
                <a:srgbClr val="1F497D"/>
              </a:solidFill>
            </a:ln>
          </c:spPr>
          <c:invertIfNegative val="0"/>
          <c:dPt>
            <c:idx val="0"/>
            <c:invertIfNegative val="0"/>
            <c:bubble3D val="0"/>
            <c:spPr>
              <a:pattFill prst="wdUpDiag">
                <a:fgClr>
                  <a:srgbClr val="1F497D"/>
                </a:fgClr>
                <a:bgClr>
                  <a:sysClr val="window" lastClr="FFFFFF"/>
                </a:bgClr>
              </a:pattFill>
              <a:ln w="3175">
                <a:solidFill>
                  <a:srgbClr val="1F497D"/>
                </a:solidFill>
              </a:ln>
            </c:spPr>
          </c:dPt>
          <c:dLbls>
            <c:dLbl>
              <c:idx val="0"/>
              <c:layout>
                <c:manualLayout>
                  <c:x val="-4.2120920885791975E-3"/>
                  <c:y val="9.9206425875016324E-2"/>
                </c:manualLayout>
              </c:layout>
              <c:tx>
                <c:rich>
                  <a:bodyPr/>
                  <a:lstStyle/>
                  <a:p>
                    <a:r>
                      <a:rPr lang="ru-RU"/>
                      <a:t>50,0</a:t>
                    </a:r>
                    <a:endParaRPr lang="en-US"/>
                  </a:p>
                </c:rich>
              </c:tx>
              <c:showLegendKey val="0"/>
              <c:showVal val="0"/>
              <c:showCatName val="0"/>
              <c:showSerName val="0"/>
              <c:showPercent val="0"/>
              <c:showBubbleSize val="0"/>
            </c:dLbl>
            <c:dLbl>
              <c:idx val="1"/>
              <c:layout>
                <c:manualLayout>
                  <c:x val="2.1244186703949378E-3"/>
                  <c:y val="0.12698412698412698"/>
                </c:manualLayout>
              </c:layout>
              <c:tx>
                <c:rich>
                  <a:bodyPr/>
                  <a:lstStyle/>
                  <a:p>
                    <a:r>
                      <a:rPr lang="en-US"/>
                      <a:t>4</a:t>
                    </a:r>
                    <a:r>
                      <a:rPr lang="ru-RU"/>
                      <a:t>7,7</a:t>
                    </a:r>
                    <a:endParaRPr lang="en-US"/>
                  </a:p>
                </c:rich>
              </c:tx>
              <c:showLegendKey val="0"/>
              <c:showVal val="0"/>
              <c:showCatName val="0"/>
              <c:showSerName val="0"/>
              <c:showPercent val="0"/>
              <c:showBubbleSize val="0"/>
            </c:dLbl>
            <c:dLbl>
              <c:idx val="2"/>
              <c:layout>
                <c:manualLayout>
                  <c:x val="4.2488373407898756E-3"/>
                  <c:y val="0.11507936507936507"/>
                </c:manualLayout>
              </c:layout>
              <c:showLegendKey val="0"/>
              <c:showVal val="1"/>
              <c:showCatName val="0"/>
              <c:showSerName val="0"/>
              <c:showPercent val="0"/>
              <c:showBubbleSize val="0"/>
            </c:dLbl>
            <c:dLbl>
              <c:idx val="3"/>
              <c:layout>
                <c:manualLayout>
                  <c:x val="-2.1244186703949378E-3"/>
                  <c:y val="0.10714285714285714"/>
                </c:manualLayout>
              </c:layout>
              <c:showLegendKey val="0"/>
              <c:showVal val="1"/>
              <c:showCatName val="0"/>
              <c:showSerName val="0"/>
              <c:showPercent val="0"/>
              <c:showBubbleSize val="0"/>
            </c:dLbl>
            <c:spPr>
              <a:solidFill>
                <a:sysClr val="window" lastClr="FFFFFF"/>
              </a:solidFill>
            </c:spPr>
            <c:txPr>
              <a:bodyPr/>
              <a:lstStyle/>
              <a:p>
                <a:pPr>
                  <a:defRPr sz="1199" b="1"/>
                </a:pPr>
                <a:endParaRPr lang="ru-RU"/>
              </a:p>
            </c:txPr>
            <c:showLegendKey val="0"/>
            <c:showVal val="1"/>
            <c:showCatName val="0"/>
            <c:showSerName val="0"/>
            <c:showPercent val="0"/>
            <c:showBubbleSize val="0"/>
            <c:showLeaderLines val="0"/>
          </c:dLbls>
          <c:cat>
            <c:strRef>
              <c:f>Лист1!$A$2:$A$5</c:f>
              <c:strCache>
                <c:ptCount val="4"/>
                <c:pt idx="0">
                  <c:v>Через 12 месяцев</c:v>
                </c:pt>
                <c:pt idx="1">
                  <c:v>Через 24 месяца</c:v>
                </c:pt>
                <c:pt idx="2">
                  <c:v>Через 36 месяцев</c:v>
                </c:pt>
                <c:pt idx="3">
                  <c:v>Через 48 месяцев</c:v>
                </c:pt>
              </c:strCache>
            </c:strRef>
          </c:cat>
          <c:val>
            <c:numRef>
              <c:f>Лист1!$C$2:$C$5</c:f>
              <c:numCache>
                <c:formatCode>General</c:formatCode>
                <c:ptCount val="4"/>
                <c:pt idx="0">
                  <c:v>50</c:v>
                </c:pt>
                <c:pt idx="1">
                  <c:v>47.7</c:v>
                </c:pt>
                <c:pt idx="2">
                  <c:v>45.4</c:v>
                </c:pt>
                <c:pt idx="3">
                  <c:v>52.3</c:v>
                </c:pt>
              </c:numCache>
            </c:numRef>
          </c:val>
        </c:ser>
        <c:ser>
          <c:idx val="2"/>
          <c:order val="2"/>
          <c:tx>
            <c:strRef>
              <c:f>Лист1!$D$1</c:f>
              <c:strCache>
                <c:ptCount val="1"/>
                <c:pt idx="0">
                  <c:v>Нет эффекта</c:v>
                </c:pt>
              </c:strCache>
            </c:strRef>
          </c:tx>
          <c:spPr>
            <a:pattFill prst="dkHorz">
              <a:fgClr>
                <a:srgbClr val="1F497D"/>
              </a:fgClr>
              <a:bgClr>
                <a:sysClr val="window" lastClr="FFFFFF"/>
              </a:bgClr>
            </a:pattFill>
            <a:ln w="3175">
              <a:solidFill>
                <a:srgbClr val="1F497D"/>
              </a:solidFill>
            </a:ln>
          </c:spPr>
          <c:invertIfNegative val="0"/>
          <c:dLbls>
            <c:dLbl>
              <c:idx val="0"/>
              <c:layout>
                <c:manualLayout>
                  <c:x val="2.1120196513897301E-3"/>
                  <c:y val="0.10287363327121453"/>
                </c:manualLayout>
              </c:layout>
              <c:showLegendKey val="0"/>
              <c:showVal val="1"/>
              <c:showCatName val="0"/>
              <c:showSerName val="0"/>
              <c:showPercent val="0"/>
              <c:showBubbleSize val="0"/>
            </c:dLbl>
            <c:dLbl>
              <c:idx val="1"/>
              <c:layout>
                <c:manualLayout>
                  <c:x val="4.2612221549229419E-3"/>
                  <c:y val="0.11876796177871717"/>
                </c:manualLayout>
              </c:layout>
              <c:showLegendKey val="0"/>
              <c:showVal val="1"/>
              <c:showCatName val="0"/>
              <c:showSerName val="0"/>
              <c:showPercent val="0"/>
              <c:showBubbleSize val="0"/>
            </c:dLbl>
            <c:dLbl>
              <c:idx val="2"/>
              <c:layout>
                <c:manualLayout>
                  <c:x val="4.2488373407898756E-3"/>
                  <c:y val="0.12698412698412698"/>
                </c:manualLayout>
              </c:layout>
              <c:tx>
                <c:rich>
                  <a:bodyPr/>
                  <a:lstStyle/>
                  <a:p>
                    <a:r>
                      <a:rPr lang="en-US"/>
                      <a:t>20</a:t>
                    </a:r>
                    <a:r>
                      <a:rPr lang="ru-RU"/>
                      <a:t>,0</a:t>
                    </a:r>
                    <a:endParaRPr lang="en-US"/>
                  </a:p>
                </c:rich>
              </c:tx>
              <c:showLegendKey val="0"/>
              <c:showVal val="0"/>
              <c:showCatName val="0"/>
              <c:showSerName val="0"/>
              <c:showPercent val="0"/>
              <c:showBubbleSize val="0"/>
            </c:dLbl>
            <c:dLbl>
              <c:idx val="3"/>
              <c:layout>
                <c:manualLayout>
                  <c:x val="2.1244186703949378E-3"/>
                  <c:y val="0.13492063492063491"/>
                </c:manualLayout>
              </c:layout>
              <c:showLegendKey val="0"/>
              <c:showVal val="1"/>
              <c:showCatName val="0"/>
              <c:showSerName val="0"/>
              <c:showPercent val="0"/>
              <c:showBubbleSize val="0"/>
            </c:dLbl>
            <c:spPr>
              <a:solidFill>
                <a:sysClr val="window" lastClr="FFFFFF"/>
              </a:solidFill>
            </c:spPr>
            <c:txPr>
              <a:bodyPr/>
              <a:lstStyle/>
              <a:p>
                <a:pPr>
                  <a:defRPr sz="1199" b="1"/>
                </a:pPr>
                <a:endParaRPr lang="ru-RU"/>
              </a:p>
            </c:txPr>
            <c:showLegendKey val="0"/>
            <c:showVal val="1"/>
            <c:showCatName val="0"/>
            <c:showSerName val="0"/>
            <c:showPercent val="0"/>
            <c:showBubbleSize val="0"/>
            <c:showLeaderLines val="0"/>
          </c:dLbls>
          <c:cat>
            <c:strRef>
              <c:f>Лист1!$A$2:$A$5</c:f>
              <c:strCache>
                <c:ptCount val="4"/>
                <c:pt idx="0">
                  <c:v>Через 12 месяцев</c:v>
                </c:pt>
                <c:pt idx="1">
                  <c:v>Через 24 месяца</c:v>
                </c:pt>
                <c:pt idx="2">
                  <c:v>Через 36 месяцев</c:v>
                </c:pt>
                <c:pt idx="3">
                  <c:v>Через 48 месяцев</c:v>
                </c:pt>
              </c:strCache>
            </c:strRef>
          </c:cat>
          <c:val>
            <c:numRef>
              <c:f>Лист1!$D$2:$D$5</c:f>
              <c:numCache>
                <c:formatCode>General</c:formatCode>
                <c:ptCount val="4"/>
                <c:pt idx="0">
                  <c:v>11.4</c:v>
                </c:pt>
                <c:pt idx="1">
                  <c:v>11.4</c:v>
                </c:pt>
                <c:pt idx="2">
                  <c:v>20.5</c:v>
                </c:pt>
                <c:pt idx="3">
                  <c:v>22.7</c:v>
                </c:pt>
              </c:numCache>
            </c:numRef>
          </c:val>
        </c:ser>
        <c:dLbls>
          <c:showLegendKey val="0"/>
          <c:showVal val="0"/>
          <c:showCatName val="0"/>
          <c:showSerName val="0"/>
          <c:showPercent val="0"/>
          <c:showBubbleSize val="0"/>
        </c:dLbls>
        <c:gapWidth val="150"/>
        <c:shape val="box"/>
        <c:axId val="173581824"/>
        <c:axId val="173583360"/>
        <c:axId val="0"/>
      </c:bar3DChart>
      <c:catAx>
        <c:axId val="173581824"/>
        <c:scaling>
          <c:orientation val="minMax"/>
        </c:scaling>
        <c:delete val="0"/>
        <c:axPos val="b"/>
        <c:numFmt formatCode="General" sourceLinked="1"/>
        <c:majorTickMark val="out"/>
        <c:minorTickMark val="none"/>
        <c:tickLblPos val="nextTo"/>
        <c:txPr>
          <a:bodyPr/>
          <a:lstStyle/>
          <a:p>
            <a:pPr>
              <a:defRPr sz="1199"/>
            </a:pPr>
            <a:endParaRPr lang="ru-RU"/>
          </a:p>
        </c:txPr>
        <c:crossAx val="173583360"/>
        <c:crosses val="autoZero"/>
        <c:auto val="1"/>
        <c:lblAlgn val="ctr"/>
        <c:lblOffset val="100"/>
        <c:noMultiLvlLbl val="0"/>
      </c:catAx>
      <c:valAx>
        <c:axId val="173583360"/>
        <c:scaling>
          <c:orientation val="minMax"/>
        </c:scaling>
        <c:delete val="0"/>
        <c:axPos val="l"/>
        <c:majorGridlines/>
        <c:title>
          <c:tx>
            <c:rich>
              <a:bodyPr/>
              <a:lstStyle/>
              <a:p>
                <a:pPr>
                  <a:defRPr sz="1099" b="0" i="0" u="none" strike="noStrike" baseline="0">
                    <a:solidFill>
                      <a:srgbClr val="000000"/>
                    </a:solidFill>
                    <a:latin typeface="Calibri"/>
                    <a:ea typeface="Calibri"/>
                    <a:cs typeface="Calibri"/>
                  </a:defRPr>
                </a:pPr>
                <a:r>
                  <a:rPr lang="ru-RU" sz="1099" b="0" i="0" u="none" strike="noStrike" baseline="0">
                    <a:solidFill>
                      <a:srgbClr val="000000"/>
                    </a:solidFill>
                    <a:latin typeface="Calibri"/>
                  </a:rPr>
                  <a:t>% </a:t>
                </a:r>
                <a:r>
                  <a:rPr lang="ru-RU" sz="1099" b="0" i="0" u="none" strike="noStrike" baseline="0">
                    <a:solidFill>
                      <a:srgbClr val="000000"/>
                    </a:solidFill>
                    <a:latin typeface="Times New Roman"/>
                    <a:cs typeface="Times New Roman"/>
                  </a:rPr>
                  <a:t>больных</a:t>
                </a:r>
              </a:p>
            </c:rich>
          </c:tx>
          <c:layout>
            <c:manualLayout>
              <c:xMode val="edge"/>
              <c:yMode val="edge"/>
              <c:x val="1.8783817071409763E-3"/>
              <c:y val="0.28866657005297652"/>
            </c:manualLayout>
          </c:layout>
          <c:overlay val="0"/>
        </c:title>
        <c:numFmt formatCode="General" sourceLinked="0"/>
        <c:majorTickMark val="out"/>
        <c:minorTickMark val="none"/>
        <c:tickLblPos val="nextTo"/>
        <c:crossAx val="173581824"/>
        <c:crosses val="autoZero"/>
        <c:crossBetween val="between"/>
      </c:valAx>
      <c:spPr>
        <a:noFill/>
        <a:ln w="25372">
          <a:noFill/>
        </a:ln>
      </c:spPr>
    </c:plotArea>
    <c:legend>
      <c:legendPos val="r"/>
      <c:layout>
        <c:manualLayout>
          <c:xMode val="edge"/>
          <c:yMode val="edge"/>
          <c:x val="1.1082910752660772E-2"/>
          <c:y val="0.87113574360978507"/>
          <c:w val="0.98682652532511106"/>
          <c:h val="0.12709504500111676"/>
        </c:manualLayout>
      </c:layout>
      <c:overlay val="0"/>
      <c:txPr>
        <a:bodyPr/>
        <a:lstStyle/>
        <a:p>
          <a:pPr>
            <a:defRPr sz="1199">
              <a:latin typeface="+mn-lt"/>
            </a:defRPr>
          </a:pPr>
          <a:endParaRPr lang="ru-RU"/>
        </a:p>
      </c:txPr>
    </c:legend>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44391501624095"/>
          <c:y val="4.890888638920135E-2"/>
          <c:w val="0.84600688158143267"/>
          <c:h val="0.65635389326334204"/>
        </c:manualLayout>
      </c:layout>
      <c:lineChart>
        <c:grouping val="standard"/>
        <c:varyColors val="0"/>
        <c:ser>
          <c:idx val="0"/>
          <c:order val="0"/>
          <c:tx>
            <c:strRef>
              <c:f>Лист1!$B$1</c:f>
              <c:strCache>
                <c:ptCount val="1"/>
                <c:pt idx="0">
                  <c:v>"Ответчики" группа 1</c:v>
                </c:pt>
              </c:strCache>
            </c:strRef>
          </c:tx>
          <c:spPr>
            <a:ln w="31732">
              <a:solidFill>
                <a:srgbClr val="0070C0"/>
              </a:solidFill>
            </a:ln>
          </c:spPr>
          <c:marker>
            <c:symbol val="circle"/>
            <c:size val="6"/>
            <c:spPr>
              <a:solidFill>
                <a:srgbClr val="0070C0"/>
              </a:solidFill>
              <a:ln>
                <a:solidFill>
                  <a:srgbClr val="0070C0"/>
                </a:solidFill>
              </a:ln>
            </c:spPr>
          </c:marker>
          <c:dLbls>
            <c:dLbl>
              <c:idx val="0"/>
              <c:layout>
                <c:manualLayout>
                  <c:x val="-9.6308186195826651E-2"/>
                  <c:y val="3.968253968253968E-3"/>
                </c:manualLayout>
              </c:layout>
              <c:dLblPos val="r"/>
              <c:showLegendKey val="0"/>
              <c:showVal val="1"/>
              <c:showCatName val="0"/>
              <c:showSerName val="0"/>
              <c:showPercent val="0"/>
              <c:showBubbleSize val="0"/>
            </c:dLbl>
            <c:dLbl>
              <c:idx val="1"/>
              <c:layout>
                <c:manualLayout>
                  <c:x val="-2.568218298555381E-2"/>
                  <c:y val="5.5555555555555552E-2"/>
                </c:manualLayout>
              </c:layout>
              <c:dLblPos val="r"/>
              <c:showLegendKey val="0"/>
              <c:showVal val="1"/>
              <c:showCatName val="0"/>
              <c:showSerName val="0"/>
              <c:showPercent val="0"/>
              <c:showBubbleSize val="0"/>
            </c:dLbl>
            <c:dLbl>
              <c:idx val="2"/>
              <c:layout>
                <c:manualLayout>
                  <c:x val="-2.131418965887691E-3"/>
                  <c:y val="-7.9368203974503181E-3"/>
                </c:manualLayout>
              </c:layout>
              <c:dLblPos val="r"/>
              <c:showLegendKey val="0"/>
              <c:showVal val="1"/>
              <c:showCatName val="0"/>
              <c:showSerName val="0"/>
              <c:showPercent val="0"/>
              <c:showBubbleSize val="0"/>
            </c:dLbl>
            <c:dLbl>
              <c:idx val="3"/>
              <c:layout>
                <c:manualLayout>
                  <c:x val="-1.2841091492776808E-2"/>
                  <c:y val="-5.9523809523809562E-2"/>
                </c:manualLayout>
              </c:layout>
              <c:dLblPos val="r"/>
              <c:showLegendKey val="0"/>
              <c:showVal val="1"/>
              <c:showCatName val="0"/>
              <c:showSerName val="0"/>
              <c:showPercent val="0"/>
              <c:showBubbleSize val="0"/>
            </c:dLbl>
            <c:dLbl>
              <c:idx val="4"/>
              <c:layout>
                <c:manualLayout>
                  <c:x val="-2.782756081400756E-2"/>
                  <c:y val="-6.3492063492063489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Лист1!$B$2:$B$6</c:f>
              <c:numCache>
                <c:formatCode>0.0000</c:formatCode>
                <c:ptCount val="5"/>
                <c:pt idx="0">
                  <c:v>0.71130000000000004</c:v>
                </c:pt>
                <c:pt idx="1">
                  <c:v>0.72760000000000002</c:v>
                </c:pt>
                <c:pt idx="2">
                  <c:v>0.73119999999999996</c:v>
                </c:pt>
                <c:pt idx="3">
                  <c:v>0.79190000000000005</c:v>
                </c:pt>
                <c:pt idx="4">
                  <c:v>0.79569999999999996</c:v>
                </c:pt>
              </c:numCache>
            </c:numRef>
          </c:val>
          <c:smooth val="0"/>
        </c:ser>
        <c:ser>
          <c:idx val="1"/>
          <c:order val="1"/>
          <c:tx>
            <c:strRef>
              <c:f>Лист1!$C$1</c:f>
              <c:strCache>
                <c:ptCount val="1"/>
                <c:pt idx="0">
                  <c:v>"Неответчики" группа 1</c:v>
                </c:pt>
              </c:strCache>
            </c:strRef>
          </c:tx>
          <c:spPr>
            <a:ln w="31732" cmpd="sng">
              <a:solidFill>
                <a:srgbClr val="0070C0"/>
              </a:solidFill>
              <a:prstDash val="dash"/>
            </a:ln>
          </c:spPr>
          <c:marker>
            <c:symbol val="circle"/>
            <c:size val="6"/>
            <c:spPr>
              <a:solidFill>
                <a:srgbClr val="0070C0"/>
              </a:solidFill>
              <a:ln>
                <a:solidFill>
                  <a:srgbClr val="0070C0"/>
                </a:solidFill>
              </a:ln>
            </c:spPr>
          </c:marker>
          <c:dLbls>
            <c:dLbl>
              <c:idx val="0"/>
              <c:layout>
                <c:manualLayout>
                  <c:x val="-0.10058930042927933"/>
                  <c:y val="-6.7460317460317457E-2"/>
                </c:manualLayout>
              </c:layout>
              <c:dLblPos val="r"/>
              <c:showLegendKey val="0"/>
              <c:showVal val="1"/>
              <c:showCatName val="0"/>
              <c:showSerName val="0"/>
              <c:showPercent val="0"/>
              <c:showBubbleSize val="0"/>
            </c:dLbl>
            <c:dLbl>
              <c:idx val="1"/>
              <c:layout>
                <c:manualLayout>
                  <c:x val="-2.1401770817198209E-2"/>
                  <c:y val="-4.761936007999E-2"/>
                </c:manualLayout>
              </c:layout>
              <c:dLblPos val="r"/>
              <c:showLegendKey val="0"/>
              <c:showVal val="1"/>
              <c:showCatName val="0"/>
              <c:showSerName val="0"/>
              <c:showPercent val="0"/>
              <c:showBubbleSize val="0"/>
            </c:dLbl>
            <c:dLbl>
              <c:idx val="2"/>
              <c:layout>
                <c:manualLayout>
                  <c:x val="-2.9964097221508227E-2"/>
                  <c:y val="-4.7619047619047616E-2"/>
                </c:manualLayout>
              </c:layout>
              <c:dLblPos val="r"/>
              <c:showLegendKey val="0"/>
              <c:showVal val="1"/>
              <c:showCatName val="0"/>
              <c:showSerName val="0"/>
              <c:showPercent val="0"/>
              <c:showBubbleSize val="0"/>
            </c:dLbl>
            <c:dLbl>
              <c:idx val="3"/>
              <c:layout>
                <c:manualLayout>
                  <c:x val="-8.5607276618512567E-3"/>
                  <c:y val="-4.3650793650793648E-2"/>
                </c:manualLayout>
              </c:layout>
              <c:dLblPos val="r"/>
              <c:showLegendKey val="0"/>
              <c:showVal val="1"/>
              <c:showCatName val="0"/>
              <c:showSerName val="0"/>
              <c:showPercent val="0"/>
              <c:showBubbleSize val="0"/>
            </c:dLbl>
            <c:dLbl>
              <c:idx val="4"/>
              <c:layout>
                <c:manualLayout>
                  <c:x val="-2.782756081400756E-2"/>
                  <c:y val="-5.1587301587301584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Лист1!$C$2:$C$6</c:f>
              <c:numCache>
                <c:formatCode>0.0000</c:formatCode>
                <c:ptCount val="5"/>
                <c:pt idx="0">
                  <c:v>0.80730000000000002</c:v>
                </c:pt>
                <c:pt idx="1">
                  <c:v>0.82069999999999999</c:v>
                </c:pt>
                <c:pt idx="2">
                  <c:v>0.81230000000000002</c:v>
                </c:pt>
                <c:pt idx="3">
                  <c:v>0.85370000000000001</c:v>
                </c:pt>
                <c:pt idx="4">
                  <c:v>0.8649</c:v>
                </c:pt>
              </c:numCache>
            </c:numRef>
          </c:val>
          <c:smooth val="0"/>
        </c:ser>
        <c:ser>
          <c:idx val="2"/>
          <c:order val="2"/>
          <c:tx>
            <c:strRef>
              <c:f>Лист1!$D$1</c:f>
              <c:strCache>
                <c:ptCount val="1"/>
                <c:pt idx="0">
                  <c:v>"Ответчики" группа 2</c:v>
                </c:pt>
              </c:strCache>
            </c:strRef>
          </c:tx>
          <c:spPr>
            <a:ln w="31732">
              <a:solidFill>
                <a:srgbClr val="C00000"/>
              </a:solidFill>
            </a:ln>
          </c:spPr>
          <c:marker>
            <c:symbol val="square"/>
            <c:size val="6"/>
            <c:spPr>
              <a:solidFill>
                <a:srgbClr val="C00000"/>
              </a:solidFill>
              <a:ln>
                <a:solidFill>
                  <a:srgbClr val="C00000"/>
                </a:solidFill>
              </a:ln>
            </c:spPr>
          </c:marker>
          <c:dLbls>
            <c:dLbl>
              <c:idx val="0"/>
              <c:layout>
                <c:manualLayout>
                  <c:x val="-9.4168004280363829E-2"/>
                  <c:y val="7.9365079365079361E-3"/>
                </c:manualLayout>
              </c:layout>
              <c:dLblPos val="r"/>
              <c:showLegendKey val="0"/>
              <c:showVal val="1"/>
              <c:showCatName val="0"/>
              <c:showSerName val="0"/>
              <c:showPercent val="0"/>
              <c:showBubbleSize val="0"/>
            </c:dLbl>
            <c:dLbl>
              <c:idx val="1"/>
              <c:layout>
                <c:manualLayout>
                  <c:x val="-2.1404636162648469E-2"/>
                  <c:y val="-5.1587301587301584E-2"/>
                </c:manualLayout>
              </c:layout>
              <c:dLblPos val="r"/>
              <c:showLegendKey val="0"/>
              <c:showVal val="1"/>
              <c:showCatName val="0"/>
              <c:showSerName val="0"/>
              <c:showPercent val="0"/>
              <c:showBubbleSize val="0"/>
            </c:dLbl>
            <c:dLbl>
              <c:idx val="2"/>
              <c:layout>
                <c:manualLayout>
                  <c:x val="-4.4949348277177337E-2"/>
                  <c:y val="5.1587301587301584E-2"/>
                </c:manualLayout>
              </c:layout>
              <c:dLblPos val="r"/>
              <c:showLegendKey val="0"/>
              <c:showVal val="1"/>
              <c:showCatName val="0"/>
              <c:showSerName val="0"/>
              <c:showPercent val="0"/>
              <c:showBubbleSize val="0"/>
            </c:dLbl>
            <c:dLbl>
              <c:idx val="3"/>
              <c:layout>
                <c:manualLayout>
                  <c:x val="-5.3508472236572284E-2"/>
                  <c:y val="5.1587301587301584E-2"/>
                </c:manualLayout>
              </c:layout>
              <c:dLblPos val="r"/>
              <c:showLegendKey val="0"/>
              <c:showVal val="1"/>
              <c:showCatName val="0"/>
              <c:showSerName val="0"/>
              <c:showPercent val="0"/>
              <c:showBubbleSize val="0"/>
            </c:dLbl>
            <c:dLbl>
              <c:idx val="4"/>
              <c:layout>
                <c:manualLayout>
                  <c:x val="-2.3546397611852551E-2"/>
                  <c:y val="4.3650793650793579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Лист1!$D$2:$D$6</c:f>
              <c:numCache>
                <c:formatCode>0.0000</c:formatCode>
                <c:ptCount val="5"/>
                <c:pt idx="0">
                  <c:v>0.7631</c:v>
                </c:pt>
                <c:pt idx="1">
                  <c:v>0.73329999999999995</c:v>
                </c:pt>
                <c:pt idx="2">
                  <c:v>0.70879999999999999</c:v>
                </c:pt>
                <c:pt idx="3">
                  <c:v>0.69399999999999995</c:v>
                </c:pt>
                <c:pt idx="4">
                  <c:v>0.68889999999999996</c:v>
                </c:pt>
              </c:numCache>
            </c:numRef>
          </c:val>
          <c:smooth val="0"/>
        </c:ser>
        <c:ser>
          <c:idx val="3"/>
          <c:order val="3"/>
          <c:tx>
            <c:strRef>
              <c:f>Лист1!$E$1</c:f>
              <c:strCache>
                <c:ptCount val="1"/>
                <c:pt idx="0">
                  <c:v>"Неответчики" группа 2</c:v>
                </c:pt>
              </c:strCache>
            </c:strRef>
          </c:tx>
          <c:spPr>
            <a:ln w="31732">
              <a:solidFill>
                <a:srgbClr val="C00000"/>
              </a:solidFill>
              <a:prstDash val="dash"/>
            </a:ln>
          </c:spPr>
          <c:marker>
            <c:symbol val="square"/>
            <c:size val="6"/>
            <c:spPr>
              <a:solidFill>
                <a:srgbClr val="C00000"/>
              </a:solidFill>
              <a:ln>
                <a:solidFill>
                  <a:srgbClr val="C00000"/>
                </a:solidFill>
              </a:ln>
            </c:spPr>
          </c:marker>
          <c:dLbls>
            <c:dLbl>
              <c:idx val="0"/>
              <c:layout>
                <c:manualLayout>
                  <c:x val="-9.8448550278469438E-2"/>
                  <c:y val="2.3809523809523808E-2"/>
                </c:manualLayout>
              </c:layout>
              <c:dLblPos val="r"/>
              <c:showLegendKey val="0"/>
              <c:showVal val="1"/>
              <c:showCatName val="0"/>
              <c:showSerName val="0"/>
              <c:showPercent val="0"/>
              <c:showBubbleSize val="0"/>
            </c:dLbl>
            <c:dLbl>
              <c:idx val="1"/>
              <c:layout>
                <c:manualLayout>
                  <c:x val="-2.7824358369092562E-2"/>
                  <c:y val="-3.5714285714285712E-2"/>
                </c:manualLayout>
              </c:layout>
              <c:dLblPos val="r"/>
              <c:showLegendKey val="0"/>
              <c:showVal val="1"/>
              <c:showCatName val="0"/>
              <c:showSerName val="0"/>
              <c:showPercent val="0"/>
              <c:showBubbleSize val="0"/>
            </c:dLbl>
            <c:dLbl>
              <c:idx val="2"/>
              <c:layout>
                <c:manualLayout>
                  <c:x val="-1.4981205862092272E-2"/>
                  <c:y val="-4.3650793650793648E-2"/>
                </c:manualLayout>
              </c:layout>
              <c:dLblPos val="r"/>
              <c:showLegendKey val="0"/>
              <c:showVal val="1"/>
              <c:showCatName val="0"/>
              <c:showSerName val="0"/>
              <c:showPercent val="0"/>
              <c:showBubbleSize val="0"/>
            </c:dLbl>
            <c:dLbl>
              <c:idx val="3"/>
              <c:layout>
                <c:manualLayout>
                  <c:x val="-1.7121455323702437E-2"/>
                  <c:y val="4.3650793650793648E-2"/>
                </c:manualLayout>
              </c:layout>
              <c:dLblPos val="r"/>
              <c:showLegendKey val="0"/>
              <c:showVal val="1"/>
              <c:showCatName val="0"/>
              <c:showSerName val="0"/>
              <c:showPercent val="0"/>
              <c:showBubbleSize val="0"/>
            </c:dLbl>
            <c:dLbl>
              <c:idx val="4"/>
              <c:layout>
                <c:manualLayout>
                  <c:x val="-2.5686979212930058E-2"/>
                  <c:y val="5.5555555555555552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Лист1!$E$2:$E$6</c:f>
              <c:numCache>
                <c:formatCode>0.0000</c:formatCode>
                <c:ptCount val="5"/>
                <c:pt idx="0">
                  <c:v>0.80600000000000005</c:v>
                </c:pt>
                <c:pt idx="1">
                  <c:v>0.78990000000000005</c:v>
                </c:pt>
                <c:pt idx="2">
                  <c:v>0.78039999999999998</c:v>
                </c:pt>
                <c:pt idx="3">
                  <c:v>0.7802</c:v>
                </c:pt>
                <c:pt idx="4">
                  <c:v>0.77159999999999995</c:v>
                </c:pt>
              </c:numCache>
            </c:numRef>
          </c:val>
          <c:smooth val="0"/>
        </c:ser>
        <c:dLbls>
          <c:showLegendKey val="0"/>
          <c:showVal val="0"/>
          <c:showCatName val="0"/>
          <c:showSerName val="0"/>
          <c:showPercent val="0"/>
          <c:showBubbleSize val="0"/>
        </c:dLbls>
        <c:marker val="1"/>
        <c:smooth val="0"/>
        <c:axId val="173560576"/>
        <c:axId val="173562112"/>
      </c:lineChart>
      <c:catAx>
        <c:axId val="173560576"/>
        <c:scaling>
          <c:orientation val="minMax"/>
        </c:scaling>
        <c:delete val="0"/>
        <c:axPos val="b"/>
        <c:numFmt formatCode="General" sourceLinked="1"/>
        <c:majorTickMark val="out"/>
        <c:minorTickMark val="none"/>
        <c:tickLblPos val="nextTo"/>
        <c:txPr>
          <a:bodyPr/>
          <a:lstStyle/>
          <a:p>
            <a:pPr>
              <a:defRPr sz="1199"/>
            </a:pPr>
            <a:endParaRPr lang="ru-RU"/>
          </a:p>
        </c:txPr>
        <c:crossAx val="173562112"/>
        <c:crossesAt val="0.60000000000000009"/>
        <c:auto val="1"/>
        <c:lblAlgn val="ctr"/>
        <c:lblOffset val="100"/>
        <c:noMultiLvlLbl val="0"/>
      </c:catAx>
      <c:valAx>
        <c:axId val="173562112"/>
        <c:scaling>
          <c:orientation val="minMax"/>
          <c:min val="0.60000000000000009"/>
        </c:scaling>
        <c:delete val="0"/>
        <c:axPos val="l"/>
        <c:majorGridlines/>
        <c:title>
          <c:tx>
            <c:rich>
              <a:bodyPr/>
              <a:lstStyle/>
              <a:p>
                <a:pPr>
                  <a:defRPr sz="1099" b="0" i="0" u="none" strike="noStrike" baseline="0">
                    <a:solidFill>
                      <a:srgbClr val="000000"/>
                    </a:solidFill>
                    <a:latin typeface="Calibri"/>
                    <a:ea typeface="Calibri"/>
                    <a:cs typeface="Calibri"/>
                  </a:defRPr>
                </a:pPr>
                <a:r>
                  <a:rPr lang="ru-RU" sz="1049" b="0" i="0" u="none" strike="noStrike" baseline="0">
                    <a:solidFill>
                      <a:srgbClr val="000000"/>
                    </a:solidFill>
                    <a:latin typeface="Times New Roman"/>
                    <a:cs typeface="Times New Roman"/>
                  </a:rPr>
                  <a:t>Среднее значение МПК, г/см</a:t>
                </a:r>
                <a:r>
                  <a:rPr lang="ru-RU" sz="1049" b="0" i="0" u="none" strike="noStrike" baseline="30000">
                    <a:solidFill>
                      <a:srgbClr val="000000"/>
                    </a:solidFill>
                    <a:latin typeface="Times New Roman"/>
                    <a:cs typeface="Times New Roman"/>
                  </a:rPr>
                  <a:t>2</a:t>
                </a:r>
              </a:p>
            </c:rich>
          </c:tx>
          <c:layout>
            <c:manualLayout>
              <c:xMode val="edge"/>
              <c:yMode val="edge"/>
              <c:x val="0"/>
              <c:y val="7.8274034567702086E-2"/>
            </c:manualLayout>
          </c:layout>
          <c:overlay val="0"/>
        </c:title>
        <c:numFmt formatCode="0.00" sourceLinked="0"/>
        <c:majorTickMark val="out"/>
        <c:minorTickMark val="none"/>
        <c:tickLblPos val="nextTo"/>
        <c:txPr>
          <a:bodyPr/>
          <a:lstStyle/>
          <a:p>
            <a:pPr>
              <a:defRPr sz="1199"/>
            </a:pPr>
            <a:endParaRPr lang="ru-RU"/>
          </a:p>
        </c:txPr>
        <c:crossAx val="173560576"/>
        <c:crosses val="autoZero"/>
        <c:crossBetween val="between"/>
      </c:valAx>
    </c:plotArea>
    <c:legend>
      <c:legendPos val="b"/>
      <c:layout>
        <c:manualLayout>
          <c:xMode val="edge"/>
          <c:yMode val="edge"/>
          <c:x val="9.744272178049522E-2"/>
          <c:y val="0.8441540666312416"/>
          <c:w val="0.82254631711003501"/>
          <c:h val="0.13756275864289969"/>
        </c:manualLayout>
      </c:layout>
      <c:overlay val="0"/>
      <c:txPr>
        <a:bodyPr/>
        <a:lstStyle/>
        <a:p>
          <a:pPr>
            <a:defRPr sz="1199"/>
          </a:pPr>
          <a:endParaRPr lang="ru-RU"/>
        </a:p>
      </c:txPr>
    </c:legend>
    <c:plotVisOnly val="1"/>
    <c:dispBlanksAs val="gap"/>
    <c:showDLblsOverMax val="0"/>
  </c:chart>
  <c:spPr>
    <a:ln w="3173">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3123907264401"/>
          <c:y val="5.6845394325709286E-2"/>
          <c:w val="0.86188614505912664"/>
          <c:h val="0.72159855018122732"/>
        </c:manualLayout>
      </c:layout>
      <c:lineChart>
        <c:grouping val="standard"/>
        <c:varyColors val="0"/>
        <c:ser>
          <c:idx val="0"/>
          <c:order val="0"/>
          <c:tx>
            <c:strRef>
              <c:f>Лист1!$B$1</c:f>
              <c:strCache>
                <c:ptCount val="1"/>
                <c:pt idx="0">
                  <c:v>"Ответчики" группа 1</c:v>
                </c:pt>
              </c:strCache>
            </c:strRef>
          </c:tx>
          <c:spPr>
            <a:ln w="31715">
              <a:solidFill>
                <a:srgbClr val="0070C0"/>
              </a:solidFill>
            </a:ln>
          </c:spPr>
          <c:marker>
            <c:symbol val="circle"/>
            <c:size val="6"/>
            <c:spPr>
              <a:solidFill>
                <a:srgbClr val="0070C0"/>
              </a:solidFill>
              <a:ln>
                <a:solidFill>
                  <a:srgbClr val="0070C0"/>
                </a:solidFill>
              </a:ln>
            </c:spPr>
          </c:marker>
          <c:dLbls>
            <c:dLbl>
              <c:idx val="0"/>
              <c:layout>
                <c:manualLayout>
                  <c:x val="-8.3467094703049763E-2"/>
                  <c:y val="1.1904761904761904E-2"/>
                </c:manualLayout>
              </c:layout>
              <c:dLblPos val="r"/>
              <c:showLegendKey val="0"/>
              <c:showVal val="1"/>
              <c:showCatName val="0"/>
              <c:showSerName val="0"/>
              <c:showPercent val="0"/>
              <c:showBubbleSize val="0"/>
            </c:dLbl>
            <c:dLbl>
              <c:idx val="1"/>
              <c:layout>
                <c:manualLayout>
                  <c:x val="-2.3542001070090957E-2"/>
                  <c:y val="3.5714285714285712E-2"/>
                </c:manualLayout>
              </c:layout>
              <c:dLblPos val="r"/>
              <c:showLegendKey val="0"/>
              <c:showVal val="1"/>
              <c:showCatName val="0"/>
              <c:showSerName val="0"/>
              <c:showPercent val="0"/>
              <c:showBubbleSize val="0"/>
            </c:dLbl>
            <c:dLbl>
              <c:idx val="2"/>
              <c:layout>
                <c:manualLayout>
                  <c:x val="-4.49438202247191E-2"/>
                  <c:y val="-4.7619047619047693E-2"/>
                </c:manualLayout>
              </c:layout>
              <c:dLblPos val="r"/>
              <c:showLegendKey val="0"/>
              <c:showVal val="1"/>
              <c:showCatName val="0"/>
              <c:showSerName val="0"/>
              <c:showPercent val="0"/>
              <c:showBubbleSize val="0"/>
            </c:dLbl>
            <c:dLbl>
              <c:idx val="3"/>
              <c:layout>
                <c:manualLayout>
                  <c:x val="-1.9264502049603349E-2"/>
                  <c:y val="5.5555555555555552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Лист1!$B$2:$B$6</c:f>
              <c:numCache>
                <c:formatCode>0.00</c:formatCode>
                <c:ptCount val="5"/>
                <c:pt idx="0">
                  <c:v>-2.56</c:v>
                </c:pt>
                <c:pt idx="1">
                  <c:v>-2.44</c:v>
                </c:pt>
                <c:pt idx="2">
                  <c:v>-2.38</c:v>
                </c:pt>
                <c:pt idx="3">
                  <c:v>-1.88</c:v>
                </c:pt>
                <c:pt idx="4">
                  <c:v>-1.74</c:v>
                </c:pt>
              </c:numCache>
            </c:numRef>
          </c:val>
          <c:smooth val="0"/>
        </c:ser>
        <c:ser>
          <c:idx val="1"/>
          <c:order val="1"/>
          <c:tx>
            <c:strRef>
              <c:f>Лист1!$C$1</c:f>
              <c:strCache>
                <c:ptCount val="1"/>
                <c:pt idx="0">
                  <c:v>"Неответчики" группа 1</c:v>
                </c:pt>
              </c:strCache>
            </c:strRef>
          </c:tx>
          <c:spPr>
            <a:ln w="31715" cmpd="sng">
              <a:solidFill>
                <a:srgbClr val="0070C0"/>
              </a:solidFill>
              <a:prstDash val="dash"/>
            </a:ln>
          </c:spPr>
          <c:marker>
            <c:symbol val="circle"/>
            <c:size val="6"/>
            <c:spPr>
              <a:solidFill>
                <a:srgbClr val="0070C0"/>
              </a:solidFill>
              <a:ln>
                <a:solidFill>
                  <a:srgbClr val="0070C0"/>
                </a:solidFill>
              </a:ln>
            </c:spPr>
          </c:marker>
          <c:dLbls>
            <c:dLbl>
              <c:idx val="0"/>
              <c:layout>
                <c:manualLayout>
                  <c:x val="-8.7747155715788436E-2"/>
                  <c:y val="-3.968253968253968E-3"/>
                </c:manualLayout>
              </c:layout>
              <c:dLblPos val="r"/>
              <c:showLegendKey val="0"/>
              <c:showVal val="1"/>
              <c:showCatName val="0"/>
              <c:showSerName val="0"/>
              <c:showPercent val="0"/>
              <c:showBubbleSize val="0"/>
            </c:dLbl>
            <c:dLbl>
              <c:idx val="1"/>
              <c:layout>
                <c:manualLayout>
                  <c:x val="-2.3542001070090957E-2"/>
                  <c:y val="-5.9523809523809521E-2"/>
                </c:manualLayout>
              </c:layout>
              <c:dLblPos val="r"/>
              <c:showLegendKey val="0"/>
              <c:showVal val="1"/>
              <c:showCatName val="0"/>
              <c:showSerName val="0"/>
              <c:showPercent val="0"/>
              <c:showBubbleSize val="0"/>
            </c:dLbl>
            <c:dLbl>
              <c:idx val="2"/>
              <c:layout>
                <c:manualLayout>
                  <c:x val="-2.3542001070090957E-2"/>
                  <c:y val="-5.9523809523809521E-2"/>
                </c:manualLayout>
              </c:layout>
              <c:dLblPos val="r"/>
              <c:showLegendKey val="0"/>
              <c:showVal val="1"/>
              <c:showCatName val="0"/>
              <c:showSerName val="0"/>
              <c:showPercent val="0"/>
              <c:showBubbleSize val="0"/>
            </c:dLbl>
            <c:dLbl>
              <c:idx val="3"/>
              <c:layout>
                <c:manualLayout>
                  <c:x val="-2.7822364901016586E-2"/>
                  <c:y val="4.3650793650793634E-2"/>
                </c:manualLayout>
              </c:layout>
              <c:dLblPos val="r"/>
              <c:showLegendKey val="0"/>
              <c:showVal val="1"/>
              <c:showCatName val="0"/>
              <c:showSerName val="0"/>
              <c:showPercent val="0"/>
              <c:showBubbleSize val="0"/>
            </c:dLbl>
            <c:dLbl>
              <c:idx val="4"/>
              <c:layout>
                <c:manualLayout>
                  <c:x val="-8.5607276618512567E-3"/>
                  <c:y val="1.5873015873015872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Лист1!$C$2:$C$6</c:f>
              <c:numCache>
                <c:formatCode>0.00</c:formatCode>
                <c:ptCount val="5"/>
                <c:pt idx="0">
                  <c:v>-1.68</c:v>
                </c:pt>
                <c:pt idx="1">
                  <c:v>-1.54</c:v>
                </c:pt>
                <c:pt idx="2">
                  <c:v>-1.58</c:v>
                </c:pt>
                <c:pt idx="3">
                  <c:v>-1.33</c:v>
                </c:pt>
                <c:pt idx="4">
                  <c:v>-1.33</c:v>
                </c:pt>
              </c:numCache>
            </c:numRef>
          </c:val>
          <c:smooth val="0"/>
        </c:ser>
        <c:ser>
          <c:idx val="2"/>
          <c:order val="2"/>
          <c:tx>
            <c:strRef>
              <c:f>Лист1!$D$1</c:f>
              <c:strCache>
                <c:ptCount val="1"/>
                <c:pt idx="0">
                  <c:v>"Ответчики" группа 2</c:v>
                </c:pt>
              </c:strCache>
            </c:strRef>
          </c:tx>
          <c:spPr>
            <a:ln w="31715">
              <a:solidFill>
                <a:srgbClr val="C00000"/>
              </a:solidFill>
            </a:ln>
          </c:spPr>
          <c:marker>
            <c:symbol val="square"/>
            <c:size val="6"/>
            <c:spPr>
              <a:solidFill>
                <a:srgbClr val="C00000"/>
              </a:solidFill>
              <a:ln>
                <a:solidFill>
                  <a:srgbClr val="C00000"/>
                </a:solidFill>
              </a:ln>
            </c:spPr>
          </c:marker>
          <c:dLbls>
            <c:dLbl>
              <c:idx val="0"/>
              <c:layout>
                <c:manualLayout>
                  <c:x val="-8.3467094703049763E-2"/>
                  <c:y val="0"/>
                </c:manualLayout>
              </c:layout>
              <c:dLblPos val="r"/>
              <c:showLegendKey val="0"/>
              <c:showVal val="1"/>
              <c:showCatName val="0"/>
              <c:showSerName val="0"/>
              <c:showPercent val="0"/>
              <c:showBubbleSize val="0"/>
            </c:dLbl>
            <c:dLbl>
              <c:idx val="1"/>
              <c:layout>
                <c:manualLayout>
                  <c:x val="-2.3542001070090957E-2"/>
                  <c:y val="-4.7619047619047616E-2"/>
                </c:manualLayout>
              </c:layout>
              <c:dLblPos val="r"/>
              <c:showLegendKey val="0"/>
              <c:showVal val="1"/>
              <c:showCatName val="0"/>
              <c:showSerName val="0"/>
              <c:showPercent val="0"/>
              <c:showBubbleSize val="0"/>
            </c:dLbl>
            <c:dLbl>
              <c:idx val="2"/>
              <c:layout>
                <c:manualLayout>
                  <c:x val="-3.2102728731942212E-2"/>
                  <c:y val="6.3492063492063489E-2"/>
                </c:manualLayout>
              </c:layout>
              <c:dLblPos val="r"/>
              <c:showLegendKey val="0"/>
              <c:showVal val="1"/>
              <c:showCatName val="0"/>
              <c:showSerName val="0"/>
              <c:showPercent val="0"/>
              <c:showBubbleSize val="0"/>
            </c:dLbl>
            <c:dLbl>
              <c:idx val="3"/>
              <c:layout>
                <c:manualLayout>
                  <c:x val="-3.4242910647405027E-2"/>
                  <c:y val="5.9523809523809521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Лист1!$D$2:$D$6</c:f>
              <c:numCache>
                <c:formatCode>0.00</c:formatCode>
                <c:ptCount val="5"/>
                <c:pt idx="0">
                  <c:v>-2.1</c:v>
                </c:pt>
                <c:pt idx="1">
                  <c:v>-2.19</c:v>
                </c:pt>
                <c:pt idx="2">
                  <c:v>-2.54</c:v>
                </c:pt>
                <c:pt idx="3">
                  <c:v>-2.65</c:v>
                </c:pt>
                <c:pt idx="4">
                  <c:v>-2.8</c:v>
                </c:pt>
              </c:numCache>
            </c:numRef>
          </c:val>
          <c:smooth val="0"/>
        </c:ser>
        <c:ser>
          <c:idx val="3"/>
          <c:order val="3"/>
          <c:tx>
            <c:strRef>
              <c:f>Лист1!$E$1</c:f>
              <c:strCache>
                <c:ptCount val="1"/>
                <c:pt idx="0">
                  <c:v>"Неответчики" группа 2</c:v>
                </c:pt>
              </c:strCache>
            </c:strRef>
          </c:tx>
          <c:spPr>
            <a:ln w="31715">
              <a:solidFill>
                <a:srgbClr val="C00000"/>
              </a:solidFill>
              <a:prstDash val="dash"/>
            </a:ln>
          </c:spPr>
          <c:marker>
            <c:symbol val="square"/>
            <c:size val="6"/>
            <c:spPr>
              <a:solidFill>
                <a:srgbClr val="C00000"/>
              </a:solidFill>
              <a:ln>
                <a:solidFill>
                  <a:srgbClr val="C00000"/>
                </a:solidFill>
              </a:ln>
            </c:spPr>
          </c:marker>
          <c:dLbls>
            <c:dLbl>
              <c:idx val="0"/>
              <c:layout>
                <c:manualLayout>
                  <c:x val="-9.2027208885364767E-2"/>
                  <c:y val="-4.7619047619047616E-2"/>
                </c:manualLayout>
              </c:layout>
              <c:dLblPos val="r"/>
              <c:showLegendKey val="0"/>
              <c:showVal val="1"/>
              <c:showCatName val="0"/>
              <c:showSerName val="0"/>
              <c:showPercent val="0"/>
              <c:showBubbleSize val="0"/>
            </c:dLbl>
            <c:dLbl>
              <c:idx val="1"/>
              <c:layout>
                <c:manualLayout>
                  <c:x val="-1.2841091492776886E-2"/>
                  <c:y val="-3.5714285714285712E-2"/>
                </c:manualLayout>
              </c:layout>
              <c:dLblPos val="r"/>
              <c:showLegendKey val="0"/>
              <c:showVal val="1"/>
              <c:showCatName val="0"/>
              <c:showSerName val="0"/>
              <c:showPercent val="0"/>
              <c:showBubbleSize val="0"/>
            </c:dLbl>
            <c:dLbl>
              <c:idx val="2"/>
              <c:layout>
                <c:manualLayout>
                  <c:x val="-2.1401819154628143E-2"/>
                  <c:y val="-3.968253968253968E-2"/>
                </c:manualLayout>
              </c:layout>
              <c:dLblPos val="r"/>
              <c:showLegendKey val="0"/>
              <c:showVal val="1"/>
              <c:showCatName val="0"/>
              <c:showSerName val="0"/>
              <c:showPercent val="0"/>
              <c:showBubbleSize val="0"/>
            </c:dLbl>
            <c:dLbl>
              <c:idx val="3"/>
              <c:layout>
                <c:manualLayout>
                  <c:x val="-2.3540460925433021E-2"/>
                  <c:y val="-4.7619047619047616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Лист1!$E$2:$E$6</c:f>
              <c:numCache>
                <c:formatCode>0.00</c:formatCode>
                <c:ptCount val="5"/>
                <c:pt idx="0">
                  <c:v>-1.57</c:v>
                </c:pt>
                <c:pt idx="1">
                  <c:v>-1.69</c:v>
                </c:pt>
                <c:pt idx="2">
                  <c:v>-1.78</c:v>
                </c:pt>
                <c:pt idx="3">
                  <c:v>-1.81</c:v>
                </c:pt>
                <c:pt idx="4">
                  <c:v>-1.97</c:v>
                </c:pt>
              </c:numCache>
            </c:numRef>
          </c:val>
          <c:smooth val="0"/>
        </c:ser>
        <c:dLbls>
          <c:showLegendKey val="0"/>
          <c:showVal val="0"/>
          <c:showCatName val="0"/>
          <c:showSerName val="0"/>
          <c:showPercent val="0"/>
          <c:showBubbleSize val="0"/>
        </c:dLbls>
        <c:marker val="1"/>
        <c:smooth val="0"/>
        <c:axId val="205502720"/>
        <c:axId val="205516800"/>
      </c:lineChart>
      <c:catAx>
        <c:axId val="205502720"/>
        <c:scaling>
          <c:orientation val="minMax"/>
        </c:scaling>
        <c:delete val="0"/>
        <c:axPos val="b"/>
        <c:numFmt formatCode="General" sourceLinked="1"/>
        <c:majorTickMark val="out"/>
        <c:minorTickMark val="none"/>
        <c:tickLblPos val="nextTo"/>
        <c:txPr>
          <a:bodyPr/>
          <a:lstStyle/>
          <a:p>
            <a:pPr>
              <a:defRPr sz="1199"/>
            </a:pPr>
            <a:endParaRPr lang="ru-RU"/>
          </a:p>
        </c:txPr>
        <c:crossAx val="205516800"/>
        <c:crosses val="autoZero"/>
        <c:auto val="1"/>
        <c:lblAlgn val="ctr"/>
        <c:lblOffset val="100"/>
        <c:noMultiLvlLbl val="0"/>
      </c:catAx>
      <c:valAx>
        <c:axId val="205516800"/>
        <c:scaling>
          <c:orientation val="minMax"/>
          <c:max val="-1.1000000000000001"/>
        </c:scaling>
        <c:delete val="0"/>
        <c:axPos val="l"/>
        <c:majorGridlines/>
        <c:title>
          <c:tx>
            <c:rich>
              <a:bodyPr/>
              <a:lstStyle/>
              <a:p>
                <a:pPr>
                  <a:defRPr sz="1099" b="0" i="0" u="none" strike="noStrike" baseline="0">
                    <a:solidFill>
                      <a:srgbClr val="000000"/>
                    </a:solidFill>
                    <a:latin typeface="Calibri"/>
                    <a:ea typeface="Calibri"/>
                    <a:cs typeface="Calibri"/>
                  </a:defRPr>
                </a:pPr>
                <a:r>
                  <a:rPr lang="ru-RU" sz="1049" b="0" i="0" u="none" strike="noStrike" baseline="0">
                    <a:solidFill>
                      <a:srgbClr val="000000"/>
                    </a:solidFill>
                    <a:latin typeface="Times New Roman"/>
                    <a:cs typeface="Times New Roman"/>
                  </a:rPr>
                  <a:t>Среднее значение Т-критерия, SD</a:t>
                </a:r>
              </a:p>
            </c:rich>
          </c:tx>
          <c:overlay val="0"/>
        </c:title>
        <c:numFmt formatCode="0.00" sourceLinked="0"/>
        <c:majorTickMark val="out"/>
        <c:minorTickMark val="none"/>
        <c:tickLblPos val="nextTo"/>
        <c:txPr>
          <a:bodyPr/>
          <a:lstStyle/>
          <a:p>
            <a:pPr>
              <a:defRPr sz="1199"/>
            </a:pPr>
            <a:endParaRPr lang="ru-RU"/>
          </a:p>
        </c:txPr>
        <c:crossAx val="205502720"/>
        <c:crosses val="autoZero"/>
        <c:crossBetween val="between"/>
      </c:valAx>
    </c:plotArea>
    <c:legend>
      <c:legendPos val="b"/>
      <c:layout>
        <c:manualLayout>
          <c:xMode val="edge"/>
          <c:yMode val="edge"/>
          <c:x val="9.1041605117467991E-2"/>
          <c:y val="0.83862776355409563"/>
          <c:w val="0.82254631711003501"/>
          <c:h val="0.13756275864289969"/>
        </c:manualLayout>
      </c:layout>
      <c:overlay val="0"/>
      <c:txPr>
        <a:bodyPr/>
        <a:lstStyle/>
        <a:p>
          <a:pPr>
            <a:defRPr sz="1199"/>
          </a:pPr>
          <a:endParaRPr lang="ru-RU"/>
        </a:p>
      </c:txPr>
    </c:legend>
    <c:plotVisOnly val="1"/>
    <c:dispBlanksAs val="gap"/>
    <c:showDLblsOverMax val="0"/>
  </c:chart>
  <c:spPr>
    <a:ln>
      <a:noFill/>
    </a:ln>
  </c:sp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53825575173889"/>
          <c:y val="4.621047369078865E-2"/>
          <c:w val="0.89346168887373201"/>
          <c:h val="0.6750431196100487"/>
        </c:manualLayout>
      </c:layout>
      <c:lineChart>
        <c:grouping val="standard"/>
        <c:varyColors val="0"/>
        <c:ser>
          <c:idx val="0"/>
          <c:order val="0"/>
          <c:tx>
            <c:strRef>
              <c:f>Лист1!$B$1</c:f>
              <c:strCache>
                <c:ptCount val="1"/>
                <c:pt idx="0">
                  <c:v>"Ответчики" группа 1</c:v>
                </c:pt>
              </c:strCache>
            </c:strRef>
          </c:tx>
          <c:spPr>
            <a:ln w="31715">
              <a:solidFill>
                <a:srgbClr val="0070C0"/>
              </a:solidFill>
            </a:ln>
          </c:spPr>
          <c:marker>
            <c:symbol val="circle"/>
            <c:size val="6"/>
            <c:spPr>
              <a:solidFill>
                <a:srgbClr val="0070C0"/>
              </a:solidFill>
              <a:ln>
                <a:solidFill>
                  <a:srgbClr val="0070C0"/>
                </a:solidFill>
              </a:ln>
            </c:spPr>
          </c:marker>
          <c:dLbls>
            <c:dLbl>
              <c:idx val="0"/>
              <c:layout>
                <c:manualLayout>
                  <c:x val="-9.6308186195826651E-2"/>
                  <c:y val="3.968253968253968E-3"/>
                </c:manualLayout>
              </c:layout>
              <c:dLblPos val="r"/>
              <c:showLegendKey val="0"/>
              <c:showVal val="1"/>
              <c:showCatName val="0"/>
              <c:showSerName val="0"/>
              <c:showPercent val="0"/>
              <c:showBubbleSize val="0"/>
            </c:dLbl>
            <c:dLbl>
              <c:idx val="1"/>
              <c:layout>
                <c:manualLayout>
                  <c:x val="-3.2102728731942254E-2"/>
                  <c:y val="5.9523809523809521E-2"/>
                </c:manualLayout>
              </c:layout>
              <c:dLblPos val="r"/>
              <c:showLegendKey val="0"/>
              <c:showVal val="1"/>
              <c:showCatName val="0"/>
              <c:showSerName val="0"/>
              <c:showPercent val="0"/>
              <c:showBubbleSize val="0"/>
            </c:dLbl>
            <c:dLbl>
              <c:idx val="2"/>
              <c:layout>
                <c:manualLayout>
                  <c:x val="-2.7822364901016586E-2"/>
                  <c:y val="3.5714285714285712E-2"/>
                </c:manualLayout>
              </c:layout>
              <c:dLblPos val="r"/>
              <c:showLegendKey val="0"/>
              <c:showVal val="1"/>
              <c:showCatName val="0"/>
              <c:showSerName val="0"/>
              <c:showPercent val="0"/>
              <c:showBubbleSize val="0"/>
            </c:dLbl>
            <c:dLbl>
              <c:idx val="3"/>
              <c:layout>
                <c:manualLayout>
                  <c:x val="-3.8523274478330656E-2"/>
                  <c:y val="5.9523809523809521E-2"/>
                </c:manualLayout>
              </c:layout>
              <c:dLblPos val="r"/>
              <c:showLegendKey val="0"/>
              <c:showVal val="1"/>
              <c:showCatName val="0"/>
              <c:showSerName val="0"/>
              <c:showPercent val="0"/>
              <c:showBubbleSize val="0"/>
            </c:dLbl>
            <c:txPr>
              <a:bodyPr/>
              <a:lstStyle/>
              <a:p>
                <a:pPr>
                  <a:defRPr sz="1199">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Лист1!$B$2:$B$6</c:f>
              <c:numCache>
                <c:formatCode>0.0000</c:formatCode>
                <c:ptCount val="5"/>
                <c:pt idx="0">
                  <c:v>0.89080000000000004</c:v>
                </c:pt>
                <c:pt idx="1">
                  <c:v>0.89319999999999999</c:v>
                </c:pt>
                <c:pt idx="2">
                  <c:v>0.875</c:v>
                </c:pt>
                <c:pt idx="3">
                  <c:v>0.88570000000000004</c:v>
                </c:pt>
                <c:pt idx="4">
                  <c:v>0.85499999999999998</c:v>
                </c:pt>
              </c:numCache>
            </c:numRef>
          </c:val>
          <c:smooth val="0"/>
        </c:ser>
        <c:ser>
          <c:idx val="1"/>
          <c:order val="1"/>
          <c:tx>
            <c:strRef>
              <c:f>Лист1!$C$1</c:f>
              <c:strCache>
                <c:ptCount val="1"/>
                <c:pt idx="0">
                  <c:v>"Неответчики" группа 1</c:v>
                </c:pt>
              </c:strCache>
            </c:strRef>
          </c:tx>
          <c:spPr>
            <a:ln w="31715" cmpd="sng">
              <a:solidFill>
                <a:srgbClr val="0070C0"/>
              </a:solidFill>
              <a:prstDash val="dash"/>
            </a:ln>
          </c:spPr>
          <c:marker>
            <c:symbol val="circle"/>
            <c:size val="6"/>
            <c:spPr>
              <a:solidFill>
                <a:srgbClr val="0070C0"/>
              </a:solidFill>
              <a:ln>
                <a:solidFill>
                  <a:srgbClr val="0070C0"/>
                </a:solidFill>
              </a:ln>
            </c:spPr>
          </c:marker>
          <c:dLbls>
            <c:dLbl>
              <c:idx val="0"/>
              <c:layout>
                <c:manualLayout>
                  <c:x val="-9.6308104518756862E-2"/>
                  <c:y val="-3.1746031746031744E-2"/>
                </c:manualLayout>
              </c:layout>
              <c:dLblPos val="r"/>
              <c:showLegendKey val="0"/>
              <c:showVal val="1"/>
              <c:showCatName val="0"/>
              <c:showSerName val="0"/>
              <c:showPercent val="0"/>
              <c:showBubbleSize val="0"/>
            </c:dLbl>
            <c:dLbl>
              <c:idx val="1"/>
              <c:layout>
                <c:manualLayout>
                  <c:x val="-2.568218298555381E-2"/>
                  <c:y val="-4.7619047619047609E-2"/>
                </c:manualLayout>
              </c:layout>
              <c:dLblPos val="r"/>
              <c:showLegendKey val="0"/>
              <c:showVal val="1"/>
              <c:showCatName val="0"/>
              <c:showSerName val="0"/>
              <c:showPercent val="0"/>
              <c:showBubbleSize val="0"/>
            </c:dLbl>
            <c:dLbl>
              <c:idx val="2"/>
              <c:layout>
                <c:manualLayout>
                  <c:x val="-4.7084002140181914E-2"/>
                  <c:y val="-5.9523809523809514E-2"/>
                </c:manualLayout>
              </c:layout>
              <c:dLblPos val="r"/>
              <c:showLegendKey val="0"/>
              <c:showVal val="1"/>
              <c:showCatName val="0"/>
              <c:showSerName val="0"/>
              <c:showPercent val="0"/>
              <c:showBubbleSize val="0"/>
            </c:dLbl>
            <c:dLbl>
              <c:idx val="3"/>
              <c:layout>
                <c:manualLayout>
                  <c:x val="-6.206043397333063E-2"/>
                  <c:y val="5.1587301587301584E-2"/>
                </c:manualLayout>
              </c:layout>
              <c:dLblPos val="r"/>
              <c:showLegendKey val="0"/>
              <c:showVal val="1"/>
              <c:showCatName val="0"/>
              <c:showSerName val="0"/>
              <c:showPercent val="0"/>
              <c:showBubbleSize val="0"/>
            </c:dLbl>
            <c:txPr>
              <a:bodyPr/>
              <a:lstStyle/>
              <a:p>
                <a:pPr>
                  <a:defRPr sz="1199">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Лист1!$C$2:$C$6</c:f>
              <c:numCache>
                <c:formatCode>0.0000</c:formatCode>
                <c:ptCount val="5"/>
                <c:pt idx="0">
                  <c:v>1.0049999999999999</c:v>
                </c:pt>
                <c:pt idx="1">
                  <c:v>1.008</c:v>
                </c:pt>
                <c:pt idx="2">
                  <c:v>0.98880000000000001</c:v>
                </c:pt>
                <c:pt idx="3">
                  <c:v>1.0209999999999999</c:v>
                </c:pt>
                <c:pt idx="4">
                  <c:v>1.028</c:v>
                </c:pt>
              </c:numCache>
            </c:numRef>
          </c:val>
          <c:smooth val="0"/>
        </c:ser>
        <c:ser>
          <c:idx val="2"/>
          <c:order val="2"/>
          <c:tx>
            <c:strRef>
              <c:f>Лист1!$D$1</c:f>
              <c:strCache>
                <c:ptCount val="1"/>
                <c:pt idx="0">
                  <c:v>"Ответчики" группа 2</c:v>
                </c:pt>
              </c:strCache>
            </c:strRef>
          </c:tx>
          <c:spPr>
            <a:ln w="31715">
              <a:solidFill>
                <a:srgbClr val="C00000"/>
              </a:solidFill>
            </a:ln>
          </c:spPr>
          <c:marker>
            <c:symbol val="square"/>
            <c:size val="6"/>
            <c:spPr>
              <a:solidFill>
                <a:srgbClr val="C00000"/>
              </a:solidFill>
              <a:ln>
                <a:solidFill>
                  <a:srgbClr val="C00000"/>
                </a:solidFill>
              </a:ln>
            </c:spPr>
          </c:marker>
          <c:dLbls>
            <c:dLbl>
              <c:idx val="0"/>
              <c:layout>
                <c:manualLayout>
                  <c:x val="-0.10058855002675228"/>
                  <c:y val="7.9365079365079361E-3"/>
                </c:manualLayout>
              </c:layout>
              <c:dLblPos val="r"/>
              <c:showLegendKey val="0"/>
              <c:showVal val="1"/>
              <c:showCatName val="0"/>
              <c:showSerName val="0"/>
              <c:showPercent val="0"/>
              <c:showBubbleSize val="0"/>
            </c:dLbl>
            <c:dLbl>
              <c:idx val="1"/>
              <c:layout>
                <c:manualLayout>
                  <c:x val="-1.2842349914649991E-2"/>
                  <c:y val="-1.5873015873015872E-2"/>
                </c:manualLayout>
              </c:layout>
              <c:dLblPos val="r"/>
              <c:showLegendKey val="0"/>
              <c:showVal val="1"/>
              <c:showCatName val="0"/>
              <c:showSerName val="0"/>
              <c:showPercent val="0"/>
              <c:showBubbleSize val="0"/>
            </c:dLbl>
            <c:dLbl>
              <c:idx val="2"/>
              <c:layout>
                <c:manualLayout>
                  <c:x val="1.7113304475016067E-2"/>
                  <c:y val="-2.3809523809523808E-2"/>
                </c:manualLayout>
              </c:layout>
              <c:dLblPos val="r"/>
              <c:showLegendKey val="0"/>
              <c:showVal val="1"/>
              <c:showCatName val="0"/>
              <c:showSerName val="0"/>
              <c:showPercent val="0"/>
              <c:showBubbleSize val="0"/>
            </c:dLbl>
            <c:dLbl>
              <c:idx val="3"/>
              <c:layout>
                <c:manualLayout>
                  <c:x val="-6.2063466843067357E-2"/>
                  <c:y val="-5.1587301587301591E-2"/>
                </c:manualLayout>
              </c:layout>
              <c:dLblPos val="r"/>
              <c:showLegendKey val="0"/>
              <c:showVal val="1"/>
              <c:showCatName val="0"/>
              <c:showSerName val="0"/>
              <c:showPercent val="0"/>
              <c:showBubbleSize val="0"/>
            </c:dLbl>
            <c:txPr>
              <a:bodyPr/>
              <a:lstStyle/>
              <a:p>
                <a:pPr>
                  <a:defRPr sz="1199">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Лист1!$D$2:$D$6</c:f>
              <c:numCache>
                <c:formatCode>0.0000</c:formatCode>
                <c:ptCount val="5"/>
                <c:pt idx="0">
                  <c:v>0.9486</c:v>
                </c:pt>
                <c:pt idx="1">
                  <c:v>0.98560000000000003</c:v>
                </c:pt>
                <c:pt idx="2">
                  <c:v>0.96509999999999996</c:v>
                </c:pt>
                <c:pt idx="3">
                  <c:v>1.0289999999999999</c:v>
                </c:pt>
                <c:pt idx="4">
                  <c:v>0.88890000000000002</c:v>
                </c:pt>
              </c:numCache>
            </c:numRef>
          </c:val>
          <c:smooth val="0"/>
        </c:ser>
        <c:ser>
          <c:idx val="3"/>
          <c:order val="3"/>
          <c:tx>
            <c:strRef>
              <c:f>Лист1!$E$1</c:f>
              <c:strCache>
                <c:ptCount val="1"/>
                <c:pt idx="0">
                  <c:v>"Неответчики" группа 2</c:v>
                </c:pt>
              </c:strCache>
            </c:strRef>
          </c:tx>
          <c:spPr>
            <a:ln w="31715">
              <a:solidFill>
                <a:srgbClr val="C00000"/>
              </a:solidFill>
              <a:prstDash val="dash"/>
            </a:ln>
          </c:spPr>
          <c:marker>
            <c:symbol val="square"/>
            <c:size val="6"/>
            <c:spPr>
              <a:solidFill>
                <a:srgbClr val="C00000"/>
              </a:solidFill>
              <a:ln>
                <a:solidFill>
                  <a:srgbClr val="C00000"/>
                </a:solidFill>
              </a:ln>
            </c:spPr>
          </c:marker>
          <c:dLbls>
            <c:dLbl>
              <c:idx val="0"/>
              <c:layout>
                <c:manualLayout>
                  <c:x val="-9.8448636581834489E-2"/>
                  <c:y val="3.968253968253968E-2"/>
                </c:manualLayout>
              </c:layout>
              <c:dLblPos val="r"/>
              <c:showLegendKey val="0"/>
              <c:showVal val="1"/>
              <c:showCatName val="0"/>
              <c:showSerName val="0"/>
              <c:showPercent val="0"/>
              <c:showBubbleSize val="0"/>
            </c:dLbl>
            <c:dLbl>
              <c:idx val="1"/>
              <c:layout>
                <c:manualLayout>
                  <c:x val="-3.6382473854556709E-2"/>
                  <c:y val="9.5238095238095205E-2"/>
                </c:manualLayout>
              </c:layout>
              <c:dLblPos val="r"/>
              <c:showLegendKey val="0"/>
              <c:showVal val="1"/>
              <c:showCatName val="0"/>
              <c:showSerName val="0"/>
              <c:showPercent val="0"/>
              <c:showBubbleSize val="0"/>
            </c:dLbl>
            <c:dLbl>
              <c:idx val="2"/>
              <c:layout>
                <c:manualLayout>
                  <c:x val="-3.2102728731942212E-2"/>
                  <c:y val="4.7619047619047658E-2"/>
                </c:manualLayout>
              </c:layout>
              <c:dLblPos val="r"/>
              <c:showLegendKey val="0"/>
              <c:showVal val="1"/>
              <c:showCatName val="0"/>
              <c:showSerName val="0"/>
              <c:showPercent val="0"/>
              <c:showBubbleSize val="0"/>
            </c:dLbl>
            <c:dLbl>
              <c:idx val="3"/>
              <c:layout>
                <c:manualLayout>
                  <c:x val="-1.0700975387756608E-2"/>
                  <c:y val="-3.968253968253968E-2"/>
                </c:manualLayout>
              </c:layout>
              <c:dLblPos val="r"/>
              <c:showLegendKey val="0"/>
              <c:showVal val="1"/>
              <c:showCatName val="0"/>
              <c:showSerName val="0"/>
              <c:showPercent val="0"/>
              <c:showBubbleSize val="0"/>
            </c:dLbl>
            <c:dLbl>
              <c:idx val="4"/>
              <c:layout>
                <c:manualLayout>
                  <c:x val="-2.1398580920250184E-3"/>
                  <c:y val="-2.3809523809523808E-2"/>
                </c:manualLayout>
              </c:layout>
              <c:dLblPos val="r"/>
              <c:showLegendKey val="0"/>
              <c:showVal val="1"/>
              <c:showCatName val="0"/>
              <c:showSerName val="0"/>
              <c:showPercent val="0"/>
              <c:showBubbleSize val="0"/>
            </c:dLbl>
            <c:txPr>
              <a:bodyPr/>
              <a:lstStyle/>
              <a:p>
                <a:pPr>
                  <a:defRPr sz="1199">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Лист1!$E$2:$E$6</c:f>
              <c:numCache>
                <c:formatCode>0.0000</c:formatCode>
                <c:ptCount val="5"/>
                <c:pt idx="0">
                  <c:v>1.008</c:v>
                </c:pt>
                <c:pt idx="1">
                  <c:v>0.98740000000000006</c:v>
                </c:pt>
                <c:pt idx="2">
                  <c:v>0.97240000000000004</c:v>
                </c:pt>
                <c:pt idx="3">
                  <c:v>0.92110000000000003</c:v>
                </c:pt>
                <c:pt idx="4">
                  <c:v>0.90049999999999997</c:v>
                </c:pt>
              </c:numCache>
            </c:numRef>
          </c:val>
          <c:smooth val="0"/>
        </c:ser>
        <c:dLbls>
          <c:showLegendKey val="0"/>
          <c:showVal val="0"/>
          <c:showCatName val="0"/>
          <c:showSerName val="0"/>
          <c:showPercent val="0"/>
          <c:showBubbleSize val="0"/>
        </c:dLbls>
        <c:marker val="1"/>
        <c:smooth val="0"/>
        <c:axId val="196894720"/>
        <c:axId val="196896256"/>
      </c:lineChart>
      <c:catAx>
        <c:axId val="196894720"/>
        <c:scaling>
          <c:orientation val="minMax"/>
        </c:scaling>
        <c:delete val="0"/>
        <c:axPos val="b"/>
        <c:numFmt formatCode="General" sourceLinked="1"/>
        <c:majorTickMark val="out"/>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196896256"/>
        <c:crosses val="autoZero"/>
        <c:auto val="1"/>
        <c:lblAlgn val="ctr"/>
        <c:lblOffset val="100"/>
        <c:noMultiLvlLbl val="0"/>
      </c:catAx>
      <c:valAx>
        <c:axId val="196896256"/>
        <c:scaling>
          <c:orientation val="minMax"/>
          <c:min val="0.8"/>
        </c:scaling>
        <c:delete val="0"/>
        <c:axPos val="l"/>
        <c:majorGridlines/>
        <c:title>
          <c:tx>
            <c:rich>
              <a:bodyPr/>
              <a:lstStyle/>
              <a:p>
                <a:pPr>
                  <a:defRPr sz="1099" b="0" i="0" u="none" strike="noStrike" baseline="0">
                    <a:solidFill>
                      <a:srgbClr val="000000"/>
                    </a:solidFill>
                    <a:latin typeface="Calibri"/>
                    <a:ea typeface="Calibri"/>
                    <a:cs typeface="Calibri"/>
                  </a:defRPr>
                </a:pPr>
                <a:r>
                  <a:rPr lang="ru-RU" sz="1049" b="0" i="0" u="none" strike="noStrike" baseline="0">
                    <a:solidFill>
                      <a:srgbClr val="000000"/>
                    </a:solidFill>
                    <a:latin typeface="Times New Roman"/>
                    <a:cs typeface="Times New Roman"/>
                  </a:rPr>
                  <a:t>Среднее значение МПК, г/см</a:t>
                </a:r>
                <a:r>
                  <a:rPr lang="ru-RU" sz="1049" b="0" i="0" u="none" strike="noStrike" baseline="30000">
                    <a:solidFill>
                      <a:srgbClr val="000000"/>
                    </a:solidFill>
                    <a:latin typeface="Times New Roman"/>
                    <a:cs typeface="Times New Roman"/>
                  </a:rPr>
                  <a:t>2</a:t>
                </a:r>
              </a:p>
            </c:rich>
          </c:tx>
          <c:layout>
            <c:manualLayout>
              <c:xMode val="edge"/>
              <c:yMode val="edge"/>
              <c:x val="6.4196135352575226E-3"/>
              <c:y val="0.10943625911791702"/>
            </c:manualLayout>
          </c:layout>
          <c:overlay val="0"/>
        </c:title>
        <c:numFmt formatCode="0.00" sourceLinked="0"/>
        <c:majorTickMark val="out"/>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196894720"/>
        <c:crosses val="autoZero"/>
        <c:crossBetween val="between"/>
      </c:valAx>
    </c:plotArea>
    <c:legend>
      <c:legendPos val="b"/>
      <c:layout>
        <c:manualLayout>
          <c:xMode val="edge"/>
          <c:yMode val="edge"/>
          <c:x val="9.1041605117467991E-2"/>
          <c:y val="0.83862776355409563"/>
          <c:w val="0.82254631711003501"/>
          <c:h val="0.13756275864289969"/>
        </c:manualLayout>
      </c:layout>
      <c:overlay val="0"/>
      <c:txPr>
        <a:bodyPr/>
        <a:lstStyle/>
        <a:p>
          <a:pPr>
            <a:defRPr sz="1199">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"Ответчики" группа 1</c:v>
                </c:pt>
              </c:strCache>
            </c:strRef>
          </c:tx>
          <c:spPr>
            <a:ln w="31715">
              <a:solidFill>
                <a:srgbClr val="0070C0"/>
              </a:solidFill>
            </a:ln>
          </c:spPr>
          <c:marker>
            <c:symbol val="circle"/>
            <c:size val="6"/>
            <c:spPr>
              <a:solidFill>
                <a:srgbClr val="0070C0"/>
              </a:solidFill>
              <a:ln>
                <a:solidFill>
                  <a:srgbClr val="0070C0"/>
                </a:solidFill>
              </a:ln>
            </c:spPr>
          </c:marker>
          <c:dLbls>
            <c:dLbl>
              <c:idx val="0"/>
              <c:layout>
                <c:manualLayout>
                  <c:x val="-8.5607276618512571E-2"/>
                  <c:y val="0"/>
                </c:manualLayout>
              </c:layout>
              <c:dLblPos val="r"/>
              <c:showLegendKey val="0"/>
              <c:showVal val="1"/>
              <c:showCatName val="0"/>
              <c:showSerName val="0"/>
              <c:showPercent val="0"/>
              <c:showBubbleSize val="0"/>
            </c:dLbl>
            <c:dLbl>
              <c:idx val="1"/>
              <c:layout>
                <c:manualLayout>
                  <c:x val="-4.2803638309256285E-2"/>
                  <c:y val="4.3650793650793725E-2"/>
                </c:manualLayout>
              </c:layout>
              <c:dLblPos val="r"/>
              <c:showLegendKey val="0"/>
              <c:showVal val="1"/>
              <c:showCatName val="0"/>
              <c:showSerName val="0"/>
              <c:showPercent val="0"/>
              <c:showBubbleSize val="0"/>
            </c:dLbl>
            <c:dLbl>
              <c:idx val="2"/>
              <c:layout>
                <c:manualLayout>
                  <c:x val="-4.2803638309256285E-2"/>
                  <c:y val="4.7619047619047693E-2"/>
                </c:manualLayout>
              </c:layout>
              <c:dLblPos val="r"/>
              <c:showLegendKey val="0"/>
              <c:showVal val="1"/>
              <c:showCatName val="0"/>
              <c:showSerName val="0"/>
              <c:showPercent val="0"/>
              <c:showBubbleSize val="0"/>
            </c:dLbl>
            <c:dLbl>
              <c:idx val="3"/>
              <c:layout>
                <c:manualLayout>
                  <c:x val="-3.8523274478330656E-2"/>
                  <c:y val="5.5555555555555552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Лист1!$B$2:$B$6</c:f>
              <c:numCache>
                <c:formatCode>0.00</c:formatCode>
                <c:ptCount val="5"/>
                <c:pt idx="0">
                  <c:v>-0.99</c:v>
                </c:pt>
                <c:pt idx="1">
                  <c:v>-0.99</c:v>
                </c:pt>
                <c:pt idx="2">
                  <c:v>-1.1599999999999999</c:v>
                </c:pt>
                <c:pt idx="3">
                  <c:v>-0.93</c:v>
                </c:pt>
                <c:pt idx="4">
                  <c:v>-1.36</c:v>
                </c:pt>
              </c:numCache>
            </c:numRef>
          </c:val>
          <c:smooth val="0"/>
        </c:ser>
        <c:ser>
          <c:idx val="1"/>
          <c:order val="1"/>
          <c:tx>
            <c:strRef>
              <c:f>Лист1!$C$1</c:f>
              <c:strCache>
                <c:ptCount val="1"/>
                <c:pt idx="0">
                  <c:v>"Неответчики" группа 1</c:v>
                </c:pt>
              </c:strCache>
            </c:strRef>
          </c:tx>
          <c:spPr>
            <a:ln w="31715" cmpd="sng">
              <a:solidFill>
                <a:srgbClr val="0070C0"/>
              </a:solidFill>
              <a:prstDash val="dash"/>
            </a:ln>
          </c:spPr>
          <c:marker>
            <c:symbol val="circle"/>
            <c:size val="6"/>
            <c:spPr>
              <a:solidFill>
                <a:srgbClr val="0070C0"/>
              </a:solidFill>
              <a:ln>
                <a:solidFill>
                  <a:srgbClr val="0070C0"/>
                </a:solidFill>
              </a:ln>
            </c:spPr>
          </c:marker>
          <c:dLbls>
            <c:dLbl>
              <c:idx val="0"/>
              <c:layout>
                <c:manualLayout>
                  <c:x val="-7.4923447069116356E-2"/>
                  <c:y val="-1.9787935653995985E-2"/>
                </c:manualLayout>
              </c:layout>
              <c:dLblPos val="r"/>
              <c:showLegendKey val="0"/>
              <c:showVal val="1"/>
              <c:showCatName val="0"/>
              <c:showSerName val="0"/>
              <c:showPercent val="0"/>
              <c:showBubbleSize val="0"/>
            </c:dLbl>
            <c:dLbl>
              <c:idx val="1"/>
              <c:layout>
                <c:manualLayout>
                  <c:x val="-4.49438202247191E-2"/>
                  <c:y val="3.5714285714285678E-2"/>
                </c:manualLayout>
              </c:layout>
              <c:dLblPos val="r"/>
              <c:showLegendKey val="0"/>
              <c:showVal val="1"/>
              <c:showCatName val="0"/>
              <c:showSerName val="0"/>
              <c:showPercent val="0"/>
              <c:showBubbleSize val="0"/>
            </c:dLbl>
            <c:dLbl>
              <c:idx val="2"/>
              <c:layout>
                <c:manualLayout>
                  <c:x val="-3.2102728731942212E-2"/>
                  <c:y val="-4.7619047619047658E-2"/>
                </c:manualLayout>
              </c:layout>
              <c:dLblPos val="r"/>
              <c:showLegendKey val="0"/>
              <c:showVal val="1"/>
              <c:showCatName val="0"/>
              <c:showSerName val="0"/>
              <c:showPercent val="0"/>
              <c:showBubbleSize val="0"/>
            </c:dLbl>
            <c:dLbl>
              <c:idx val="3"/>
              <c:layout>
                <c:manualLayout>
                  <c:x val="-3.8502759270475806E-2"/>
                  <c:y val="4.7331183979188701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Лист1!$C$2:$C$6</c:f>
              <c:numCache>
                <c:formatCode>0.00</c:formatCode>
                <c:ptCount val="5"/>
                <c:pt idx="0">
                  <c:v>-0.73</c:v>
                </c:pt>
                <c:pt idx="1">
                  <c:v>-0.65</c:v>
                </c:pt>
                <c:pt idx="2">
                  <c:v>-0.75</c:v>
                </c:pt>
                <c:pt idx="3">
                  <c:v>-0.69</c:v>
                </c:pt>
                <c:pt idx="4">
                  <c:v>-0.63</c:v>
                </c:pt>
              </c:numCache>
            </c:numRef>
          </c:val>
          <c:smooth val="0"/>
        </c:ser>
        <c:ser>
          <c:idx val="2"/>
          <c:order val="2"/>
          <c:tx>
            <c:strRef>
              <c:f>Лист1!$D$1</c:f>
              <c:strCache>
                <c:ptCount val="1"/>
                <c:pt idx="0">
                  <c:v>"Ответчики" группа 2</c:v>
                </c:pt>
              </c:strCache>
            </c:strRef>
          </c:tx>
          <c:spPr>
            <a:ln w="31715">
              <a:solidFill>
                <a:srgbClr val="C00000"/>
              </a:solidFill>
            </a:ln>
          </c:spPr>
          <c:marker>
            <c:symbol val="square"/>
            <c:size val="6"/>
            <c:spPr>
              <a:solidFill>
                <a:srgbClr val="C00000"/>
              </a:solidFill>
              <a:ln>
                <a:solidFill>
                  <a:srgbClr val="C00000"/>
                </a:solidFill>
              </a:ln>
            </c:spPr>
          </c:marker>
          <c:dLbls>
            <c:dLbl>
              <c:idx val="0"/>
              <c:layout>
                <c:manualLayout>
                  <c:x val="-7.9186730872124134E-2"/>
                  <c:y val="1.984126984126984E-2"/>
                </c:manualLayout>
              </c:layout>
              <c:dLblPos val="r"/>
              <c:showLegendKey val="0"/>
              <c:showVal val="1"/>
              <c:showCatName val="0"/>
              <c:showSerName val="0"/>
              <c:showPercent val="0"/>
              <c:showBubbleSize val="0"/>
            </c:dLbl>
            <c:dLbl>
              <c:idx val="1"/>
              <c:layout>
                <c:manualLayout>
                  <c:x val="-3.2102728731942212E-2"/>
                  <c:y val="-5.1587301587301584E-2"/>
                </c:manualLayout>
              </c:layout>
              <c:dLblPos val="r"/>
              <c:showLegendKey val="0"/>
              <c:showVal val="1"/>
              <c:showCatName val="0"/>
              <c:showSerName val="0"/>
              <c:showPercent val="0"/>
              <c:showBubbleSize val="0"/>
            </c:dLbl>
            <c:dLbl>
              <c:idx val="2"/>
              <c:layout>
                <c:manualLayout>
                  <c:x val="-2.9914529914529916E-2"/>
                  <c:y val="4.3529877324891178E-2"/>
                </c:manualLayout>
              </c:layout>
              <c:showLegendKey val="0"/>
              <c:showVal val="1"/>
              <c:showCatName val="0"/>
              <c:showSerName val="0"/>
              <c:showPercent val="0"/>
              <c:showBubbleSize val="0"/>
            </c:dLbl>
            <c:dLbl>
              <c:idx val="3"/>
              <c:layout>
                <c:manualLayout>
                  <c:x val="0"/>
                  <c:y val="-2.3809523809523808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Лист1!$D$2:$D$6</c:f>
              <c:numCache>
                <c:formatCode>0.00</c:formatCode>
                <c:ptCount val="5"/>
                <c:pt idx="0">
                  <c:v>-0.75</c:v>
                </c:pt>
                <c:pt idx="1">
                  <c:v>-0.49</c:v>
                </c:pt>
                <c:pt idx="2">
                  <c:v>-0.77</c:v>
                </c:pt>
                <c:pt idx="3">
                  <c:v>-0.32</c:v>
                </c:pt>
                <c:pt idx="4">
                  <c:v>-1.1499999999999999</c:v>
                </c:pt>
              </c:numCache>
            </c:numRef>
          </c:val>
          <c:smooth val="0"/>
        </c:ser>
        <c:ser>
          <c:idx val="3"/>
          <c:order val="3"/>
          <c:tx>
            <c:strRef>
              <c:f>Лист1!$E$1</c:f>
              <c:strCache>
                <c:ptCount val="1"/>
                <c:pt idx="0">
                  <c:v>"Неответчики" группа 2</c:v>
                </c:pt>
              </c:strCache>
            </c:strRef>
          </c:tx>
          <c:spPr>
            <a:ln w="31715">
              <a:solidFill>
                <a:srgbClr val="C00000"/>
              </a:solidFill>
              <a:prstDash val="dash"/>
            </a:ln>
          </c:spPr>
          <c:marker>
            <c:symbol val="square"/>
            <c:size val="6"/>
            <c:spPr>
              <a:solidFill>
                <a:srgbClr val="C00000"/>
              </a:solidFill>
              <a:ln>
                <a:solidFill>
                  <a:srgbClr val="C00000"/>
                </a:solidFill>
              </a:ln>
            </c:spPr>
          </c:marker>
          <c:dLbls>
            <c:dLbl>
              <c:idx val="0"/>
              <c:layout>
                <c:manualLayout>
                  <c:x val="-8.3467094703049763E-2"/>
                  <c:y val="-7.9365079365079361E-3"/>
                </c:manualLayout>
              </c:layout>
              <c:dLblPos val="r"/>
              <c:showLegendKey val="0"/>
              <c:showVal val="1"/>
              <c:showCatName val="0"/>
              <c:showSerName val="0"/>
              <c:showPercent val="0"/>
              <c:showBubbleSize val="0"/>
            </c:dLbl>
            <c:dLbl>
              <c:idx val="1"/>
              <c:delete val="1"/>
            </c:dLbl>
            <c:dLbl>
              <c:idx val="2"/>
              <c:layout>
                <c:manualLayout>
                  <c:x val="-2.354549431321085E-2"/>
                  <c:y val="-3.9706128900170952E-2"/>
                </c:manualLayout>
              </c:layout>
              <c:dLblPos val="r"/>
              <c:showLegendKey val="0"/>
              <c:showVal val="1"/>
              <c:showCatName val="0"/>
              <c:showSerName val="0"/>
              <c:showPercent val="0"/>
              <c:showBubbleSize val="0"/>
            </c:dLbl>
            <c:dLbl>
              <c:idx val="3"/>
              <c:layout>
                <c:manualLayout>
                  <c:x val="-4.2765832155595936E-2"/>
                  <c:y val="-4.7608526699378567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Лист1!$A$2:$A$6</c:f>
              <c:strCache>
                <c:ptCount val="5"/>
                <c:pt idx="0">
                  <c:v>Исходно</c:v>
                </c:pt>
                <c:pt idx="1">
                  <c:v>12 месяцев</c:v>
                </c:pt>
                <c:pt idx="2">
                  <c:v>24 месяца</c:v>
                </c:pt>
                <c:pt idx="3">
                  <c:v>36 месяцев</c:v>
                </c:pt>
                <c:pt idx="4">
                  <c:v>48 месяцев</c:v>
                </c:pt>
              </c:strCache>
            </c:strRef>
          </c:cat>
          <c:val>
            <c:numRef>
              <c:f>Лист1!$E$2:$E$6</c:f>
              <c:numCache>
                <c:formatCode>0.00</c:formatCode>
                <c:ptCount val="5"/>
                <c:pt idx="0">
                  <c:v>-0.26</c:v>
                </c:pt>
                <c:pt idx="1">
                  <c:v>-0.31</c:v>
                </c:pt>
                <c:pt idx="2">
                  <c:v>-0.32</c:v>
                </c:pt>
                <c:pt idx="3">
                  <c:v>-0.62</c:v>
                </c:pt>
                <c:pt idx="4">
                  <c:v>-0.95</c:v>
                </c:pt>
              </c:numCache>
            </c:numRef>
          </c:val>
          <c:smooth val="0"/>
        </c:ser>
        <c:dLbls>
          <c:showLegendKey val="0"/>
          <c:showVal val="0"/>
          <c:showCatName val="0"/>
          <c:showSerName val="0"/>
          <c:showPercent val="0"/>
          <c:showBubbleSize val="0"/>
        </c:dLbls>
        <c:marker val="1"/>
        <c:smooth val="0"/>
        <c:axId val="172746240"/>
        <c:axId val="172747776"/>
      </c:lineChart>
      <c:catAx>
        <c:axId val="172746240"/>
        <c:scaling>
          <c:orientation val="minMax"/>
        </c:scaling>
        <c:delete val="0"/>
        <c:axPos val="b"/>
        <c:numFmt formatCode="General" sourceLinked="1"/>
        <c:majorTickMark val="out"/>
        <c:minorTickMark val="none"/>
        <c:tickLblPos val="nextTo"/>
        <c:txPr>
          <a:bodyPr/>
          <a:lstStyle/>
          <a:p>
            <a:pPr>
              <a:defRPr sz="1199"/>
            </a:pPr>
            <a:endParaRPr lang="ru-RU"/>
          </a:p>
        </c:txPr>
        <c:crossAx val="172747776"/>
        <c:crosses val="autoZero"/>
        <c:auto val="1"/>
        <c:lblAlgn val="ctr"/>
        <c:lblOffset val="100"/>
        <c:noMultiLvlLbl val="0"/>
      </c:catAx>
      <c:valAx>
        <c:axId val="172747776"/>
        <c:scaling>
          <c:orientation val="minMax"/>
        </c:scaling>
        <c:delete val="0"/>
        <c:axPos val="l"/>
        <c:majorGridlines/>
        <c:title>
          <c:tx>
            <c:rich>
              <a:bodyPr/>
              <a:lstStyle/>
              <a:p>
                <a:pPr>
                  <a:defRPr sz="1099" b="0" i="0" u="none" strike="noStrike" baseline="0">
                    <a:solidFill>
                      <a:srgbClr val="000000"/>
                    </a:solidFill>
                    <a:latin typeface="Calibri"/>
                    <a:ea typeface="Calibri"/>
                    <a:cs typeface="Calibri"/>
                  </a:defRPr>
                </a:pPr>
                <a:r>
                  <a:rPr lang="ru-RU" sz="1049" b="0" i="0" u="none" strike="noStrike" baseline="0">
                    <a:solidFill>
                      <a:srgbClr val="000000"/>
                    </a:solidFill>
                    <a:latin typeface="Times New Roman"/>
                    <a:cs typeface="Times New Roman"/>
                  </a:rPr>
                  <a:t>Среднее значение Т-критерия,SD</a:t>
                </a:r>
              </a:p>
            </c:rich>
          </c:tx>
          <c:overlay val="0"/>
        </c:title>
        <c:numFmt formatCode="0.00" sourceLinked="0"/>
        <c:majorTickMark val="out"/>
        <c:minorTickMark val="none"/>
        <c:tickLblPos val="nextTo"/>
        <c:txPr>
          <a:bodyPr/>
          <a:lstStyle/>
          <a:p>
            <a:pPr>
              <a:defRPr sz="1199"/>
            </a:pPr>
            <a:endParaRPr lang="ru-RU"/>
          </a:p>
        </c:txPr>
        <c:crossAx val="172746240"/>
        <c:crosses val="autoZero"/>
        <c:crossBetween val="between"/>
      </c:valAx>
    </c:plotArea>
    <c:legend>
      <c:legendPos val="b"/>
      <c:layout>
        <c:manualLayout>
          <c:xMode val="edge"/>
          <c:yMode val="edge"/>
          <c:x val="9.1041605117467991E-2"/>
          <c:y val="0.83862776355409563"/>
          <c:w val="0.82254631711003501"/>
          <c:h val="0.13756275864289969"/>
        </c:manualLayout>
      </c:layout>
      <c:overlay val="0"/>
      <c:txPr>
        <a:bodyPr/>
        <a:lstStyle/>
        <a:p>
          <a:pPr>
            <a:defRPr sz="1199"/>
          </a:pPr>
          <a:endParaRPr lang="ru-RU"/>
        </a:p>
      </c:txPr>
    </c:legend>
    <c:plotVisOnly val="1"/>
    <c:dispBlanksAs val="gap"/>
    <c:showDLblsOverMax val="0"/>
  </c:chart>
  <c:spPr>
    <a:ln>
      <a:noFill/>
    </a:ln>
  </c:sp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479110422697059E-2"/>
          <c:y val="5.0653815404611731E-2"/>
          <c:w val="0.72730353316557539"/>
          <c:h val="0.8311367868671552"/>
        </c:manualLayout>
      </c:layout>
      <c:lineChart>
        <c:grouping val="standard"/>
        <c:varyColors val="0"/>
        <c:ser>
          <c:idx val="0"/>
          <c:order val="0"/>
          <c:tx>
            <c:strRef>
              <c:f>Лист1!$B$1</c:f>
              <c:strCache>
                <c:ptCount val="1"/>
                <c:pt idx="0">
                  <c:v>Группа 1</c:v>
                </c:pt>
              </c:strCache>
            </c:strRef>
          </c:tx>
          <c:dLbls>
            <c:dLbl>
              <c:idx val="1"/>
              <c:layout>
                <c:manualLayout>
                  <c:x val="-1.0663234403391883E-2"/>
                  <c:y val="7.7044789622527921E-2"/>
                </c:manualLayout>
              </c:layout>
              <c:dLblPos val="r"/>
              <c:showLegendKey val="0"/>
              <c:showVal val="1"/>
              <c:showCatName val="0"/>
              <c:showSerName val="0"/>
              <c:showPercent val="0"/>
              <c:showBubbleSize val="0"/>
            </c:dLbl>
            <c:dLbl>
              <c:idx val="2"/>
              <c:layout>
                <c:manualLayout>
                  <c:x val="0"/>
                  <c:y val="6.1995372313940658E-2"/>
                </c:manualLayout>
              </c:layout>
              <c:dLblPos val="r"/>
              <c:showLegendKey val="0"/>
              <c:showVal val="1"/>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Лист1!$A$2:$A$4</c:f>
              <c:strCache>
                <c:ptCount val="3"/>
                <c:pt idx="0">
                  <c:v>Исходно</c:v>
                </c:pt>
                <c:pt idx="1">
                  <c:v>Через 12 месяцев</c:v>
                </c:pt>
                <c:pt idx="2">
                  <c:v>Через 24 месяца</c:v>
                </c:pt>
              </c:strCache>
            </c:strRef>
          </c:cat>
          <c:val>
            <c:numRef>
              <c:f>Лист1!$B$2:$B$4</c:f>
              <c:numCache>
                <c:formatCode>General</c:formatCode>
                <c:ptCount val="3"/>
                <c:pt idx="0">
                  <c:v>0.26</c:v>
                </c:pt>
                <c:pt idx="1">
                  <c:v>0.53</c:v>
                </c:pt>
                <c:pt idx="2">
                  <c:v>0.52</c:v>
                </c:pt>
              </c:numCache>
            </c:numRef>
          </c:val>
          <c:smooth val="0"/>
        </c:ser>
        <c:ser>
          <c:idx val="1"/>
          <c:order val="1"/>
          <c:tx>
            <c:strRef>
              <c:f>Лист1!$C$1</c:f>
              <c:strCache>
                <c:ptCount val="1"/>
                <c:pt idx="0">
                  <c:v>Группа 2</c:v>
                </c:pt>
              </c:strCache>
            </c:strRef>
          </c:tx>
          <c:spPr>
            <a:ln>
              <a:prstDash val="dash"/>
            </a:ln>
          </c:spPr>
          <c:marker>
            <c:symbol val="square"/>
            <c:size val="4"/>
          </c:marker>
          <c:dLbls>
            <c:dLbl>
              <c:idx val="0"/>
              <c:layout>
                <c:manualLayout>
                  <c:x val="-6.4000000000000001E-2"/>
                  <c:y val="-6.1068702290076333E-2"/>
                </c:manualLayout>
              </c:layout>
              <c:dLblPos val="r"/>
              <c:showLegendKey val="0"/>
              <c:showVal val="1"/>
              <c:showCatName val="0"/>
              <c:showSerName val="0"/>
              <c:showPercent val="0"/>
              <c:showBubbleSize val="0"/>
            </c:dLbl>
            <c:dLbl>
              <c:idx val="1"/>
              <c:layout>
                <c:manualLayout>
                  <c:x val="-5.5528131098997242E-2"/>
                  <c:y val="-7.5256198723643836E-2"/>
                </c:manualLayout>
              </c:layout>
              <c:dLblPos val="r"/>
              <c:showLegendKey val="0"/>
              <c:showVal val="1"/>
              <c:showCatName val="0"/>
              <c:showSerName val="0"/>
              <c:showPercent val="0"/>
              <c:showBubbleSize val="0"/>
            </c:dLbl>
            <c:dLbl>
              <c:idx val="2"/>
              <c:layout>
                <c:manualLayout>
                  <c:x val="0"/>
                  <c:y val="-4.9596297851152528E-2"/>
                </c:manualLayout>
              </c:layout>
              <c:tx>
                <c:rich>
                  <a:bodyPr/>
                  <a:lstStyle/>
                  <a:p>
                    <a:r>
                      <a:rPr lang="en-US" sz="1199"/>
                      <a:t>0,</a:t>
                    </a:r>
                    <a:r>
                      <a:rPr lang="ru-RU" sz="1199"/>
                      <a:t>55</a:t>
                    </a:r>
                    <a:endParaRPr lang="ru-RU"/>
                  </a:p>
                </c:rich>
              </c:tx>
              <c:dLblPos val="r"/>
              <c:showLegendKey val="0"/>
              <c:showVal val="0"/>
              <c:showCatName val="0"/>
              <c:showSerName val="0"/>
              <c:showPercent val="0"/>
              <c:showBubbleSize val="0"/>
            </c:dLbl>
            <c:txPr>
              <a:bodyPr/>
              <a:lstStyle/>
              <a:p>
                <a:pPr>
                  <a:defRPr sz="1199"/>
                </a:pPr>
                <a:endParaRPr lang="ru-RU"/>
              </a:p>
            </c:txPr>
            <c:showLegendKey val="0"/>
            <c:showVal val="1"/>
            <c:showCatName val="0"/>
            <c:showSerName val="0"/>
            <c:showPercent val="0"/>
            <c:showBubbleSize val="0"/>
            <c:showLeaderLines val="0"/>
          </c:dLbls>
          <c:cat>
            <c:strRef>
              <c:f>Лист1!$A$2:$A$4</c:f>
              <c:strCache>
                <c:ptCount val="3"/>
                <c:pt idx="0">
                  <c:v>Исходно</c:v>
                </c:pt>
                <c:pt idx="1">
                  <c:v>Через 12 месяцев</c:v>
                </c:pt>
                <c:pt idx="2">
                  <c:v>Через 24 месяца</c:v>
                </c:pt>
              </c:strCache>
            </c:strRef>
          </c:cat>
          <c:val>
            <c:numRef>
              <c:f>Лист1!$C$2:$C$4</c:f>
              <c:numCache>
                <c:formatCode>General</c:formatCode>
                <c:ptCount val="3"/>
                <c:pt idx="0">
                  <c:v>0.34</c:v>
                </c:pt>
                <c:pt idx="1">
                  <c:v>0.54</c:v>
                </c:pt>
                <c:pt idx="2">
                  <c:v>0.53</c:v>
                </c:pt>
              </c:numCache>
            </c:numRef>
          </c:val>
          <c:smooth val="0"/>
        </c:ser>
        <c:dLbls>
          <c:showLegendKey val="0"/>
          <c:showVal val="0"/>
          <c:showCatName val="0"/>
          <c:showSerName val="0"/>
          <c:showPercent val="0"/>
          <c:showBubbleSize val="0"/>
        </c:dLbls>
        <c:marker val="1"/>
        <c:smooth val="0"/>
        <c:axId val="172126976"/>
        <c:axId val="172128512"/>
      </c:lineChart>
      <c:catAx>
        <c:axId val="172126976"/>
        <c:scaling>
          <c:orientation val="minMax"/>
        </c:scaling>
        <c:delete val="0"/>
        <c:axPos val="b"/>
        <c:numFmt formatCode="General" sourceLinked="1"/>
        <c:majorTickMark val="out"/>
        <c:minorTickMark val="none"/>
        <c:tickLblPos val="nextTo"/>
        <c:txPr>
          <a:bodyPr/>
          <a:lstStyle/>
          <a:p>
            <a:pPr>
              <a:defRPr sz="1199"/>
            </a:pPr>
            <a:endParaRPr lang="ru-RU"/>
          </a:p>
        </c:txPr>
        <c:crossAx val="172128512"/>
        <c:crosses val="autoZero"/>
        <c:auto val="1"/>
        <c:lblAlgn val="ctr"/>
        <c:lblOffset val="100"/>
        <c:noMultiLvlLbl val="0"/>
      </c:catAx>
      <c:valAx>
        <c:axId val="172128512"/>
        <c:scaling>
          <c:orientation val="minMax"/>
          <c:min val="0.2"/>
        </c:scaling>
        <c:delete val="0"/>
        <c:axPos val="l"/>
        <c:majorGridlines/>
        <c:title>
          <c:tx>
            <c:rich>
              <a:bodyPr/>
              <a:lstStyle/>
              <a:p>
                <a:pPr>
                  <a:defRPr sz="1100" b="0" i="0" u="none" strike="noStrike" baseline="0">
                    <a:solidFill>
                      <a:srgbClr val="000000"/>
                    </a:solidFill>
                    <a:latin typeface="Times New Roman"/>
                    <a:ea typeface="Times New Roman"/>
                    <a:cs typeface="Times New Roman"/>
                  </a:defRPr>
                </a:pPr>
                <a:r>
                  <a:rPr lang="ru-RU" sz="1100"/>
                  <a:t>Среднее значение индекса здоровья</a:t>
                </a:r>
              </a:p>
            </c:rich>
          </c:tx>
          <c:layout>
            <c:manualLayout>
              <c:xMode val="edge"/>
              <c:yMode val="edge"/>
              <c:x val="2.1336555433211037E-3"/>
              <c:y val="9.9336302888110614E-2"/>
            </c:manualLayout>
          </c:layout>
          <c:overlay val="0"/>
        </c:title>
        <c:numFmt formatCode="General" sourceLinked="1"/>
        <c:majorTickMark val="out"/>
        <c:minorTickMark val="none"/>
        <c:tickLblPos val="nextTo"/>
        <c:txPr>
          <a:bodyPr/>
          <a:lstStyle/>
          <a:p>
            <a:pPr>
              <a:defRPr sz="1199"/>
            </a:pPr>
            <a:endParaRPr lang="ru-RU"/>
          </a:p>
        </c:txPr>
        <c:crossAx val="172126976"/>
        <c:crosses val="autoZero"/>
        <c:crossBetween val="between"/>
        <c:majorUnit val="0.1"/>
      </c:valAx>
    </c:plotArea>
    <c:legend>
      <c:legendPos val="r"/>
      <c:layout>
        <c:manualLayout>
          <c:xMode val="edge"/>
          <c:yMode val="edge"/>
          <c:x val="0.82355619872267183"/>
          <c:y val="0.41613428564028182"/>
          <c:w val="0.17364764039537478"/>
          <c:h val="0.21374840241599063"/>
        </c:manualLayout>
      </c:layout>
      <c:overlay val="0"/>
      <c:txPr>
        <a:bodyPr/>
        <a:lstStyle/>
        <a:p>
          <a:pPr>
            <a:defRPr sz="1199">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73800390335823E-2"/>
          <c:y val="3.6686489161291441E-2"/>
          <c:w val="0.74157544262940633"/>
          <c:h val="0.83651425049266859"/>
        </c:manualLayout>
      </c:layout>
      <c:lineChart>
        <c:grouping val="standard"/>
        <c:varyColors val="0"/>
        <c:ser>
          <c:idx val="0"/>
          <c:order val="0"/>
          <c:tx>
            <c:strRef>
              <c:f>'[Диаграмма в C  Users Марина Desktop Статьи Качество жизни 15.12.doc]Лист1'!$B$1</c:f>
              <c:strCache>
                <c:ptCount val="1"/>
                <c:pt idx="0">
                  <c:v>Группа 1</c:v>
                </c:pt>
              </c:strCache>
            </c:strRef>
          </c:tx>
          <c:marker>
            <c:symbol val="diamond"/>
            <c:size val="8"/>
          </c:marker>
          <c:dLbls>
            <c:dLbl>
              <c:idx val="0"/>
              <c:layout>
                <c:manualLayout>
                  <c:x val="-3.8461538461538464E-2"/>
                  <c:y val="5.7395143487858721E-2"/>
                </c:manualLayout>
              </c:layout>
              <c:tx>
                <c:rich>
                  <a:bodyPr/>
                  <a:lstStyle/>
                  <a:p>
                    <a:r>
                      <a:rPr lang="en-US"/>
                      <a:t>45,</a:t>
                    </a:r>
                    <a:r>
                      <a:rPr lang="ru-RU"/>
                      <a:t>07</a:t>
                    </a:r>
                    <a:endParaRPr lang="en-US"/>
                  </a:p>
                </c:rich>
              </c:tx>
              <c:showLegendKey val="0"/>
              <c:showVal val="1"/>
              <c:showCatName val="0"/>
              <c:showSerName val="0"/>
              <c:showPercent val="0"/>
              <c:showBubbleSize val="0"/>
            </c:dLbl>
            <c:dLbl>
              <c:idx val="1"/>
              <c:layout>
                <c:manualLayout>
                  <c:x val="-3.8461538461538464E-2"/>
                  <c:y val="-7.0640176600441501E-2"/>
                </c:manualLayout>
              </c:layout>
              <c:tx>
                <c:rich>
                  <a:bodyPr/>
                  <a:lstStyle/>
                  <a:p>
                    <a:r>
                      <a:rPr lang="en-US"/>
                      <a:t>58,</a:t>
                    </a:r>
                    <a:r>
                      <a:rPr lang="ru-RU"/>
                      <a:t>36</a:t>
                    </a:r>
                    <a:endParaRPr lang="en-US"/>
                  </a:p>
                </c:rich>
              </c:tx>
              <c:showLegendKey val="0"/>
              <c:showVal val="1"/>
              <c:showCatName val="0"/>
              <c:showSerName val="0"/>
              <c:showPercent val="0"/>
              <c:showBubbleSize val="0"/>
            </c:dLbl>
            <c:dLbl>
              <c:idx val="2"/>
              <c:layout>
                <c:manualLayout>
                  <c:x val="-3.6324786324786404E-2"/>
                  <c:y val="-6.6225165562913912E-2"/>
                </c:manualLayout>
              </c:layout>
              <c:tx>
                <c:rich>
                  <a:bodyPr/>
                  <a:lstStyle/>
                  <a:p>
                    <a:r>
                      <a:rPr lang="en-US"/>
                      <a:t>59,</a:t>
                    </a:r>
                    <a:r>
                      <a:rPr lang="ru-RU"/>
                      <a:t>52</a:t>
                    </a:r>
                    <a:endParaRPr lang="en-US"/>
                  </a:p>
                </c:rich>
              </c:tx>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'[Диаграмма в C  Users Марина Desktop Статьи Качество жизни 15.12.doc]Лист1'!$A$2:$A$4</c:f>
              <c:strCache>
                <c:ptCount val="3"/>
                <c:pt idx="0">
                  <c:v>Исходно</c:v>
                </c:pt>
                <c:pt idx="1">
                  <c:v>Через 12 месяцев</c:v>
                </c:pt>
                <c:pt idx="2">
                  <c:v>Через 24 месяца</c:v>
                </c:pt>
              </c:strCache>
            </c:strRef>
          </c:cat>
          <c:val>
            <c:numRef>
              <c:f>'[Диаграмма в C  Users Марина Desktop Статьи Качество жизни 15.12.doc]Лист1'!$B$2:$B$4</c:f>
              <c:numCache>
                <c:formatCode>General</c:formatCode>
                <c:ptCount val="3"/>
                <c:pt idx="0">
                  <c:v>45.82</c:v>
                </c:pt>
                <c:pt idx="1">
                  <c:v>58.29</c:v>
                </c:pt>
                <c:pt idx="2">
                  <c:v>59.11</c:v>
                </c:pt>
              </c:numCache>
            </c:numRef>
          </c:val>
          <c:smooth val="0"/>
        </c:ser>
        <c:ser>
          <c:idx val="1"/>
          <c:order val="1"/>
          <c:tx>
            <c:strRef>
              <c:f>'[Диаграмма в C  Users Марина Desktop Статьи Качество жизни 15.12.doc]Лист1'!$C$1</c:f>
              <c:strCache>
                <c:ptCount val="1"/>
                <c:pt idx="0">
                  <c:v>Группа 2</c:v>
                </c:pt>
              </c:strCache>
            </c:strRef>
          </c:tx>
          <c:spPr>
            <a:ln>
              <a:prstDash val="dash"/>
            </a:ln>
          </c:spPr>
          <c:marker>
            <c:symbol val="square"/>
            <c:size val="6"/>
          </c:marker>
          <c:dLbls>
            <c:dLbl>
              <c:idx val="0"/>
              <c:layout>
                <c:manualLayout>
                  <c:x val="-5.1041792852816473E-2"/>
                  <c:y val="-7.505518763796909E-2"/>
                </c:manualLayout>
              </c:layout>
              <c:tx>
                <c:rich>
                  <a:bodyPr/>
                  <a:lstStyle/>
                  <a:p>
                    <a:r>
                      <a:rPr lang="en-US"/>
                      <a:t>4</a:t>
                    </a:r>
                    <a:r>
                      <a:rPr lang="ru-RU"/>
                      <a:t>7,37</a:t>
                    </a:r>
                    <a:endParaRPr lang="en-US"/>
                  </a:p>
                </c:rich>
              </c:tx>
              <c:dLblPos val="r"/>
              <c:showLegendKey val="0"/>
              <c:showVal val="1"/>
              <c:showCatName val="0"/>
              <c:showSerName val="0"/>
              <c:showPercent val="0"/>
              <c:showBubbleSize val="0"/>
              <c:separator>
</c:separator>
            </c:dLbl>
            <c:dLbl>
              <c:idx val="1"/>
              <c:layout>
                <c:manualLayout>
                  <c:x val="-4.4631536442560064E-2"/>
                  <c:y val="7.505518763796909E-2"/>
                </c:manualLayout>
              </c:layout>
              <c:tx>
                <c:rich>
                  <a:bodyPr/>
                  <a:lstStyle/>
                  <a:p>
                    <a:r>
                      <a:rPr lang="en-US"/>
                      <a:t>47,</a:t>
                    </a:r>
                    <a:r>
                      <a:rPr lang="ru-RU"/>
                      <a:t>85</a:t>
                    </a:r>
                    <a:endParaRPr lang="en-US"/>
                  </a:p>
                </c:rich>
              </c:tx>
              <c:dLblPos val="r"/>
              <c:showLegendKey val="0"/>
              <c:showVal val="1"/>
              <c:showCatName val="0"/>
              <c:showSerName val="0"/>
              <c:showPercent val="0"/>
              <c:showBubbleSize val="0"/>
              <c:separator>
</c:separator>
            </c:dLbl>
            <c:dLbl>
              <c:idx val="2"/>
              <c:layout>
                <c:manualLayout>
                  <c:x val="-4.4631536442559988E-2"/>
                  <c:y val="6.6225165562913912E-2"/>
                </c:manualLayout>
              </c:layout>
              <c:tx>
                <c:rich>
                  <a:bodyPr/>
                  <a:lstStyle/>
                  <a:p>
                    <a:r>
                      <a:rPr lang="en-US"/>
                      <a:t>5</a:t>
                    </a:r>
                    <a:r>
                      <a:rPr lang="ru-RU"/>
                      <a:t>0</a:t>
                    </a:r>
                    <a:r>
                      <a:rPr lang="en-US"/>
                      <a:t>,</a:t>
                    </a:r>
                    <a:r>
                      <a:rPr lang="ru-RU"/>
                      <a:t>68</a:t>
                    </a:r>
                    <a:endParaRPr lang="en-US"/>
                  </a:p>
                </c:rich>
              </c:tx>
              <c:dLblPos val="r"/>
              <c:showLegendKey val="0"/>
              <c:showVal val="1"/>
              <c:showCatName val="0"/>
              <c:showSerName val="0"/>
              <c:showPercent val="0"/>
              <c:showBubbleSize val="0"/>
              <c:separator>
</c:separator>
            </c:dLbl>
            <c:txPr>
              <a:bodyPr/>
              <a:lstStyle/>
              <a:p>
                <a:pPr>
                  <a:defRPr sz="1200"/>
                </a:pPr>
                <a:endParaRPr lang="ru-RU"/>
              </a:p>
            </c:txPr>
            <c:dLblPos val="ctr"/>
            <c:showLegendKey val="0"/>
            <c:showVal val="1"/>
            <c:showCatName val="0"/>
            <c:showSerName val="0"/>
            <c:showPercent val="0"/>
            <c:showBubbleSize val="0"/>
            <c:separator>
</c:separator>
            <c:showLeaderLines val="0"/>
          </c:dLbls>
          <c:cat>
            <c:strRef>
              <c:f>'[Диаграмма в C  Users Марина Desktop Статьи Качество жизни 15.12.doc]Лист1'!$A$2:$A$4</c:f>
              <c:strCache>
                <c:ptCount val="3"/>
                <c:pt idx="0">
                  <c:v>Исходно</c:v>
                </c:pt>
                <c:pt idx="1">
                  <c:v>Через 12 месяцев</c:v>
                </c:pt>
                <c:pt idx="2">
                  <c:v>Через 24 месяца</c:v>
                </c:pt>
              </c:strCache>
            </c:strRef>
          </c:cat>
          <c:val>
            <c:numRef>
              <c:f>'[Диаграмма в C  Users Марина Desktop Статьи Качество жизни 15.12.doc]Лист1'!$C$2:$C$4</c:f>
              <c:numCache>
                <c:formatCode>General</c:formatCode>
                <c:ptCount val="3"/>
                <c:pt idx="0">
                  <c:v>48.57</c:v>
                </c:pt>
                <c:pt idx="1">
                  <c:v>47.76</c:v>
                </c:pt>
                <c:pt idx="2">
                  <c:v>51.31</c:v>
                </c:pt>
              </c:numCache>
            </c:numRef>
          </c:val>
          <c:smooth val="0"/>
        </c:ser>
        <c:dLbls>
          <c:showLegendKey val="0"/>
          <c:showVal val="0"/>
          <c:showCatName val="0"/>
          <c:showSerName val="0"/>
          <c:showPercent val="0"/>
          <c:showBubbleSize val="0"/>
        </c:dLbls>
        <c:marker val="1"/>
        <c:smooth val="0"/>
        <c:axId val="173142016"/>
        <c:axId val="173143552"/>
      </c:lineChart>
      <c:catAx>
        <c:axId val="173142016"/>
        <c:scaling>
          <c:orientation val="minMax"/>
        </c:scaling>
        <c:delete val="0"/>
        <c:axPos val="b"/>
        <c:numFmt formatCode="General" sourceLinked="1"/>
        <c:majorTickMark val="out"/>
        <c:minorTickMark val="none"/>
        <c:tickLblPos val="nextTo"/>
        <c:txPr>
          <a:bodyPr/>
          <a:lstStyle/>
          <a:p>
            <a:pPr>
              <a:defRPr sz="1200"/>
            </a:pPr>
            <a:endParaRPr lang="ru-RU"/>
          </a:p>
        </c:txPr>
        <c:crossAx val="173143552"/>
        <c:crosses val="autoZero"/>
        <c:auto val="1"/>
        <c:lblAlgn val="ctr"/>
        <c:lblOffset val="100"/>
        <c:noMultiLvlLbl val="0"/>
      </c:catAx>
      <c:valAx>
        <c:axId val="173143552"/>
        <c:scaling>
          <c:orientation val="minMax"/>
          <c:min val="30"/>
        </c:scaling>
        <c:delete val="0"/>
        <c:axPos val="l"/>
        <c:majorGridlines/>
        <c:title>
          <c:tx>
            <c:rich>
              <a:bodyPr/>
              <a:lstStyle/>
              <a:p>
                <a:pPr>
                  <a:defRPr sz="1100" b="0" i="0" u="none" strike="noStrike" baseline="0">
                    <a:solidFill>
                      <a:srgbClr val="000000"/>
                    </a:solidFill>
                    <a:latin typeface="Times New Roman"/>
                    <a:ea typeface="Times New Roman"/>
                    <a:cs typeface="Times New Roman"/>
                  </a:defRPr>
                </a:pPr>
                <a:r>
                  <a:rPr lang="ru-RU" sz="1100" b="0"/>
                  <a:t>Среднее значение по ВАШ, мм</a:t>
                </a:r>
              </a:p>
            </c:rich>
          </c:tx>
          <c:layout>
            <c:manualLayout>
              <c:xMode val="edge"/>
              <c:yMode val="edge"/>
              <c:x val="4.6046167306009814E-3"/>
              <c:y val="0.1187856479351327"/>
            </c:manualLayout>
          </c:layout>
          <c:overlay val="0"/>
        </c:title>
        <c:numFmt formatCode="General" sourceLinked="1"/>
        <c:majorTickMark val="out"/>
        <c:minorTickMark val="none"/>
        <c:tickLblPos val="nextTo"/>
        <c:txPr>
          <a:bodyPr/>
          <a:lstStyle/>
          <a:p>
            <a:pPr>
              <a:defRPr sz="1200"/>
            </a:pPr>
            <a:endParaRPr lang="ru-RU"/>
          </a:p>
        </c:txPr>
        <c:crossAx val="173142016"/>
        <c:crosses val="autoZero"/>
        <c:crossBetween val="between"/>
      </c:valAx>
    </c:plotArea>
    <c:legend>
      <c:legendPos val="r"/>
      <c:layout>
        <c:manualLayout>
          <c:xMode val="edge"/>
          <c:yMode val="edge"/>
          <c:x val="0.82522167409796665"/>
          <c:y val="0.40952021182211379"/>
          <c:w val="0.17199794737196311"/>
          <c:h val="0.24246309378451228"/>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881217883863956E-2"/>
          <c:y val="4.5361885690221183E-2"/>
          <c:w val="0.73988498930699587"/>
          <c:h val="0.85006289177597028"/>
        </c:manualLayout>
      </c:layout>
      <c:lineChart>
        <c:grouping val="standard"/>
        <c:varyColors val="0"/>
        <c:ser>
          <c:idx val="0"/>
          <c:order val="0"/>
          <c:tx>
            <c:strRef>
              <c:f>Sheet1!$A$2</c:f>
              <c:strCache>
                <c:ptCount val="1"/>
                <c:pt idx="0">
                  <c:v>Группа 1</c:v>
                </c:pt>
              </c:strCache>
            </c:strRef>
          </c:tx>
          <c:spPr>
            <a:ln w="31750">
              <a:solidFill>
                <a:srgbClr val="0070C0"/>
              </a:solidFill>
              <a:prstDash val="solid"/>
              <a:miter lim="800000"/>
            </a:ln>
          </c:spPr>
          <c:marker>
            <c:symbol val="diamond"/>
            <c:size val="7"/>
            <c:spPr>
              <a:solidFill>
                <a:srgbClr val="0070C0"/>
              </a:solidFill>
              <a:ln>
                <a:solidFill>
                  <a:srgbClr val="0070C0"/>
                </a:solidFill>
                <a:prstDash val="solid"/>
              </a:ln>
            </c:spPr>
          </c:marker>
          <c:dLbls>
            <c:dLbl>
              <c:idx val="0"/>
              <c:layout>
                <c:manualLayout>
                  <c:x val="-7.5992304568468687E-3"/>
                  <c:y val="-5.3924925069124094E-2"/>
                </c:manualLayout>
              </c:layout>
              <c:dLblPos val="r"/>
              <c:showLegendKey val="0"/>
              <c:showVal val="1"/>
              <c:showCatName val="0"/>
              <c:showSerName val="0"/>
              <c:showPercent val="0"/>
              <c:showBubbleSize val="0"/>
            </c:dLbl>
            <c:dLbl>
              <c:idx val="1"/>
              <c:layout>
                <c:manualLayout>
                  <c:x val="-2.9914529914529916E-2"/>
                  <c:y val="6.6225165562913912E-2"/>
                </c:manualLayout>
              </c:layout>
              <c:dLblPos val="r"/>
              <c:showLegendKey val="0"/>
              <c:showVal val="1"/>
              <c:showCatName val="0"/>
              <c:showSerName val="0"/>
              <c:showPercent val="0"/>
              <c:showBubbleSize val="0"/>
            </c:dLbl>
            <c:dLbl>
              <c:idx val="2"/>
              <c:layout>
                <c:manualLayout>
                  <c:x val="-1.4957264957264958E-2"/>
                  <c:y val="6.1810154525386317E-2"/>
                </c:manualLayout>
              </c:layout>
              <c:dLblPos val="r"/>
              <c:showLegendKey val="0"/>
              <c:showVal val="1"/>
              <c:showCatName val="0"/>
              <c:showSerName val="0"/>
              <c:showPercent val="0"/>
              <c:showBubbleSize val="0"/>
            </c:dLbl>
            <c:spPr>
              <a:noFill/>
              <a:ln w="25401">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Исходно</c:v>
                </c:pt>
                <c:pt idx="1">
                  <c:v>Через 12 месяцев</c:v>
                </c:pt>
                <c:pt idx="2">
                  <c:v>Через 24 месяца</c:v>
                </c:pt>
              </c:strCache>
            </c:strRef>
          </c:cat>
          <c:val>
            <c:numRef>
              <c:f>Sheet1!$B$2:$D$2</c:f>
              <c:numCache>
                <c:formatCode>General</c:formatCode>
                <c:ptCount val="3"/>
                <c:pt idx="0">
                  <c:v>1.86</c:v>
                </c:pt>
                <c:pt idx="1">
                  <c:v>1.5</c:v>
                </c:pt>
                <c:pt idx="2">
                  <c:v>1.1599999999999999</c:v>
                </c:pt>
              </c:numCache>
            </c:numRef>
          </c:val>
          <c:smooth val="0"/>
        </c:ser>
        <c:ser>
          <c:idx val="1"/>
          <c:order val="1"/>
          <c:tx>
            <c:strRef>
              <c:f>Sheet1!$A$3</c:f>
              <c:strCache>
                <c:ptCount val="1"/>
                <c:pt idx="0">
                  <c:v>Группа 2</c:v>
                </c:pt>
              </c:strCache>
            </c:strRef>
          </c:tx>
          <c:spPr>
            <a:ln w="31750">
              <a:solidFill>
                <a:srgbClr val="C00000"/>
              </a:solidFill>
              <a:prstDash val="dash"/>
              <a:miter lim="800000"/>
            </a:ln>
          </c:spPr>
          <c:marker>
            <c:symbol val="square"/>
            <c:size val="5"/>
            <c:spPr>
              <a:solidFill>
                <a:srgbClr val="C00000"/>
              </a:solidFill>
              <a:ln>
                <a:solidFill>
                  <a:srgbClr val="C00000"/>
                </a:solidFill>
                <a:prstDash val="solid"/>
              </a:ln>
            </c:spPr>
          </c:marker>
          <c:dLbls>
            <c:dLbl>
              <c:idx val="0"/>
              <c:layout>
                <c:manualLayout>
                  <c:x val="-2.2817505450739975E-2"/>
                  <c:y val="6.6317435835192298E-2"/>
                </c:manualLayout>
              </c:layout>
              <c:dLblPos val="r"/>
              <c:showLegendKey val="0"/>
              <c:showVal val="1"/>
              <c:showCatName val="0"/>
              <c:showSerName val="0"/>
              <c:showPercent val="0"/>
              <c:showBubbleSize val="0"/>
            </c:dLbl>
            <c:dLbl>
              <c:idx val="1"/>
              <c:layout>
                <c:manualLayout>
                  <c:x val="-1.282051282051282E-2"/>
                  <c:y val="-5.739514348785868E-2"/>
                </c:manualLayout>
              </c:layout>
              <c:dLblPos val="r"/>
              <c:showLegendKey val="0"/>
              <c:showVal val="1"/>
              <c:showCatName val="0"/>
              <c:showSerName val="0"/>
              <c:showPercent val="0"/>
              <c:showBubbleSize val="0"/>
            </c:dLbl>
            <c:dLbl>
              <c:idx val="2"/>
              <c:layout>
                <c:manualLayout>
                  <c:x val="-1.9230769230769232E-2"/>
                  <c:y val="-7.0640176600441501E-2"/>
                </c:manualLayout>
              </c:layout>
              <c:dLblPos val="r"/>
              <c:showLegendKey val="0"/>
              <c:showVal val="1"/>
              <c:showCatName val="0"/>
              <c:showSerName val="0"/>
              <c:showPercent val="0"/>
              <c:showBubbleSize val="0"/>
            </c:dLbl>
            <c:spPr>
              <a:noFill/>
              <a:ln w="25401">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Исходно</c:v>
                </c:pt>
                <c:pt idx="1">
                  <c:v>Через 12 месяцев</c:v>
                </c:pt>
                <c:pt idx="2">
                  <c:v>Через 24 месяца</c:v>
                </c:pt>
              </c:strCache>
            </c:strRef>
          </c:cat>
          <c:val>
            <c:numRef>
              <c:f>Sheet1!$B$3:$D$3</c:f>
              <c:numCache>
                <c:formatCode>General</c:formatCode>
                <c:ptCount val="3"/>
                <c:pt idx="0">
                  <c:v>1.78</c:v>
                </c:pt>
                <c:pt idx="1">
                  <c:v>1.75</c:v>
                </c:pt>
                <c:pt idx="2">
                  <c:v>1.86</c:v>
                </c:pt>
              </c:numCache>
            </c:numRef>
          </c:val>
          <c:smooth val="0"/>
        </c:ser>
        <c:dLbls>
          <c:showLegendKey val="0"/>
          <c:showVal val="0"/>
          <c:showCatName val="0"/>
          <c:showSerName val="0"/>
          <c:showPercent val="0"/>
          <c:showBubbleSize val="0"/>
        </c:dLbls>
        <c:marker val="1"/>
        <c:smooth val="0"/>
        <c:axId val="176147456"/>
        <c:axId val="182321920"/>
      </c:lineChart>
      <c:catAx>
        <c:axId val="176147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82321920"/>
        <c:crosses val="autoZero"/>
        <c:auto val="1"/>
        <c:lblAlgn val="ctr"/>
        <c:lblOffset val="100"/>
        <c:tickLblSkip val="1"/>
        <c:tickMarkSkip val="1"/>
        <c:noMultiLvlLbl val="0"/>
      </c:catAx>
      <c:valAx>
        <c:axId val="182321920"/>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Средние значения HAQ</a:t>
                </a:r>
              </a:p>
            </c:rich>
          </c:tx>
          <c:layout>
            <c:manualLayout>
              <c:xMode val="edge"/>
              <c:yMode val="edge"/>
              <c:x val="6.4624562306605958E-3"/>
              <c:y val="0.15224758078608663"/>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76147456"/>
        <c:crosses val="autoZero"/>
        <c:crossBetween val="between"/>
        <c:majorUnit val="0.6"/>
        <c:minorUnit val="0.2"/>
      </c:valAx>
      <c:spPr>
        <a:noFill/>
        <a:ln w="25401">
          <a:noFill/>
        </a:ln>
      </c:spPr>
    </c:plotArea>
    <c:legend>
      <c:legendPos val="r"/>
      <c:layout>
        <c:manualLayout>
          <c:xMode val="edge"/>
          <c:yMode val="edge"/>
          <c:x val="0.82469277659510809"/>
          <c:y val="0.37716247797792402"/>
          <c:w val="0.17016235348431608"/>
          <c:h val="0.22384424549671011"/>
        </c:manualLayout>
      </c:layout>
      <c:overlay val="0"/>
      <c:spPr>
        <a:noFill/>
        <a:ln w="25401">
          <a:noFill/>
        </a:ln>
      </c:spPr>
      <c:txPr>
        <a:bodyPr/>
        <a:lstStyle/>
        <a:p>
          <a:pPr>
            <a:defRPr sz="12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depthPercent val="100"/>
      <c:rAngAx val="1"/>
    </c:view3D>
    <c:floor>
      <c:thickness val="0"/>
    </c:floor>
    <c:sideWall>
      <c:thickness val="0"/>
    </c:sideWall>
    <c:backWall>
      <c:thickness val="0"/>
    </c:backWall>
    <c:plotArea>
      <c:layout>
        <c:manualLayout>
          <c:layoutTarget val="inner"/>
          <c:xMode val="edge"/>
          <c:yMode val="edge"/>
          <c:x val="5.6604751329160777E-2"/>
          <c:y val="0.10709321930785144"/>
          <c:w val="0.82940666871854563"/>
          <c:h val="0.84830404477585997"/>
        </c:manualLayout>
      </c:layout>
      <c:bar3DChart>
        <c:barDir val="col"/>
        <c:grouping val="clustered"/>
        <c:varyColors val="0"/>
        <c:ser>
          <c:idx val="0"/>
          <c:order val="0"/>
          <c:tx>
            <c:strRef>
              <c:f>Лист1!$A$2</c:f>
              <c:strCache>
                <c:ptCount val="1"/>
                <c:pt idx="0">
                  <c:v>Группа 1</c:v>
                </c:pt>
              </c:strCache>
            </c:strRef>
          </c:tx>
          <c:spPr>
            <a:solidFill>
              <a:srgbClr val="1F497D">
                <a:lumMod val="20000"/>
                <a:lumOff val="80000"/>
              </a:srgbClr>
            </a:solidFill>
            <a:ln w="12700">
              <a:solidFill>
                <a:srgbClr val="1F497D">
                  <a:lumMod val="60000"/>
                  <a:lumOff val="40000"/>
                </a:srgbClr>
              </a:solidFill>
            </a:ln>
          </c:spPr>
          <c:invertIfNegative val="0"/>
          <c:dLbls>
            <c:dLbl>
              <c:idx val="0"/>
              <c:layout>
                <c:manualLayout>
                  <c:x val="4.2735042735042739E-3"/>
                  <c:y val="0.26931602092784762"/>
                </c:manualLayout>
              </c:layout>
              <c:tx>
                <c:rich>
                  <a:bodyPr/>
                  <a:lstStyle/>
                  <a:p>
                    <a:pPr>
                      <a:defRPr/>
                    </a:pPr>
                    <a:r>
                      <a:rPr lang="en-US"/>
                      <a:t>-2,0</a:t>
                    </a:r>
                    <a:r>
                      <a:rPr lang="ru-RU"/>
                      <a:t>7</a:t>
                    </a:r>
                    <a:r>
                      <a:rPr lang="en-US">
                        <a:latin typeface="Times New Roman"/>
                        <a:cs typeface="Times New Roman"/>
                      </a:rPr>
                      <a:t>±</a:t>
                    </a:r>
                    <a:r>
                      <a:rPr lang="ru-RU">
                        <a:latin typeface="Times New Roman"/>
                        <a:cs typeface="Times New Roman"/>
                      </a:rPr>
                      <a:t>0,14</a:t>
                    </a:r>
                    <a:endParaRPr lang="en-US"/>
                  </a:p>
                </c:rich>
              </c:tx>
              <c:spPr>
                <a:solidFill>
                  <a:schemeClr val="lt1"/>
                </a:solidFill>
                <a:ln w="3183">
                  <a:solidFill>
                    <a:prstClr val="black"/>
                  </a:solidFill>
                </a:ln>
              </c:spPr>
              <c:showLegendKey val="0"/>
              <c:showVal val="0"/>
              <c:showCatName val="0"/>
              <c:showSerName val="0"/>
              <c:showPercent val="0"/>
              <c:showBubbleSize val="0"/>
            </c:dLbl>
            <c:dLbl>
              <c:idx val="1"/>
              <c:layout>
                <c:manualLayout>
                  <c:x val="1.0683760683760684E-2"/>
                  <c:y val="0.11920599329057378"/>
                </c:manualLayout>
              </c:layout>
              <c:tx>
                <c:rich>
                  <a:bodyPr/>
                  <a:lstStyle/>
                  <a:p>
                    <a:pPr>
                      <a:defRPr/>
                    </a:pPr>
                    <a:r>
                      <a:rPr lang="en-US"/>
                      <a:t>-0,8</a:t>
                    </a:r>
                    <a:r>
                      <a:rPr lang="ru-RU"/>
                      <a:t>4</a:t>
                    </a:r>
                    <a:r>
                      <a:rPr lang="en-US">
                        <a:latin typeface="Times New Roman"/>
                        <a:cs typeface="Times New Roman"/>
                      </a:rPr>
                      <a:t>±</a:t>
                    </a:r>
                    <a:r>
                      <a:rPr lang="ru-RU">
                        <a:latin typeface="Times New Roman"/>
                        <a:cs typeface="Times New Roman"/>
                      </a:rPr>
                      <a:t>0,15</a:t>
                    </a:r>
                    <a:endParaRPr lang="en-US"/>
                  </a:p>
                </c:rich>
              </c:tx>
              <c:spPr>
                <a:solidFill>
                  <a:schemeClr val="lt1"/>
                </a:solidFill>
                <a:ln w="3183">
                  <a:solidFill>
                    <a:prstClr val="black"/>
                  </a:solidFill>
                </a:ln>
              </c:spPr>
              <c:showLegendKey val="0"/>
              <c:showVal val="0"/>
              <c:showCatName val="0"/>
              <c:showSerName val="0"/>
              <c:showPercent val="0"/>
              <c:showBubbleSize val="0"/>
            </c:dLbl>
            <c:spPr>
              <a:solidFill>
                <a:schemeClr val="lt1"/>
              </a:solidFill>
              <a:ln w="3183">
                <a:solidFill>
                  <a:prstClr val="black"/>
                </a:solidFill>
              </a:ln>
            </c:spPr>
            <c:showLegendKey val="0"/>
            <c:showVal val="1"/>
            <c:showCatName val="0"/>
            <c:showSerName val="0"/>
            <c:showPercent val="0"/>
            <c:showBubbleSize val="0"/>
            <c:showLeaderLines val="0"/>
          </c:dLbls>
          <c:cat>
            <c:strRef>
              <c:f>Лист1!$B$1:$C$1</c:f>
              <c:strCache>
                <c:ptCount val="2"/>
                <c:pt idx="0">
                  <c:v>Шейка бедра</c:v>
                </c:pt>
                <c:pt idx="1">
                  <c:v>Поясничный отдел позвоночника</c:v>
                </c:pt>
              </c:strCache>
            </c:strRef>
          </c:cat>
          <c:val>
            <c:numRef>
              <c:f>Лист1!$B$2:$C$2</c:f>
              <c:numCache>
                <c:formatCode>General</c:formatCode>
                <c:ptCount val="2"/>
                <c:pt idx="0">
                  <c:v>-2.0699999999999998</c:v>
                </c:pt>
                <c:pt idx="1">
                  <c:v>-0.84</c:v>
                </c:pt>
              </c:numCache>
            </c:numRef>
          </c:val>
        </c:ser>
        <c:ser>
          <c:idx val="1"/>
          <c:order val="1"/>
          <c:tx>
            <c:strRef>
              <c:f>Лист1!$A$3</c:f>
              <c:strCache>
                <c:ptCount val="1"/>
                <c:pt idx="0">
                  <c:v>Группа 2</c:v>
                </c:pt>
              </c:strCache>
            </c:strRef>
          </c:tx>
          <c:spPr>
            <a:solidFill>
              <a:srgbClr val="1F497D"/>
            </a:solidFill>
            <a:ln>
              <a:solidFill>
                <a:srgbClr val="1F497D"/>
              </a:solidFill>
            </a:ln>
          </c:spPr>
          <c:invertIfNegative val="0"/>
          <c:dLbls>
            <c:dLbl>
              <c:idx val="0"/>
              <c:layout>
                <c:manualLayout>
                  <c:x val="1.06835924355609E-2"/>
                  <c:y val="0.32229615337817874"/>
                </c:manualLayout>
              </c:layout>
              <c:tx>
                <c:rich>
                  <a:bodyPr/>
                  <a:lstStyle/>
                  <a:p>
                    <a:pPr>
                      <a:defRPr/>
                    </a:pPr>
                    <a:r>
                      <a:rPr lang="en-US"/>
                      <a:t>-1,</a:t>
                    </a:r>
                    <a:r>
                      <a:rPr lang="ru-RU"/>
                      <a:t>78</a:t>
                    </a:r>
                    <a:r>
                      <a:rPr lang="en-US">
                        <a:latin typeface="Times New Roman"/>
                        <a:cs typeface="Times New Roman"/>
                      </a:rPr>
                      <a:t>±</a:t>
                    </a:r>
                    <a:r>
                      <a:rPr lang="ru-RU">
                        <a:latin typeface="Times New Roman"/>
                        <a:cs typeface="Times New Roman"/>
                      </a:rPr>
                      <a:t>0,18</a:t>
                    </a:r>
                    <a:endParaRPr lang="en-US"/>
                  </a:p>
                </c:rich>
              </c:tx>
              <c:spPr>
                <a:solidFill>
                  <a:schemeClr val="lt1"/>
                </a:solidFill>
                <a:ln w="3183">
                  <a:solidFill>
                    <a:prstClr val="black"/>
                  </a:solidFill>
                </a:ln>
              </c:spPr>
              <c:showLegendKey val="0"/>
              <c:showVal val="0"/>
              <c:showCatName val="0"/>
              <c:showSerName val="0"/>
              <c:showPercent val="0"/>
              <c:showBubbleSize val="0"/>
            </c:dLbl>
            <c:dLbl>
              <c:idx val="1"/>
              <c:layout>
                <c:manualLayout>
                  <c:x val="8.5470085470085479E-3"/>
                  <c:y val="0.12803566772696459"/>
                </c:manualLayout>
              </c:layout>
              <c:tx>
                <c:rich>
                  <a:bodyPr/>
                  <a:lstStyle/>
                  <a:p>
                    <a:pPr>
                      <a:defRPr/>
                    </a:pPr>
                    <a:r>
                      <a:rPr lang="en-US"/>
                      <a:t>-0,</a:t>
                    </a:r>
                    <a:r>
                      <a:rPr lang="ru-RU"/>
                      <a:t>45</a:t>
                    </a:r>
                    <a:r>
                      <a:rPr lang="en-US">
                        <a:latin typeface="Times New Roman"/>
                        <a:cs typeface="Times New Roman"/>
                      </a:rPr>
                      <a:t>±</a:t>
                    </a:r>
                    <a:r>
                      <a:rPr lang="ru-RU">
                        <a:latin typeface="Times New Roman"/>
                        <a:cs typeface="Times New Roman"/>
                      </a:rPr>
                      <a:t>0,19</a:t>
                    </a:r>
                    <a:endParaRPr lang="en-US"/>
                  </a:p>
                </c:rich>
              </c:tx>
              <c:spPr>
                <a:solidFill>
                  <a:schemeClr val="lt1"/>
                </a:solidFill>
                <a:ln w="3183">
                  <a:solidFill>
                    <a:prstClr val="black"/>
                  </a:solidFill>
                </a:ln>
              </c:spPr>
              <c:showLegendKey val="0"/>
              <c:showVal val="0"/>
              <c:showCatName val="0"/>
              <c:showSerName val="0"/>
              <c:showPercent val="0"/>
              <c:showBubbleSize val="0"/>
            </c:dLbl>
            <c:spPr>
              <a:solidFill>
                <a:schemeClr val="lt1"/>
              </a:solidFill>
              <a:ln w="3183">
                <a:solidFill>
                  <a:prstClr val="black"/>
                </a:solidFill>
              </a:ln>
            </c:spPr>
            <c:showLegendKey val="0"/>
            <c:showVal val="1"/>
            <c:showCatName val="0"/>
            <c:showSerName val="0"/>
            <c:showPercent val="0"/>
            <c:showBubbleSize val="0"/>
            <c:showLeaderLines val="0"/>
          </c:dLbls>
          <c:cat>
            <c:strRef>
              <c:f>Лист1!$B$1:$C$1</c:f>
              <c:strCache>
                <c:ptCount val="2"/>
                <c:pt idx="0">
                  <c:v>Шейка бедра</c:v>
                </c:pt>
                <c:pt idx="1">
                  <c:v>Поясничный отдел позвоночника</c:v>
                </c:pt>
              </c:strCache>
            </c:strRef>
          </c:cat>
          <c:val>
            <c:numRef>
              <c:f>Лист1!$B$3:$C$3</c:f>
              <c:numCache>
                <c:formatCode>General</c:formatCode>
                <c:ptCount val="2"/>
                <c:pt idx="0">
                  <c:v>-1.78</c:v>
                </c:pt>
                <c:pt idx="1">
                  <c:v>-0.45</c:v>
                </c:pt>
              </c:numCache>
            </c:numRef>
          </c:val>
        </c:ser>
        <c:dLbls>
          <c:showLegendKey val="0"/>
          <c:showVal val="0"/>
          <c:showCatName val="0"/>
          <c:showSerName val="0"/>
          <c:showPercent val="0"/>
          <c:showBubbleSize val="0"/>
        </c:dLbls>
        <c:gapWidth val="62"/>
        <c:gapDepth val="86"/>
        <c:shape val="cylinder"/>
        <c:axId val="125592320"/>
        <c:axId val="125593856"/>
        <c:axId val="0"/>
      </c:bar3DChart>
      <c:catAx>
        <c:axId val="125592320"/>
        <c:scaling>
          <c:orientation val="minMax"/>
        </c:scaling>
        <c:delete val="0"/>
        <c:axPos val="b"/>
        <c:numFmt formatCode="General" sourceLinked="1"/>
        <c:majorTickMark val="out"/>
        <c:minorTickMark val="none"/>
        <c:tickLblPos val="high"/>
        <c:txPr>
          <a:bodyPr/>
          <a:lstStyle/>
          <a:p>
            <a:pPr>
              <a:defRPr sz="1103"/>
            </a:pPr>
            <a:endParaRPr lang="ru-RU"/>
          </a:p>
        </c:txPr>
        <c:crossAx val="125593856"/>
        <c:crosses val="autoZero"/>
        <c:auto val="1"/>
        <c:lblAlgn val="ctr"/>
        <c:lblOffset val="100"/>
        <c:noMultiLvlLbl val="0"/>
      </c:catAx>
      <c:valAx>
        <c:axId val="125593856"/>
        <c:scaling>
          <c:orientation val="minMax"/>
        </c:scaling>
        <c:delete val="0"/>
        <c:axPos val="l"/>
        <c:majorGridlines/>
        <c:title>
          <c:tx>
            <c:rich>
              <a:bodyPr rot="0" vert="horz"/>
              <a:lstStyle/>
              <a:p>
                <a:pPr>
                  <a:defRPr/>
                </a:pPr>
                <a:r>
                  <a:rPr lang="ru-RU" b="0"/>
                  <a:t>Т-критерий,</a:t>
                </a:r>
                <a:r>
                  <a:rPr lang="ru-RU" b="0" baseline="0"/>
                  <a:t> </a:t>
                </a:r>
                <a:endParaRPr lang="en-US" b="0" baseline="0"/>
              </a:p>
              <a:p>
                <a:pPr>
                  <a:defRPr/>
                </a:pPr>
                <a:r>
                  <a:rPr lang="en-US" b="0" baseline="0"/>
                  <a:t>SD</a:t>
                </a:r>
                <a:endParaRPr lang="ru-RU" b="0"/>
              </a:p>
            </c:rich>
          </c:tx>
          <c:layout>
            <c:manualLayout>
              <c:xMode val="edge"/>
              <c:yMode val="edge"/>
              <c:x val="5.8506436203379806E-4"/>
              <c:y val="3.9874540222349507E-2"/>
            </c:manualLayout>
          </c:layout>
          <c:overlay val="0"/>
        </c:title>
        <c:numFmt formatCode="General" sourceLinked="1"/>
        <c:majorTickMark val="out"/>
        <c:minorTickMark val="none"/>
        <c:tickLblPos val="nextTo"/>
        <c:txPr>
          <a:bodyPr/>
          <a:lstStyle/>
          <a:p>
            <a:pPr>
              <a:defRPr sz="1103"/>
            </a:pPr>
            <a:endParaRPr lang="ru-RU"/>
          </a:p>
        </c:txPr>
        <c:crossAx val="125592320"/>
        <c:crosses val="autoZero"/>
        <c:crossBetween val="between"/>
      </c:valAx>
      <c:spPr>
        <a:noFill/>
        <a:ln w="25438">
          <a:noFill/>
        </a:ln>
      </c:spPr>
    </c:plotArea>
    <c:legend>
      <c:legendPos val="r"/>
      <c:overlay val="0"/>
      <c:txPr>
        <a:bodyPr/>
        <a:lstStyle/>
        <a:p>
          <a:pPr>
            <a:defRPr sz="1103"/>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150"/>
      <c:rAngAx val="0"/>
      <c:perspective val="10"/>
    </c:view3D>
    <c:floor>
      <c:thickness val="0"/>
    </c:floor>
    <c:sideWall>
      <c:thickness val="0"/>
    </c:sideWall>
    <c:backWall>
      <c:thickness val="0"/>
    </c:backWall>
    <c:plotArea>
      <c:layout>
        <c:manualLayout>
          <c:layoutTarget val="inner"/>
          <c:xMode val="edge"/>
          <c:yMode val="edge"/>
          <c:x val="0"/>
          <c:y val="0"/>
          <c:w val="0.66725738828101033"/>
          <c:h val="1"/>
        </c:manualLayout>
      </c:layout>
      <c:pie3DChart>
        <c:varyColors val="1"/>
        <c:ser>
          <c:idx val="0"/>
          <c:order val="0"/>
          <c:tx>
            <c:strRef>
              <c:f>Лист1!$B$1</c:f>
              <c:strCache>
                <c:ptCount val="1"/>
                <c:pt idx="0">
                  <c:v>МПК </c:v>
                </c:pt>
              </c:strCache>
            </c:strRef>
          </c:tx>
          <c:spPr>
            <a:solidFill>
              <a:srgbClr val="C0504D"/>
            </a:solidFill>
            <a:ln>
              <a:solidFill>
                <a:sysClr val="windowText" lastClr="000000"/>
              </a:solidFill>
            </a:ln>
          </c:spPr>
          <c:dPt>
            <c:idx val="0"/>
            <c:bubble3D val="0"/>
            <c:explosion val="2"/>
            <c:spPr>
              <a:pattFill prst="dkHorz">
                <a:fgClr>
                  <a:srgbClr val="4F81BD"/>
                </a:fgClr>
                <a:bgClr>
                  <a:sysClr val="window" lastClr="FFFFFF"/>
                </a:bgClr>
              </a:pattFill>
              <a:ln w="12692">
                <a:solidFill>
                  <a:srgbClr val="000000"/>
                </a:solidFill>
                <a:prstDash val="solid"/>
              </a:ln>
            </c:spPr>
          </c:dPt>
          <c:dPt>
            <c:idx val="1"/>
            <c:bubble3D val="0"/>
            <c:explosion val="20"/>
            <c:spPr>
              <a:pattFill prst="dashVert">
                <a:fgClr>
                  <a:srgbClr val="4F81BD"/>
                </a:fgClr>
                <a:bgClr>
                  <a:sysClr val="window" lastClr="FFFFFF"/>
                </a:bgClr>
              </a:pattFill>
              <a:ln w="12692">
                <a:solidFill>
                  <a:srgbClr val="000000"/>
                </a:solidFill>
                <a:prstDash val="solid"/>
              </a:ln>
            </c:spPr>
          </c:dPt>
          <c:dLbls>
            <c:dLbl>
              <c:idx val="0"/>
              <c:layout>
                <c:manualLayout>
                  <c:x val="0.22869931486610043"/>
                  <c:y val="-1.0307575266640622E-2"/>
                </c:manualLayout>
              </c:layout>
              <c:tx>
                <c:rich>
                  <a:bodyPr/>
                  <a:lstStyle/>
                  <a:p>
                    <a:r>
                      <a:rPr lang="ru-RU" sz="1100" b="0" i="0" u="none" strike="noStrike" baseline="0">
                        <a:solidFill>
                          <a:srgbClr val="000000"/>
                        </a:solidFill>
                        <a:latin typeface="Times New Roman" panose="02020603050405020304" pitchFamily="18" charset="0"/>
                        <a:cs typeface="Times New Roman" panose="02020603050405020304" pitchFamily="18" charset="0"/>
                      </a:rPr>
                      <a:t>26</a:t>
                    </a:r>
                  </a:p>
                  <a:p>
                    <a:r>
                      <a:rPr lang="ru-RU" sz="1100" b="0" i="0" u="none" strike="noStrike" baseline="0">
                        <a:solidFill>
                          <a:srgbClr val="000000"/>
                        </a:solidFill>
                        <a:latin typeface="Times New Roman" panose="02020603050405020304" pitchFamily="18" charset="0"/>
                        <a:cs typeface="Times New Roman" panose="02020603050405020304" pitchFamily="18" charset="0"/>
                      </a:rPr>
                      <a:t> (59,1%)</a:t>
                    </a:r>
                    <a:endParaRPr lang="ru-RU" sz="1050" b="0" i="0" u="none" strike="noStrike" baseline="0">
                      <a:solidFill>
                        <a:srgbClr val="000000"/>
                      </a:solidFill>
                      <a:latin typeface="Times New Roman" panose="02020603050405020304" pitchFamily="18" charset="0"/>
                      <a:cs typeface="Times New Roman" panose="02020603050405020304" pitchFamily="18" charset="0"/>
                    </a:endParaRPr>
                  </a:p>
                </c:rich>
              </c:tx>
              <c:dLblPos val="bestFit"/>
              <c:showLegendKey val="0"/>
              <c:showVal val="0"/>
              <c:showCatName val="0"/>
              <c:showSerName val="0"/>
              <c:showPercent val="0"/>
              <c:showBubbleSize val="0"/>
            </c:dLbl>
            <c:dLbl>
              <c:idx val="1"/>
              <c:layout>
                <c:manualLayout>
                  <c:x val="-0.18331119431049844"/>
                  <c:y val="-5.4702509875681447E-2"/>
                </c:manualLayout>
              </c:layout>
              <c:tx>
                <c:rich>
                  <a:bodyPr/>
                  <a:lstStyle/>
                  <a:p>
                    <a:r>
                      <a:rPr lang="ru-RU" sz="1100" b="0" i="0" u="none" strike="noStrike" baseline="0">
                        <a:solidFill>
                          <a:srgbClr val="000000"/>
                        </a:solidFill>
                        <a:latin typeface="Times New Roman" panose="02020603050405020304" pitchFamily="18" charset="0"/>
                        <a:cs typeface="Times New Roman" panose="02020603050405020304" pitchFamily="18" charset="0"/>
                      </a:rPr>
                      <a:t>18 </a:t>
                    </a:r>
                  </a:p>
                  <a:p>
                    <a:r>
                      <a:rPr lang="ru-RU" sz="1100" b="0" i="0" u="none" strike="noStrike" baseline="0">
                        <a:solidFill>
                          <a:srgbClr val="000000"/>
                        </a:solidFill>
                        <a:latin typeface="Times New Roman" panose="02020603050405020304" pitchFamily="18" charset="0"/>
                        <a:cs typeface="Times New Roman" panose="02020603050405020304" pitchFamily="18" charset="0"/>
                      </a:rPr>
                      <a:t>(40,9%)</a:t>
                    </a:r>
                    <a:endParaRPr lang="ru-RU" sz="1050" b="0" i="0" u="none" strike="noStrike" baseline="0">
                      <a:solidFill>
                        <a:srgbClr val="000000"/>
                      </a:solidFill>
                      <a:latin typeface="Times New Roman" panose="02020603050405020304" pitchFamily="18" charset="0"/>
                      <a:cs typeface="Times New Roman" panose="02020603050405020304" pitchFamily="18" charset="0"/>
                    </a:endParaRPr>
                  </a:p>
                </c:rich>
              </c:tx>
              <c:dLblPos val="bestFit"/>
              <c:showLegendKey val="0"/>
              <c:showVal val="0"/>
              <c:showCatName val="0"/>
              <c:showSerName val="0"/>
              <c:showPercent val="0"/>
              <c:showBubbleSize val="0"/>
            </c:dLbl>
            <c:spPr>
              <a:solidFill>
                <a:sysClr val="window" lastClr="FFFFFF"/>
              </a:solidFill>
              <a:ln w="3173">
                <a:solidFill>
                  <a:prstClr val="black"/>
                </a:solid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Лист1!$A$2:$A$3</c:f>
              <c:strCache>
                <c:ptCount val="2"/>
                <c:pt idx="0">
                  <c:v>Остеопения</c:v>
                </c:pt>
                <c:pt idx="1">
                  <c:v>Остеопороз</c:v>
                </c:pt>
              </c:strCache>
            </c:strRef>
          </c:cat>
          <c:val>
            <c:numRef>
              <c:f>Лист1!$B$2:$B$3</c:f>
              <c:numCache>
                <c:formatCode>General</c:formatCode>
                <c:ptCount val="2"/>
                <c:pt idx="0">
                  <c:v>26</c:v>
                </c:pt>
                <c:pt idx="1">
                  <c:v>18</c:v>
                </c:pt>
              </c:numCache>
            </c:numRef>
          </c:val>
        </c:ser>
        <c:dLbls>
          <c:showLegendKey val="0"/>
          <c:showVal val="0"/>
          <c:showCatName val="0"/>
          <c:showSerName val="0"/>
          <c:showPercent val="0"/>
          <c:showBubbleSize val="0"/>
          <c:showLeaderLines val="1"/>
        </c:dLbls>
      </c:pie3DChart>
      <c:spPr>
        <a:noFill/>
        <a:ln w="25382">
          <a:noFill/>
        </a:ln>
      </c:spPr>
    </c:plotArea>
    <c:legend>
      <c:legendPos val="r"/>
      <c:layout>
        <c:manualLayout>
          <c:xMode val="edge"/>
          <c:yMode val="edge"/>
          <c:x val="0.80471129482278969"/>
          <c:y val="0.34138307565223863"/>
          <c:w val="0.19200127990590965"/>
          <c:h val="0.25837675553713679"/>
        </c:manualLayout>
      </c:layout>
      <c:overlay val="0"/>
      <c:txPr>
        <a:bodyPr/>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ln>
      <a:noFill/>
    </a:ln>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130"/>
      <c:rAngAx val="0"/>
      <c:perspective val="10"/>
    </c:view3D>
    <c:floor>
      <c:thickness val="0"/>
    </c:floor>
    <c:sideWall>
      <c:thickness val="0"/>
    </c:sideWall>
    <c:backWall>
      <c:thickness val="0"/>
    </c:backWall>
    <c:plotArea>
      <c:layout>
        <c:manualLayout>
          <c:layoutTarget val="inner"/>
          <c:xMode val="edge"/>
          <c:yMode val="edge"/>
          <c:x val="0"/>
          <c:y val="1.5029516659254745E-3"/>
          <c:w val="0.5587182375134474"/>
          <c:h val="0.99849707871411331"/>
        </c:manualLayout>
      </c:layout>
      <c:pie3DChart>
        <c:varyColors val="1"/>
        <c:ser>
          <c:idx val="0"/>
          <c:order val="0"/>
          <c:tx>
            <c:strRef>
              <c:f>Лист1!$B$1</c:f>
              <c:strCache>
                <c:ptCount val="1"/>
                <c:pt idx="0">
                  <c:v>МПК </c:v>
                </c:pt>
              </c:strCache>
            </c:strRef>
          </c:tx>
          <c:spPr>
            <a:solidFill>
              <a:srgbClr val="C0504D"/>
            </a:solidFill>
            <a:ln>
              <a:solidFill>
                <a:sysClr val="windowText" lastClr="000000"/>
              </a:solidFill>
            </a:ln>
          </c:spPr>
          <c:dPt>
            <c:idx val="0"/>
            <c:bubble3D val="0"/>
            <c:explosion val="13"/>
            <c:spPr>
              <a:solidFill>
                <a:sysClr val="window" lastClr="FFFFFF"/>
              </a:solidFill>
              <a:ln w="12686">
                <a:solidFill>
                  <a:srgbClr val="000000"/>
                </a:solidFill>
                <a:prstDash val="solid"/>
              </a:ln>
            </c:spPr>
          </c:dPt>
          <c:dPt>
            <c:idx val="1"/>
            <c:bubble3D val="0"/>
            <c:spPr>
              <a:pattFill prst="dkHorz">
                <a:fgClr>
                  <a:srgbClr val="C0504D"/>
                </a:fgClr>
                <a:bgClr>
                  <a:sysClr val="window" lastClr="FFFFFF"/>
                </a:bgClr>
              </a:pattFill>
              <a:ln w="12686">
                <a:solidFill>
                  <a:srgbClr val="000000"/>
                </a:solidFill>
                <a:prstDash val="solid"/>
              </a:ln>
            </c:spPr>
          </c:dPt>
          <c:dPt>
            <c:idx val="2"/>
            <c:bubble3D val="0"/>
            <c:explosion val="12"/>
            <c:spPr>
              <a:pattFill prst="dashVert">
                <a:fgClr>
                  <a:srgbClr val="C0504D"/>
                </a:fgClr>
                <a:bgClr>
                  <a:sysClr val="window" lastClr="FFFFFF"/>
                </a:bgClr>
              </a:pattFill>
              <a:ln>
                <a:solidFill>
                  <a:sysClr val="windowText" lastClr="000000"/>
                </a:solidFill>
              </a:ln>
            </c:spPr>
          </c:dPt>
          <c:dLbls>
            <c:dLbl>
              <c:idx val="0"/>
              <c:layout>
                <c:manualLayout>
                  <c:x val="5.6298371357426477E-2"/>
                  <c:y val="-2.7108167770419425E-2"/>
                </c:manualLayout>
              </c:layout>
              <c:tx>
                <c:rich>
                  <a:bodyPr/>
                  <a:lstStyle/>
                  <a:p>
                    <a:r>
                      <a:rPr lang="en-US">
                        <a:latin typeface="Times New Roman" panose="02020603050405020304" pitchFamily="18" charset="0"/>
                        <a:cs typeface="Times New Roman" panose="02020603050405020304" pitchFamily="18" charset="0"/>
                      </a:rPr>
                      <a:t>2</a:t>
                    </a:r>
                    <a:r>
                      <a:rPr lang="ru-RU">
                        <a:latin typeface="Times New Roman" panose="02020603050405020304" pitchFamily="18" charset="0"/>
                        <a:cs typeface="Times New Roman" panose="02020603050405020304" pitchFamily="18" charset="0"/>
                      </a:rPr>
                      <a:t> </a:t>
                    </a:r>
                  </a:p>
                  <a:p>
                    <a:r>
                      <a:rPr lang="ru-RU">
                        <a:latin typeface="Times New Roman" panose="02020603050405020304" pitchFamily="18" charset="0"/>
                        <a:cs typeface="Times New Roman" panose="02020603050405020304" pitchFamily="18" charset="0"/>
                      </a:rPr>
                      <a:t>(5,7%)</a:t>
                    </a:r>
                    <a:r>
                      <a:rPr lang="en-US">
                        <a:latin typeface="Times New Roman" panose="02020603050405020304" pitchFamily="18" charset="0"/>
                        <a:cs typeface="Times New Roman" panose="02020603050405020304" pitchFamily="18" charset="0"/>
                      </a:rPr>
                      <a:t> </a:t>
                    </a:r>
                    <a:endParaRPr lang="en-US"/>
                  </a:p>
                </c:rich>
              </c:tx>
              <c:dLblPos val="bestFit"/>
              <c:showLegendKey val="0"/>
              <c:showVal val="0"/>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2</a:t>
                    </a:r>
                    <a:r>
                      <a:rPr lang="ru-RU">
                        <a:latin typeface="Times New Roman" panose="02020603050405020304" pitchFamily="18" charset="0"/>
                        <a:cs typeface="Times New Roman" panose="02020603050405020304" pitchFamily="18" charset="0"/>
                      </a:rPr>
                      <a:t>4</a:t>
                    </a:r>
                    <a:r>
                      <a:rPr lang="en-US">
                        <a:latin typeface="Times New Roman" panose="02020603050405020304" pitchFamily="18" charset="0"/>
                        <a:cs typeface="Times New Roman" panose="02020603050405020304" pitchFamily="18" charset="0"/>
                      </a:rPr>
                      <a:t> </a:t>
                    </a:r>
                  </a:p>
                  <a:p>
                    <a:r>
                      <a:rPr lang="en-US">
                        <a:latin typeface="Times New Roman" panose="02020603050405020304" pitchFamily="18" charset="0"/>
                        <a:cs typeface="Times New Roman" panose="02020603050405020304" pitchFamily="18" charset="0"/>
                      </a:rPr>
                      <a:t>(6</a:t>
                    </a:r>
                    <a:r>
                      <a:rPr lang="ru-RU">
                        <a:latin typeface="Times New Roman" panose="02020603050405020304" pitchFamily="18" charset="0"/>
                        <a:cs typeface="Times New Roman" panose="02020603050405020304" pitchFamily="18" charset="0"/>
                      </a:rPr>
                      <a:t>8</a:t>
                    </a:r>
                    <a:r>
                      <a:rPr lang="en-US">
                        <a:latin typeface="Times New Roman" panose="02020603050405020304" pitchFamily="18" charset="0"/>
                        <a:cs typeface="Times New Roman" panose="02020603050405020304" pitchFamily="18" charset="0"/>
                      </a:rPr>
                      <a:t>,</a:t>
                    </a:r>
                    <a:r>
                      <a:rPr lang="ru-RU">
                        <a:latin typeface="Times New Roman" panose="02020603050405020304" pitchFamily="18" charset="0"/>
                        <a:cs typeface="Times New Roman" panose="02020603050405020304" pitchFamily="18" charset="0"/>
                      </a:rPr>
                      <a:t>6</a:t>
                    </a:r>
                    <a:r>
                      <a:rPr lang="en-US">
                        <a:latin typeface="Times New Roman" panose="02020603050405020304" pitchFamily="18" charset="0"/>
                        <a:cs typeface="Times New Roman" panose="02020603050405020304" pitchFamily="18" charset="0"/>
                      </a:rPr>
                      <a:t>%)</a:t>
                    </a:r>
                    <a:endParaRPr lang="en-US"/>
                  </a:p>
                </c:rich>
              </c:tx>
              <c:showLegendKey val="0"/>
              <c:showVal val="0"/>
              <c:showCatName val="0"/>
              <c:showSerName val="0"/>
              <c:showPercent val="0"/>
              <c:showBubbleSize val="0"/>
            </c:dLbl>
            <c:dLbl>
              <c:idx val="2"/>
              <c:tx>
                <c:rich>
                  <a:bodyPr/>
                  <a:lstStyle/>
                  <a:p>
                    <a:r>
                      <a:rPr lang="ru-RU">
                        <a:latin typeface="Times New Roman" panose="02020603050405020304" pitchFamily="18" charset="0"/>
                        <a:cs typeface="Times New Roman" panose="02020603050405020304" pitchFamily="18" charset="0"/>
                      </a:rPr>
                      <a:t>9 </a:t>
                    </a:r>
                  </a:p>
                  <a:p>
                    <a:r>
                      <a:rPr lang="ru-RU">
                        <a:latin typeface="Times New Roman" panose="02020603050405020304" pitchFamily="18" charset="0"/>
                        <a:cs typeface="Times New Roman" panose="02020603050405020304" pitchFamily="18" charset="0"/>
                      </a:rPr>
                      <a:t>(25,7%)</a:t>
                    </a:r>
                    <a:endParaRPr lang="en-US"/>
                  </a:p>
                </c:rich>
              </c:tx>
              <c:showLegendKey val="0"/>
              <c:showVal val="0"/>
              <c:showCatName val="0"/>
              <c:showSerName val="0"/>
              <c:showPercent val="0"/>
              <c:showBubbleSize val="0"/>
            </c:dLbl>
            <c:spPr>
              <a:solidFill>
                <a:sysClr val="window" lastClr="FFFFFF"/>
              </a:solidFill>
              <a:ln w="3172">
                <a:solidFill>
                  <a:sysClr val="windowText" lastClr="000000"/>
                </a:solidFill>
              </a:ln>
            </c:spPr>
            <c:txPr>
              <a:bodyPr/>
              <a:lstStyle/>
              <a:p>
                <a:pPr>
                  <a:defRPr sz="1099">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Лист1!$A$2:$A$4</c:f>
              <c:strCache>
                <c:ptCount val="3"/>
                <c:pt idx="0">
                  <c:v>Норма </c:v>
                </c:pt>
                <c:pt idx="1">
                  <c:v>Остеопения</c:v>
                </c:pt>
                <c:pt idx="2">
                  <c:v>Остеопороз</c:v>
                </c:pt>
              </c:strCache>
            </c:strRef>
          </c:cat>
          <c:val>
            <c:numRef>
              <c:f>Лист1!$B$2:$B$4</c:f>
              <c:numCache>
                <c:formatCode>General</c:formatCode>
                <c:ptCount val="3"/>
                <c:pt idx="0">
                  <c:v>2</c:v>
                </c:pt>
                <c:pt idx="1">
                  <c:v>24</c:v>
                </c:pt>
                <c:pt idx="2">
                  <c:v>9</c:v>
                </c:pt>
              </c:numCache>
            </c:numRef>
          </c:val>
        </c:ser>
        <c:dLbls>
          <c:showLegendKey val="0"/>
          <c:showVal val="0"/>
          <c:showCatName val="0"/>
          <c:showSerName val="0"/>
          <c:showPercent val="0"/>
          <c:showBubbleSize val="0"/>
          <c:showLeaderLines val="1"/>
        </c:dLbls>
      </c:pie3DChart>
      <c:spPr>
        <a:noFill/>
        <a:ln w="25405">
          <a:noFill/>
        </a:ln>
      </c:spPr>
    </c:plotArea>
    <c:legend>
      <c:legendPos val="r"/>
      <c:legendEntry>
        <c:idx val="0"/>
        <c:txPr>
          <a:bodyPr/>
          <a:lstStyle/>
          <a:p>
            <a:pPr>
              <a:defRPr sz="1100">
                <a:latin typeface="Times New Roman" panose="02020603050405020304" pitchFamily="18" charset="0"/>
                <a:cs typeface="Times New Roman" panose="02020603050405020304" pitchFamily="18" charset="0"/>
              </a:defRPr>
            </a:pPr>
            <a:endParaRPr lang="ru-RU"/>
          </a:p>
        </c:txPr>
      </c:legendEntry>
      <c:layout>
        <c:manualLayout>
          <c:xMode val="edge"/>
          <c:yMode val="edge"/>
          <c:x val="0.81891820039906327"/>
          <c:y val="0.29458271166268513"/>
          <c:w val="0.17879947933337603"/>
          <c:h val="0.32718353891770352"/>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Лист2!$A$2</c:f>
              <c:strCache>
                <c:ptCount val="1"/>
                <c:pt idx="0">
                  <c:v>Группа 1</c:v>
                </c:pt>
              </c:strCache>
            </c:strRef>
          </c:tx>
          <c:marker>
            <c:symbol val="circle"/>
            <c:size val="5"/>
          </c:marker>
          <c:dLbls>
            <c:dLbl>
              <c:idx val="0"/>
              <c:layout>
                <c:manualLayout>
                  <c:x val="-4.6875E-2"/>
                  <c:y val="5.7874244979470593E-2"/>
                </c:manualLayout>
              </c:layout>
              <c:dLblPos val="r"/>
              <c:showLegendKey val="0"/>
              <c:showVal val="1"/>
              <c:showCatName val="0"/>
              <c:showSerName val="0"/>
              <c:showPercent val="0"/>
              <c:showBubbleSize val="0"/>
            </c:dLbl>
            <c:dLbl>
              <c:idx val="1"/>
              <c:layout>
                <c:manualLayout>
                  <c:x val="-4.9479166666666664E-2"/>
                  <c:y val="-6.6777974976312215E-2"/>
                </c:manualLayout>
              </c:layout>
              <c:dLblPos val="r"/>
              <c:showLegendKey val="0"/>
              <c:showVal val="1"/>
              <c:showCatName val="0"/>
              <c:showSerName val="0"/>
              <c:showPercent val="0"/>
              <c:showBubbleSize val="0"/>
            </c:dLbl>
            <c:dLbl>
              <c:idx val="2"/>
              <c:layout>
                <c:manualLayout>
                  <c:x val="-7.2916666666666671E-2"/>
                  <c:y val="-6.6777974976312215E-2"/>
                </c:manualLayout>
              </c:layout>
              <c:dLblPos val="r"/>
              <c:showLegendKey val="0"/>
              <c:showVal val="1"/>
              <c:showCatName val="0"/>
              <c:showSerName val="0"/>
              <c:showPercent val="0"/>
              <c:showBubbleSize val="0"/>
            </c:dLbl>
            <c:dLbl>
              <c:idx val="3"/>
              <c:layout>
                <c:manualLayout>
                  <c:x val="-6.5104166666666671E-2"/>
                  <c:y val="-5.3422379981049775E-2"/>
                </c:manualLayout>
              </c:layout>
              <c:tx>
                <c:rich>
                  <a:bodyPr/>
                  <a:lstStyle/>
                  <a:p>
                    <a:r>
                      <a:rPr lang="en-US"/>
                      <a:t>0,815</a:t>
                    </a:r>
                    <a:r>
                      <a:rPr lang="ru-RU"/>
                      <a:t>0</a:t>
                    </a:r>
                  </a:p>
                </c:rich>
              </c:tx>
              <c:dLblPos val="r"/>
              <c:showLegendKey val="0"/>
              <c:showVal val="0"/>
              <c:showCatName val="0"/>
              <c:showSerName val="0"/>
              <c:showPercent val="0"/>
              <c:showBubbleSize val="0"/>
            </c:dLbl>
            <c:dLbl>
              <c:idx val="4"/>
              <c:layout>
                <c:manualLayout>
                  <c:x val="-5.7291666666666761E-2"/>
                  <c:y val="-5.3422379981049775E-2"/>
                </c:manualLayout>
              </c:layout>
              <c:dLblPos val="r"/>
              <c:showLegendKey val="0"/>
              <c:showVal val="1"/>
              <c:showCatName val="0"/>
              <c:showSerName val="0"/>
              <c:showPercent val="0"/>
              <c:showBubbleSize val="0"/>
            </c:dLbl>
            <c:txPr>
              <a:bodyPr/>
              <a:lstStyle/>
              <a:p>
                <a:pPr>
                  <a:defRPr sz="1200">
                    <a:latin typeface="+mn-lt"/>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Лист2!$B$1:$F$1</c:f>
              <c:strCache>
                <c:ptCount val="5"/>
                <c:pt idx="0">
                  <c:v>Исходно</c:v>
                </c:pt>
                <c:pt idx="1">
                  <c:v>12 месяцев</c:v>
                </c:pt>
                <c:pt idx="2">
                  <c:v>24 месяца</c:v>
                </c:pt>
                <c:pt idx="3">
                  <c:v>36 месяцев</c:v>
                </c:pt>
                <c:pt idx="4">
                  <c:v>48 месяцев</c:v>
                </c:pt>
              </c:strCache>
            </c:strRef>
          </c:cat>
          <c:val>
            <c:numRef>
              <c:f>Лист2!$B$2:$F$2</c:f>
              <c:numCache>
                <c:formatCode>General</c:formatCode>
                <c:ptCount val="5"/>
                <c:pt idx="0">
                  <c:v>0.7641</c:v>
                </c:pt>
                <c:pt idx="1">
                  <c:v>0.77529999999999999</c:v>
                </c:pt>
                <c:pt idx="2">
                  <c:v>0.77559999999999996</c:v>
                </c:pt>
                <c:pt idx="3">
                  <c:v>0.81499999999999995</c:v>
                </c:pt>
                <c:pt idx="4">
                  <c:v>0.83260000000000001</c:v>
                </c:pt>
              </c:numCache>
            </c:numRef>
          </c:val>
          <c:smooth val="0"/>
        </c:ser>
        <c:ser>
          <c:idx val="1"/>
          <c:order val="1"/>
          <c:tx>
            <c:strRef>
              <c:f>Лист2!$A$3</c:f>
              <c:strCache>
                <c:ptCount val="1"/>
                <c:pt idx="0">
                  <c:v>Группа 2</c:v>
                </c:pt>
              </c:strCache>
            </c:strRef>
          </c:tx>
          <c:spPr>
            <a:ln>
              <a:prstDash val="dash"/>
            </a:ln>
          </c:spPr>
          <c:marker>
            <c:symbol val="square"/>
            <c:size val="5"/>
          </c:marker>
          <c:dLbls>
            <c:dLbl>
              <c:idx val="0"/>
              <c:layout>
                <c:manualLayout>
                  <c:x val="-3.0321452178468208E-2"/>
                  <c:y val="-8.8685256226262249E-2"/>
                </c:manualLayout>
              </c:layout>
              <c:dLblPos val="r"/>
              <c:showLegendKey val="0"/>
              <c:showVal val="1"/>
              <c:showCatName val="0"/>
              <c:showSerName val="0"/>
              <c:showPercent val="0"/>
              <c:showBubbleSize val="0"/>
            </c:dLbl>
            <c:dLbl>
              <c:idx val="1"/>
              <c:layout>
                <c:manualLayout>
                  <c:x val="-1.5625E-2"/>
                  <c:y val="8.9037299968416292E-2"/>
                </c:manualLayout>
              </c:layout>
              <c:tx>
                <c:rich>
                  <a:bodyPr/>
                  <a:lstStyle/>
                  <a:p>
                    <a:r>
                      <a:rPr lang="en-US"/>
                      <a:t>0,768</a:t>
                    </a:r>
                    <a:r>
                      <a:rPr lang="ru-RU"/>
                      <a:t>0</a:t>
                    </a:r>
                    <a:endParaRPr lang="en-US"/>
                  </a:p>
                </c:rich>
              </c:tx>
              <c:dLblPos val="r"/>
              <c:showLegendKey val="0"/>
              <c:showVal val="0"/>
              <c:showCatName val="0"/>
              <c:showSerName val="0"/>
              <c:showPercent val="0"/>
              <c:showBubbleSize val="0"/>
            </c:dLbl>
            <c:dLbl>
              <c:idx val="2"/>
              <c:layout>
                <c:manualLayout>
                  <c:x val="-3.125E-2"/>
                  <c:y val="7.5681704973153935E-2"/>
                </c:manualLayout>
              </c:layout>
              <c:dLblPos val="r"/>
              <c:showLegendKey val="0"/>
              <c:showVal val="1"/>
              <c:showCatName val="0"/>
              <c:showSerName val="0"/>
              <c:showPercent val="0"/>
              <c:showBubbleSize val="0"/>
            </c:dLbl>
            <c:dLbl>
              <c:idx val="3"/>
              <c:layout>
                <c:manualLayout>
                  <c:x val="-1.0416666666666666E-2"/>
                  <c:y val="7.1229839974733034E-2"/>
                </c:manualLayout>
              </c:layout>
              <c:dLblPos val="r"/>
              <c:showLegendKey val="0"/>
              <c:showVal val="1"/>
              <c:showCatName val="0"/>
              <c:showSerName val="0"/>
              <c:showPercent val="0"/>
              <c:showBubbleSize val="0"/>
            </c:dLbl>
            <c:dLbl>
              <c:idx val="4"/>
              <c:layout>
                <c:manualLayout>
                  <c:x val="-1.0416666666666761E-2"/>
                  <c:y val="6.2326109977891404E-2"/>
                </c:manualLayout>
              </c:layout>
              <c:dLblPos val="r"/>
              <c:showLegendKey val="0"/>
              <c:showVal val="1"/>
              <c:showCatName val="0"/>
              <c:showSerName val="0"/>
              <c:showPercent val="0"/>
              <c:showBubbleSize val="0"/>
            </c:dLbl>
            <c:txPr>
              <a:bodyPr/>
              <a:lstStyle/>
              <a:p>
                <a:pPr>
                  <a:defRPr sz="1200">
                    <a:latin typeface="+mn-lt"/>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Лист2!$B$1:$F$1</c:f>
              <c:strCache>
                <c:ptCount val="5"/>
                <c:pt idx="0">
                  <c:v>Исходно</c:v>
                </c:pt>
                <c:pt idx="1">
                  <c:v>12 месяцев</c:v>
                </c:pt>
                <c:pt idx="2">
                  <c:v>24 месяца</c:v>
                </c:pt>
                <c:pt idx="3">
                  <c:v>36 месяцев</c:v>
                </c:pt>
                <c:pt idx="4">
                  <c:v>48 месяцев</c:v>
                </c:pt>
              </c:strCache>
            </c:strRef>
          </c:cat>
          <c:val>
            <c:numRef>
              <c:f>Лист2!$B$3:$F$3</c:f>
              <c:numCache>
                <c:formatCode>General</c:formatCode>
                <c:ptCount val="5"/>
                <c:pt idx="0">
                  <c:v>0.78939999999999999</c:v>
                </c:pt>
                <c:pt idx="1">
                  <c:v>0.76800000000000002</c:v>
                </c:pt>
                <c:pt idx="2">
                  <c:v>0.74939999999999996</c:v>
                </c:pt>
                <c:pt idx="3">
                  <c:v>0.74329999999999996</c:v>
                </c:pt>
                <c:pt idx="4">
                  <c:v>0.74109999999999998</c:v>
                </c:pt>
              </c:numCache>
            </c:numRef>
          </c:val>
          <c:smooth val="0"/>
        </c:ser>
        <c:dLbls>
          <c:showLegendKey val="0"/>
          <c:showVal val="0"/>
          <c:showCatName val="0"/>
          <c:showSerName val="0"/>
          <c:showPercent val="0"/>
          <c:showBubbleSize val="0"/>
        </c:dLbls>
        <c:marker val="1"/>
        <c:smooth val="0"/>
        <c:axId val="140709248"/>
        <c:axId val="140727424"/>
      </c:lineChart>
      <c:catAx>
        <c:axId val="140709248"/>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40727424"/>
        <c:crosses val="autoZero"/>
        <c:auto val="1"/>
        <c:lblAlgn val="ctr"/>
        <c:lblOffset val="100"/>
        <c:noMultiLvlLbl val="0"/>
      </c:catAx>
      <c:valAx>
        <c:axId val="140727424"/>
        <c:scaling>
          <c:orientation val="minMax"/>
          <c:max val="0.8600000000000001"/>
        </c:scaling>
        <c:delete val="0"/>
        <c:axPos val="l"/>
        <c:majorGridlines/>
        <c:title>
          <c:tx>
            <c:rich>
              <a:bodyPr/>
              <a:lstStyle/>
              <a:p>
                <a:pPr>
                  <a:defRPr sz="11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Среднее значение МПК, г/см</a:t>
                </a:r>
                <a:r>
                  <a:rPr lang="ru-RU" sz="1100" b="0" i="0" u="none" strike="noStrike" baseline="30000">
                    <a:solidFill>
                      <a:srgbClr val="000000"/>
                    </a:solidFill>
                    <a:latin typeface="Times New Roman"/>
                    <a:cs typeface="Times New Roman"/>
                  </a:rPr>
                  <a:t>2</a:t>
                </a:r>
              </a:p>
            </c:rich>
          </c:tx>
          <c:layout>
            <c:manualLayout>
              <c:xMode val="edge"/>
              <c:yMode val="edge"/>
              <c:x val="3.0595276456236702E-3"/>
              <c:y val="0.20337625891687733"/>
            </c:manualLayout>
          </c:layout>
          <c:overlay val="0"/>
        </c:title>
        <c:numFmt formatCode="General" sourceLinked="1"/>
        <c:majorTickMark val="out"/>
        <c:minorTickMark val="none"/>
        <c:tickLblPos val="nextTo"/>
        <c:txPr>
          <a:bodyPr/>
          <a:lstStyle/>
          <a:p>
            <a:pPr>
              <a:defRPr sz="1100">
                <a:latin typeface="+mn-lt"/>
                <a:cs typeface="Times New Roman" panose="02020603050405020304" pitchFamily="18" charset="0"/>
              </a:defRPr>
            </a:pPr>
            <a:endParaRPr lang="ru-RU"/>
          </a:p>
        </c:txPr>
        <c:crossAx val="140709248"/>
        <c:crosses val="autoZero"/>
        <c:crossBetween val="between"/>
        <c:majorUnit val="4.0000000000000008E-2"/>
      </c:valAx>
    </c:plotArea>
    <c:legend>
      <c:legendPos val="r"/>
      <c:layout>
        <c:manualLayout>
          <c:xMode val="edge"/>
          <c:yMode val="edge"/>
          <c:x val="0.81192279997432892"/>
          <c:y val="0.24256086314853365"/>
          <c:w val="0.18166817583901862"/>
          <c:h val="0.28192511096600553"/>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Лист2!$A$27</c:f>
              <c:strCache>
                <c:ptCount val="1"/>
                <c:pt idx="0">
                  <c:v>Группа 1</c:v>
                </c:pt>
              </c:strCache>
            </c:strRef>
          </c:tx>
          <c:marker>
            <c:symbol val="circle"/>
            <c:size val="5"/>
          </c:marker>
          <c:dLbls>
            <c:dLbl>
              <c:idx val="0"/>
              <c:layout>
                <c:manualLayout>
                  <c:x val="-1.4979006644175129E-2"/>
                  <c:y val="6.1709905828184766E-2"/>
                </c:manualLayout>
              </c:layout>
              <c:dLblPos val="r"/>
              <c:showLegendKey val="0"/>
              <c:showVal val="1"/>
              <c:showCatName val="0"/>
              <c:showSerName val="0"/>
              <c:showPercent val="0"/>
              <c:showBubbleSize val="0"/>
            </c:dLbl>
            <c:dLbl>
              <c:idx val="1"/>
              <c:layout>
                <c:manualLayout>
                  <c:x val="-1.7185756363171285E-2"/>
                  <c:y val="5.5907508721122941E-2"/>
                </c:manualLayout>
              </c:layout>
              <c:dLblPos val="r"/>
              <c:showLegendKey val="0"/>
              <c:showVal val="1"/>
              <c:showCatName val="0"/>
              <c:showSerName val="0"/>
              <c:showPercent val="0"/>
              <c:showBubbleSize val="0"/>
            </c:dLbl>
            <c:dLbl>
              <c:idx val="2"/>
              <c:layout>
                <c:manualLayout>
                  <c:x val="-3.230006269615717E-3"/>
                  <c:y val="2.4236235792926245E-3"/>
                </c:manualLayout>
              </c:layout>
              <c:dLblPos val="r"/>
              <c:showLegendKey val="0"/>
              <c:showVal val="1"/>
              <c:showCatName val="0"/>
              <c:showSerName val="0"/>
              <c:showPercent val="0"/>
              <c:showBubbleSize val="0"/>
            </c:dLbl>
            <c:dLbl>
              <c:idx val="3"/>
              <c:layout>
                <c:manualLayout>
                  <c:x val="-1.3848588696191126E-2"/>
                  <c:y val="6.3810402735227367E-2"/>
                </c:manualLayout>
              </c:layout>
              <c:dLblPos val="r"/>
              <c:showLegendKey val="0"/>
              <c:showVal val="1"/>
              <c:showCatName val="0"/>
              <c:showSerName val="0"/>
              <c:showPercent val="0"/>
              <c:showBubbleSize val="0"/>
            </c:dLbl>
            <c:dLbl>
              <c:idx val="4"/>
              <c:layout>
                <c:manualLayout>
                  <c:x val="-3.1249915875900126E-2"/>
                  <c:y val="7.7251916358137357E-2"/>
                </c:manualLayout>
              </c:layout>
              <c:dLblPos val="r"/>
              <c:showLegendKey val="0"/>
              <c:showVal val="1"/>
              <c:showCatName val="0"/>
              <c:showSerName val="0"/>
              <c:showPercent val="0"/>
              <c:showBubbleSize val="0"/>
            </c:dLbl>
            <c:txPr>
              <a:bodyPr/>
              <a:lstStyle/>
              <a:p>
                <a:pPr>
                  <a:defRPr sz="1200">
                    <a:latin typeface="+mn-lt"/>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Лист2!$B$26:$F$26</c:f>
              <c:strCache>
                <c:ptCount val="5"/>
                <c:pt idx="0">
                  <c:v>Исходно</c:v>
                </c:pt>
                <c:pt idx="1">
                  <c:v>12 месяцев</c:v>
                </c:pt>
                <c:pt idx="2">
                  <c:v>24 месяца</c:v>
                </c:pt>
                <c:pt idx="3">
                  <c:v>36 месяцев</c:v>
                </c:pt>
                <c:pt idx="4">
                  <c:v>48 месяцев</c:v>
                </c:pt>
              </c:strCache>
            </c:strRef>
          </c:cat>
          <c:val>
            <c:numRef>
              <c:f>Лист2!$B$27:$F$27</c:f>
              <c:numCache>
                <c:formatCode>General</c:formatCode>
                <c:ptCount val="5"/>
                <c:pt idx="0">
                  <c:v>-2.0699999999999998</c:v>
                </c:pt>
                <c:pt idx="1">
                  <c:v>-1.98</c:v>
                </c:pt>
                <c:pt idx="2">
                  <c:v>-1.95</c:v>
                </c:pt>
                <c:pt idx="3">
                  <c:v>-1.64</c:v>
                </c:pt>
                <c:pt idx="4">
                  <c:v>-1.52</c:v>
                </c:pt>
              </c:numCache>
            </c:numRef>
          </c:val>
          <c:smooth val="0"/>
        </c:ser>
        <c:ser>
          <c:idx val="1"/>
          <c:order val="1"/>
          <c:tx>
            <c:strRef>
              <c:f>Лист2!$A$28</c:f>
              <c:strCache>
                <c:ptCount val="1"/>
                <c:pt idx="0">
                  <c:v>Группа 2</c:v>
                </c:pt>
              </c:strCache>
            </c:strRef>
          </c:tx>
          <c:spPr>
            <a:ln>
              <a:prstDash val="dash"/>
            </a:ln>
          </c:spPr>
          <c:marker>
            <c:symbol val="square"/>
            <c:size val="5"/>
          </c:marker>
          <c:dLbls>
            <c:dLbl>
              <c:idx val="0"/>
              <c:layout>
                <c:manualLayout>
                  <c:x val="-1.8229166666666668E-2"/>
                  <c:y val="-5.0955414012738856E-2"/>
                </c:manualLayout>
              </c:layout>
              <c:dLblPos val="r"/>
              <c:showLegendKey val="0"/>
              <c:showVal val="1"/>
              <c:showCatName val="0"/>
              <c:showSerName val="0"/>
              <c:showPercent val="0"/>
              <c:showBubbleSize val="0"/>
            </c:dLbl>
            <c:dLbl>
              <c:idx val="1"/>
              <c:layout>
                <c:manualLayout>
                  <c:x val="-9.387068820700617E-3"/>
                  <c:y val="-4.2901920469189565E-2"/>
                </c:manualLayout>
              </c:layout>
              <c:dLblPos val="r"/>
              <c:showLegendKey val="0"/>
              <c:showVal val="1"/>
              <c:showCatName val="0"/>
              <c:showSerName val="0"/>
              <c:showPercent val="0"/>
              <c:showBubbleSize val="0"/>
            </c:dLbl>
            <c:dLbl>
              <c:idx val="2"/>
              <c:layout>
                <c:manualLayout>
                  <c:x val="-3.3388049072441958E-2"/>
                  <c:y val="8.9827327262151771E-2"/>
                </c:manualLayout>
              </c:layout>
              <c:dLblPos val="r"/>
              <c:showLegendKey val="0"/>
              <c:showVal val="1"/>
              <c:showCatName val="0"/>
              <c:showSerName val="0"/>
              <c:showPercent val="0"/>
              <c:showBubbleSize val="0"/>
            </c:dLbl>
            <c:dLbl>
              <c:idx val="3"/>
              <c:layout>
                <c:manualLayout>
                  <c:x val="-5.46875E-2"/>
                  <c:y val="7.2186836518046707E-2"/>
                </c:manualLayout>
              </c:layout>
              <c:dLblPos val="r"/>
              <c:showLegendKey val="0"/>
              <c:showVal val="1"/>
              <c:showCatName val="0"/>
              <c:showSerName val="0"/>
              <c:showPercent val="0"/>
              <c:showBubbleSize val="0"/>
            </c:dLbl>
            <c:dLbl>
              <c:idx val="4"/>
              <c:layout>
                <c:manualLayout>
                  <c:x val="-3.125E-2"/>
                  <c:y val="4.2462845010615709E-2"/>
                </c:manualLayout>
              </c:layout>
              <c:dLblPos val="r"/>
              <c:showLegendKey val="0"/>
              <c:showVal val="1"/>
              <c:showCatName val="0"/>
              <c:showSerName val="0"/>
              <c:showPercent val="0"/>
              <c:showBubbleSize val="0"/>
            </c:dLbl>
            <c:txPr>
              <a:bodyPr/>
              <a:lstStyle/>
              <a:p>
                <a:pPr>
                  <a:defRPr sz="1200">
                    <a:latin typeface="+mn-lt"/>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Лист2!$B$26:$F$26</c:f>
              <c:strCache>
                <c:ptCount val="5"/>
                <c:pt idx="0">
                  <c:v>Исходно</c:v>
                </c:pt>
                <c:pt idx="1">
                  <c:v>12 месяцев</c:v>
                </c:pt>
                <c:pt idx="2">
                  <c:v>24 месяца</c:v>
                </c:pt>
                <c:pt idx="3">
                  <c:v>36 месяцев</c:v>
                </c:pt>
                <c:pt idx="4">
                  <c:v>48 месяцев</c:v>
                </c:pt>
              </c:strCache>
            </c:strRef>
          </c:cat>
          <c:val>
            <c:numRef>
              <c:f>Лист2!$B$28:$F$28</c:f>
              <c:numCache>
                <c:formatCode>General</c:formatCode>
                <c:ptCount val="5"/>
                <c:pt idx="0">
                  <c:v>-1.78</c:v>
                </c:pt>
                <c:pt idx="1">
                  <c:v>-1.88</c:v>
                </c:pt>
                <c:pt idx="2">
                  <c:v>-2.11</c:v>
                </c:pt>
                <c:pt idx="3">
                  <c:v>-2.17</c:v>
                </c:pt>
                <c:pt idx="4">
                  <c:v>-2.2799999999999998</c:v>
                </c:pt>
              </c:numCache>
            </c:numRef>
          </c:val>
          <c:smooth val="0"/>
        </c:ser>
        <c:dLbls>
          <c:showLegendKey val="0"/>
          <c:showVal val="0"/>
          <c:showCatName val="0"/>
          <c:showSerName val="0"/>
          <c:showPercent val="0"/>
          <c:showBubbleSize val="0"/>
        </c:dLbls>
        <c:marker val="1"/>
        <c:smooth val="0"/>
        <c:axId val="169819520"/>
        <c:axId val="172168320"/>
      </c:lineChart>
      <c:catAx>
        <c:axId val="169819520"/>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72168320"/>
        <c:crosses val="autoZero"/>
        <c:auto val="1"/>
        <c:lblAlgn val="ctr"/>
        <c:lblOffset val="100"/>
        <c:noMultiLvlLbl val="0"/>
      </c:catAx>
      <c:valAx>
        <c:axId val="172168320"/>
        <c:scaling>
          <c:orientation val="minMax"/>
          <c:max val="-1.2"/>
        </c:scaling>
        <c:delete val="0"/>
        <c:axPos val="l"/>
        <c:majorGridlines/>
        <c:title>
          <c:tx>
            <c:rich>
              <a:bodyPr/>
              <a:lstStyle/>
              <a:p>
                <a:pPr>
                  <a:defRPr sz="11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Среднее значение Т-критерия, SD</a:t>
                </a:r>
              </a:p>
            </c:rich>
          </c:tx>
          <c:layout>
            <c:manualLayout>
              <c:xMode val="edge"/>
              <c:yMode val="edge"/>
              <c:x val="7.5610368289107293E-3"/>
              <c:y val="0.146941141256486"/>
            </c:manualLayout>
          </c:layout>
          <c:overlay val="0"/>
        </c:title>
        <c:numFmt formatCode="General" sourceLinked="1"/>
        <c:majorTickMark val="out"/>
        <c:minorTickMark val="none"/>
        <c:tickLblPos val="nextTo"/>
        <c:txPr>
          <a:bodyPr/>
          <a:lstStyle/>
          <a:p>
            <a:pPr>
              <a:defRPr sz="1100"/>
            </a:pPr>
            <a:endParaRPr lang="ru-RU"/>
          </a:p>
        </c:txPr>
        <c:crossAx val="169819520"/>
        <c:crosses val="autoZero"/>
        <c:crossBetween val="between"/>
      </c:valAx>
    </c:plotArea>
    <c:legend>
      <c:legendPos val="r"/>
      <c:layout>
        <c:manualLayout>
          <c:xMode val="edge"/>
          <c:yMode val="edge"/>
          <c:x val="0.81652326373360151"/>
          <c:y val="0.41868344242071914"/>
          <c:w val="0.18133520593902719"/>
          <c:h val="0.28128943761421443"/>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80925939729588"/>
          <c:y val="4.1124760176752984E-2"/>
          <c:w val="0.73445208249090177"/>
          <c:h val="0.81857954841737501"/>
        </c:manualLayout>
      </c:layout>
      <c:lineChart>
        <c:grouping val="standard"/>
        <c:varyColors val="0"/>
        <c:ser>
          <c:idx val="0"/>
          <c:order val="0"/>
          <c:tx>
            <c:strRef>
              <c:f>Лист2!$A$2</c:f>
              <c:strCache>
                <c:ptCount val="1"/>
                <c:pt idx="0">
                  <c:v>Группа 1</c:v>
                </c:pt>
              </c:strCache>
            </c:strRef>
          </c:tx>
          <c:marker>
            <c:symbol val="circle"/>
            <c:size val="5"/>
          </c:marker>
          <c:dLbls>
            <c:dLbl>
              <c:idx val="0"/>
              <c:layout>
                <c:manualLayout>
                  <c:x val="-4.6875E-2"/>
                  <c:y val="5.7874244979470593E-2"/>
                </c:manualLayout>
              </c:layout>
              <c:tx>
                <c:rich>
                  <a:bodyPr/>
                  <a:lstStyle/>
                  <a:p>
                    <a:r>
                      <a:rPr lang="en-US"/>
                      <a:t>0,956</a:t>
                    </a:r>
                    <a:r>
                      <a:rPr lang="ru-RU"/>
                      <a:t>0</a:t>
                    </a:r>
                    <a:endParaRPr lang="en-US"/>
                  </a:p>
                </c:rich>
              </c:tx>
              <c:dLblPos val="r"/>
              <c:showLegendKey val="0"/>
              <c:showVal val="0"/>
              <c:showCatName val="0"/>
              <c:showSerName val="0"/>
              <c:showPercent val="0"/>
              <c:showBubbleSize val="0"/>
            </c:dLbl>
            <c:dLbl>
              <c:idx val="1"/>
              <c:layout>
                <c:manualLayout>
                  <c:x val="-4.9479271821791508E-2"/>
                  <c:y val="6.5672420086562031E-2"/>
                </c:manualLayout>
              </c:layout>
              <c:dLblPos val="r"/>
              <c:showLegendKey val="0"/>
              <c:showVal val="1"/>
              <c:showCatName val="0"/>
              <c:showSerName val="0"/>
              <c:showPercent val="0"/>
              <c:showBubbleSize val="0"/>
            </c:dLbl>
            <c:dLbl>
              <c:idx val="2"/>
              <c:layout>
                <c:manualLayout>
                  <c:x val="-4.3002052628036878E-2"/>
                  <c:y val="9.2162486311727507E-2"/>
                </c:manualLayout>
              </c:layout>
              <c:dLblPos val="r"/>
              <c:showLegendKey val="0"/>
              <c:showVal val="1"/>
              <c:showCatName val="0"/>
              <c:showSerName val="0"/>
              <c:showPercent val="0"/>
              <c:showBubbleSize val="0"/>
            </c:dLbl>
            <c:dLbl>
              <c:idx val="3"/>
              <c:layout>
                <c:manualLayout>
                  <c:x val="-4.8010296789824346E-2"/>
                  <c:y val="7.0197980219359996E-2"/>
                </c:manualLayout>
              </c:layout>
              <c:dLblPos val="r"/>
              <c:showLegendKey val="0"/>
              <c:showVal val="1"/>
              <c:showCatName val="0"/>
              <c:showSerName val="0"/>
              <c:showPercent val="0"/>
              <c:showBubbleSize val="0"/>
            </c:dLbl>
            <c:dLbl>
              <c:idx val="4"/>
              <c:layout>
                <c:manualLayout>
                  <c:x val="-2.948499226058281E-2"/>
                  <c:y val="5.2562270775755676E-2"/>
                </c:manualLayout>
              </c:layout>
              <c:dLblPos val="r"/>
              <c:showLegendKey val="0"/>
              <c:showVal val="1"/>
              <c:showCatName val="0"/>
              <c:showSerName val="0"/>
              <c:showPercent val="0"/>
              <c:showBubbleSize val="0"/>
            </c:dLbl>
            <c:txPr>
              <a:bodyPr/>
              <a:lstStyle/>
              <a:p>
                <a:pPr>
                  <a:defRPr sz="1201">
                    <a:latin typeface="+mn-lt"/>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Лист2!$B$1:$F$1</c:f>
              <c:strCache>
                <c:ptCount val="5"/>
                <c:pt idx="0">
                  <c:v>Исходно</c:v>
                </c:pt>
                <c:pt idx="1">
                  <c:v>12 месяцев</c:v>
                </c:pt>
                <c:pt idx="2">
                  <c:v>24 месяца</c:v>
                </c:pt>
                <c:pt idx="3">
                  <c:v>36 месяцев</c:v>
                </c:pt>
                <c:pt idx="4">
                  <c:v>48 месяцев</c:v>
                </c:pt>
              </c:strCache>
            </c:strRef>
          </c:cat>
          <c:val>
            <c:numRef>
              <c:f>Лист2!$B$2:$F$2</c:f>
              <c:numCache>
                <c:formatCode>General</c:formatCode>
                <c:ptCount val="5"/>
                <c:pt idx="0">
                  <c:v>0.95599999999999996</c:v>
                </c:pt>
                <c:pt idx="1">
                  <c:v>0.95209999999999995</c:v>
                </c:pt>
                <c:pt idx="2">
                  <c:v>0.9304</c:v>
                </c:pt>
                <c:pt idx="3">
                  <c:v>0.95369999999999999</c:v>
                </c:pt>
                <c:pt idx="4">
                  <c:v>0.94489999999999996</c:v>
                </c:pt>
              </c:numCache>
            </c:numRef>
          </c:val>
          <c:smooth val="0"/>
        </c:ser>
        <c:ser>
          <c:idx val="1"/>
          <c:order val="1"/>
          <c:tx>
            <c:strRef>
              <c:f>Лист2!$A$3</c:f>
              <c:strCache>
                <c:ptCount val="1"/>
                <c:pt idx="0">
                  <c:v>Группа 2</c:v>
                </c:pt>
              </c:strCache>
            </c:strRef>
          </c:tx>
          <c:spPr>
            <a:ln>
              <a:prstDash val="dash"/>
            </a:ln>
          </c:spPr>
          <c:marker>
            <c:symbol val="square"/>
            <c:size val="5"/>
          </c:marker>
          <c:dLbls>
            <c:dLbl>
              <c:idx val="0"/>
              <c:layout>
                <c:manualLayout>
                  <c:x val="-2.6041666666666668E-2"/>
                  <c:y val="-5.3422379981049775E-2"/>
                </c:manualLayout>
              </c:layout>
              <c:dLblPos val="r"/>
              <c:showLegendKey val="0"/>
              <c:showVal val="1"/>
              <c:showCatName val="0"/>
              <c:showSerName val="0"/>
              <c:showPercent val="0"/>
              <c:showBubbleSize val="0"/>
            </c:dLbl>
            <c:dLbl>
              <c:idx val="1"/>
              <c:layout>
                <c:manualLayout>
                  <c:x val="-4.126606770307558E-2"/>
                  <c:y val="-4.7838208965601148E-2"/>
                </c:manualLayout>
              </c:layout>
              <c:dLblPos val="r"/>
              <c:showLegendKey val="0"/>
              <c:showVal val="1"/>
              <c:showCatName val="0"/>
              <c:showSerName val="0"/>
              <c:showPercent val="0"/>
              <c:showBubbleSize val="0"/>
            </c:dLbl>
            <c:dLbl>
              <c:idx val="2"/>
              <c:layout>
                <c:manualLayout>
                  <c:x val="-4.6207180833165086E-2"/>
                  <c:y val="-6.5598720689715104E-2"/>
                </c:manualLayout>
              </c:layout>
              <c:dLblPos val="r"/>
              <c:showLegendKey val="0"/>
              <c:showVal val="1"/>
              <c:showCatName val="0"/>
              <c:showSerName val="0"/>
              <c:showPercent val="0"/>
              <c:showBubbleSize val="0"/>
            </c:dLbl>
            <c:dLbl>
              <c:idx val="3"/>
              <c:layout>
                <c:manualLayout>
                  <c:x val="-4.2467864593848846E-2"/>
                  <c:y val="-6.1220559350610985E-2"/>
                </c:manualLayout>
              </c:layout>
              <c:dLblPos val="r"/>
              <c:showLegendKey val="0"/>
              <c:showVal val="1"/>
              <c:showCatName val="0"/>
              <c:showSerName val="0"/>
              <c:showPercent val="0"/>
              <c:showBubbleSize val="0"/>
            </c:dLbl>
            <c:dLbl>
              <c:idx val="4"/>
              <c:layout>
                <c:manualLayout>
                  <c:x val="-1.0416666666666761E-2"/>
                  <c:y val="6.2326109977891404E-2"/>
                </c:manualLayout>
              </c:layout>
              <c:dLblPos val="r"/>
              <c:showLegendKey val="0"/>
              <c:showVal val="1"/>
              <c:showCatName val="0"/>
              <c:showSerName val="0"/>
              <c:showPercent val="0"/>
              <c:showBubbleSize val="0"/>
            </c:dLbl>
            <c:txPr>
              <a:bodyPr/>
              <a:lstStyle/>
              <a:p>
                <a:pPr>
                  <a:defRPr sz="1201">
                    <a:latin typeface="+mn-lt"/>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Лист2!$B$1:$F$1</c:f>
              <c:strCache>
                <c:ptCount val="5"/>
                <c:pt idx="0">
                  <c:v>Исходно</c:v>
                </c:pt>
                <c:pt idx="1">
                  <c:v>12 месяцев</c:v>
                </c:pt>
                <c:pt idx="2">
                  <c:v>24 месяца</c:v>
                </c:pt>
                <c:pt idx="3">
                  <c:v>36 месяцев</c:v>
                </c:pt>
                <c:pt idx="4">
                  <c:v>48 месяцев</c:v>
                </c:pt>
              </c:strCache>
            </c:strRef>
          </c:cat>
          <c:val>
            <c:numRef>
              <c:f>Лист2!$B$3:$F$3</c:f>
              <c:numCache>
                <c:formatCode>General</c:formatCode>
                <c:ptCount val="5"/>
                <c:pt idx="0">
                  <c:v>0.98480000000000001</c:v>
                </c:pt>
                <c:pt idx="1">
                  <c:v>0.98670000000000002</c:v>
                </c:pt>
                <c:pt idx="2">
                  <c:v>0.96919999999999995</c:v>
                </c:pt>
                <c:pt idx="3">
                  <c:v>0.97760000000000002</c:v>
                </c:pt>
                <c:pt idx="4">
                  <c:v>0.89659999999999995</c:v>
                </c:pt>
              </c:numCache>
            </c:numRef>
          </c:val>
          <c:smooth val="0"/>
        </c:ser>
        <c:dLbls>
          <c:showLegendKey val="0"/>
          <c:showVal val="0"/>
          <c:showCatName val="0"/>
          <c:showSerName val="0"/>
          <c:showPercent val="0"/>
          <c:showBubbleSize val="0"/>
        </c:dLbls>
        <c:marker val="1"/>
        <c:smooth val="0"/>
        <c:axId val="138783360"/>
        <c:axId val="140755328"/>
      </c:lineChart>
      <c:catAx>
        <c:axId val="138783360"/>
        <c:scaling>
          <c:orientation val="minMax"/>
        </c:scaling>
        <c:delete val="0"/>
        <c:axPos val="b"/>
        <c:numFmt formatCode="General" sourceLinked="1"/>
        <c:majorTickMark val="out"/>
        <c:minorTickMark val="none"/>
        <c:tickLblPos val="nextTo"/>
        <c:txPr>
          <a:bodyPr/>
          <a:lstStyle/>
          <a:p>
            <a:pPr>
              <a:defRPr sz="1100">
                <a:latin typeface="+mn-lt"/>
                <a:cs typeface="Times New Roman" panose="02020603050405020304" pitchFamily="18" charset="0"/>
              </a:defRPr>
            </a:pPr>
            <a:endParaRPr lang="ru-RU"/>
          </a:p>
        </c:txPr>
        <c:crossAx val="140755328"/>
        <c:crosses val="autoZero"/>
        <c:auto val="1"/>
        <c:lblAlgn val="ctr"/>
        <c:lblOffset val="100"/>
        <c:noMultiLvlLbl val="0"/>
      </c:catAx>
      <c:valAx>
        <c:axId val="140755328"/>
        <c:scaling>
          <c:orientation val="minMax"/>
          <c:min val="0.88000000000000012"/>
        </c:scaling>
        <c:delete val="0"/>
        <c:axPos val="l"/>
        <c:majorGridlines/>
        <c:title>
          <c:tx>
            <c:rich>
              <a:bodyPr/>
              <a:lstStyle/>
              <a:p>
                <a:pPr>
                  <a:defRPr sz="1101" b="0" i="0" u="none" strike="noStrike" baseline="0">
                    <a:solidFill>
                      <a:srgbClr val="000000"/>
                    </a:solidFill>
                    <a:latin typeface="Calibri"/>
                    <a:ea typeface="Calibri"/>
                    <a:cs typeface="Calibri"/>
                  </a:defRPr>
                </a:pPr>
                <a:r>
                  <a:rPr lang="ru-RU" sz="1101" b="0" i="0" u="none" strike="noStrike" baseline="0">
                    <a:solidFill>
                      <a:srgbClr val="000000"/>
                    </a:solidFill>
                    <a:latin typeface="Times New Roman"/>
                    <a:cs typeface="Times New Roman"/>
                  </a:rPr>
                  <a:t>Среднее значение МПК, г/см</a:t>
                </a:r>
                <a:r>
                  <a:rPr lang="ru-RU" sz="1101" b="0" i="0" u="none" strike="noStrike" baseline="30000">
                    <a:solidFill>
                      <a:srgbClr val="000000"/>
                    </a:solidFill>
                    <a:latin typeface="Times New Roman"/>
                    <a:cs typeface="Times New Roman"/>
                  </a:rPr>
                  <a:t>2</a:t>
                </a:r>
              </a:p>
            </c:rich>
          </c:tx>
          <c:layout>
            <c:manualLayout>
              <c:xMode val="edge"/>
              <c:yMode val="edge"/>
              <c:x val="1.1594210332828918E-2"/>
              <c:y val="0.20337863588969188"/>
            </c:manualLayout>
          </c:layout>
          <c:overlay val="0"/>
        </c:title>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8783360"/>
        <c:crosses val="autoZero"/>
        <c:crossBetween val="between"/>
        <c:majorUnit val="4.0000000000000008E-2"/>
      </c:valAx>
    </c:plotArea>
    <c:legend>
      <c:legendPos val="r"/>
      <c:layout>
        <c:manualLayout>
          <c:xMode val="edge"/>
          <c:yMode val="edge"/>
          <c:x val="0.82898633357267182"/>
          <c:y val="0.30478325808050216"/>
          <c:w val="0.17101370599752938"/>
          <c:h val="0.29071449753949086"/>
        </c:manualLayout>
      </c:layout>
      <c:overlay val="0"/>
      <c:txPr>
        <a:bodyPr/>
        <a:lstStyle/>
        <a:p>
          <a:pPr>
            <a:defRPr sz="120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842770204623968E-2"/>
          <c:y val="5.4415184856859783E-2"/>
          <c:w val="0.74010842854202052"/>
          <c:h val="0.89116963028628049"/>
        </c:manualLayout>
      </c:layout>
      <c:lineChart>
        <c:grouping val="standard"/>
        <c:varyColors val="0"/>
        <c:ser>
          <c:idx val="0"/>
          <c:order val="0"/>
          <c:tx>
            <c:strRef>
              <c:f>Лист2!$A$27</c:f>
              <c:strCache>
                <c:ptCount val="1"/>
                <c:pt idx="0">
                  <c:v>Группа 1</c:v>
                </c:pt>
              </c:strCache>
            </c:strRef>
          </c:tx>
          <c:marker>
            <c:symbol val="circle"/>
            <c:size val="5"/>
          </c:marker>
          <c:dLbls>
            <c:dLbl>
              <c:idx val="0"/>
              <c:layout>
                <c:manualLayout>
                  <c:x val="-2.7777777777777776E-2"/>
                  <c:y val="7.9470198675496692E-2"/>
                </c:manualLayout>
              </c:layout>
              <c:dLblPos val="r"/>
              <c:showLegendKey val="0"/>
              <c:showVal val="1"/>
              <c:showCatName val="0"/>
              <c:showSerName val="0"/>
              <c:showPercent val="0"/>
              <c:showBubbleSize val="0"/>
            </c:dLbl>
            <c:dLbl>
              <c:idx val="1"/>
              <c:layout>
                <c:manualLayout>
                  <c:x val="-3.6458375395383269E-2"/>
                  <c:y val="8.2507170047452671E-2"/>
                </c:manualLayout>
              </c:layout>
              <c:dLblPos val="r"/>
              <c:showLegendKey val="0"/>
              <c:showVal val="1"/>
              <c:showCatName val="0"/>
              <c:showSerName val="0"/>
              <c:showPercent val="0"/>
              <c:showBubbleSize val="0"/>
            </c:dLbl>
            <c:dLbl>
              <c:idx val="2"/>
              <c:layout>
                <c:manualLayout>
                  <c:x val="-3.5389999327007204E-2"/>
                  <c:y val="6.8755627400879524E-2"/>
                </c:manualLayout>
              </c:layout>
              <c:dLblPos val="r"/>
              <c:showLegendKey val="0"/>
              <c:showVal val="1"/>
              <c:showCatName val="0"/>
              <c:showSerName val="0"/>
              <c:showPercent val="0"/>
              <c:showBubbleSize val="0"/>
            </c:dLbl>
            <c:dLbl>
              <c:idx val="3"/>
              <c:layout>
                <c:manualLayout>
                  <c:x val="-4.5940170940170943E-2"/>
                  <c:y val="8.6078809685213267E-2"/>
                </c:manualLayout>
              </c:layout>
              <c:dLblPos val="r"/>
              <c:showLegendKey val="0"/>
              <c:showVal val="1"/>
              <c:showCatName val="0"/>
              <c:showSerName val="0"/>
              <c:showPercent val="0"/>
              <c:showBubbleSize val="0"/>
            </c:dLbl>
            <c:dLbl>
              <c:idx val="4"/>
              <c:layout>
                <c:manualLayout>
                  <c:x val="-4.620718083316501E-2"/>
                  <c:y val="6.4172359249795766E-2"/>
                </c:manualLayout>
              </c:layout>
              <c:dLblPos val="r"/>
              <c:showLegendKey val="0"/>
              <c:showVal val="1"/>
              <c:showCatName val="0"/>
              <c:showSerName val="0"/>
              <c:showPercent val="0"/>
              <c:showBubbleSize val="0"/>
            </c:dLbl>
            <c:txPr>
              <a:bodyPr/>
              <a:lstStyle/>
              <a:p>
                <a:pPr>
                  <a:defRPr sz="1200">
                    <a:latin typeface="+mn-lt"/>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Лист2!$B$26:$F$26</c:f>
              <c:strCache>
                <c:ptCount val="5"/>
                <c:pt idx="0">
                  <c:v>Исходно</c:v>
                </c:pt>
                <c:pt idx="1">
                  <c:v>12 месяцев</c:v>
                </c:pt>
                <c:pt idx="2">
                  <c:v>24 месяца</c:v>
                </c:pt>
                <c:pt idx="3">
                  <c:v>36 месяцев</c:v>
                </c:pt>
                <c:pt idx="4">
                  <c:v>48 месяцев</c:v>
                </c:pt>
              </c:strCache>
            </c:strRef>
          </c:cat>
          <c:val>
            <c:numRef>
              <c:f>Лист2!$B$27:$F$27</c:f>
              <c:numCache>
                <c:formatCode>General</c:formatCode>
                <c:ptCount val="5"/>
                <c:pt idx="0">
                  <c:v>-0.84</c:v>
                </c:pt>
                <c:pt idx="1">
                  <c:v>-0.82</c:v>
                </c:pt>
                <c:pt idx="2">
                  <c:v>-0.95</c:v>
                </c:pt>
                <c:pt idx="3">
                  <c:v>-0.81</c:v>
                </c:pt>
                <c:pt idx="4">
                  <c:v>-0.98</c:v>
                </c:pt>
              </c:numCache>
            </c:numRef>
          </c:val>
          <c:smooth val="0"/>
        </c:ser>
        <c:ser>
          <c:idx val="1"/>
          <c:order val="1"/>
          <c:tx>
            <c:strRef>
              <c:f>Лист2!$A$28</c:f>
              <c:strCache>
                <c:ptCount val="1"/>
                <c:pt idx="0">
                  <c:v>Группа 2</c:v>
                </c:pt>
              </c:strCache>
            </c:strRef>
          </c:tx>
          <c:spPr>
            <a:ln>
              <a:prstDash val="dash"/>
            </a:ln>
          </c:spPr>
          <c:marker>
            <c:symbol val="square"/>
            <c:size val="5"/>
          </c:marker>
          <c:dLbls>
            <c:dLbl>
              <c:idx val="0"/>
              <c:layout>
                <c:manualLayout>
                  <c:x val="-3.7459956928460866E-2"/>
                  <c:y val="-6.4200517981609875E-2"/>
                </c:manualLayout>
              </c:layout>
              <c:dLblPos val="r"/>
              <c:showLegendKey val="0"/>
              <c:showVal val="1"/>
              <c:showCatName val="0"/>
              <c:showSerName val="0"/>
              <c:showPercent val="0"/>
              <c:showBubbleSize val="0"/>
            </c:dLbl>
            <c:dLbl>
              <c:idx val="1"/>
              <c:layout>
                <c:manualLayout>
                  <c:x val="-4.1474530244335235E-2"/>
                  <c:y val="-7.3839342298309699E-2"/>
                </c:manualLayout>
              </c:layout>
              <c:dLblPos val="r"/>
              <c:showLegendKey val="0"/>
              <c:showVal val="1"/>
              <c:showCatName val="0"/>
              <c:showSerName val="0"/>
              <c:showPercent val="0"/>
              <c:showBubbleSize val="0"/>
            </c:dLbl>
            <c:dLbl>
              <c:idx val="2"/>
              <c:layout>
                <c:manualLayout>
                  <c:x val="-3.9796924422908678E-2"/>
                  <c:y val="-6.0263857746258538E-2"/>
                </c:manualLayout>
              </c:layout>
              <c:dLblPos val="r"/>
              <c:showLegendKey val="0"/>
              <c:showVal val="1"/>
              <c:showCatName val="0"/>
              <c:showSerName val="0"/>
              <c:showPercent val="0"/>
              <c:showBubbleSize val="0"/>
            </c:dLbl>
            <c:dLbl>
              <c:idx val="3"/>
              <c:layout>
                <c:manualLayout>
                  <c:x val="-1.1952856854431657E-2"/>
                  <c:y val="-4.7018476995011348E-2"/>
                </c:manualLayout>
              </c:layout>
              <c:dLblPos val="r"/>
              <c:showLegendKey val="0"/>
              <c:showVal val="1"/>
              <c:showCatName val="0"/>
              <c:showSerName val="0"/>
              <c:showPercent val="0"/>
              <c:showBubbleSize val="0"/>
            </c:dLbl>
            <c:dLbl>
              <c:idx val="4"/>
              <c:layout>
                <c:manualLayout>
                  <c:x val="-1.629265091863517E-2"/>
                  <c:y val="-6.3497592602249228E-2"/>
                </c:manualLayout>
              </c:layout>
              <c:tx>
                <c:rich>
                  <a:bodyPr/>
                  <a:lstStyle/>
                  <a:p>
                    <a:r>
                      <a:rPr lang="en-US"/>
                      <a:t>-1</a:t>
                    </a:r>
                    <a:r>
                      <a:rPr lang="ru-RU"/>
                      <a:t>,01</a:t>
                    </a:r>
                    <a:endParaRPr lang="en-US"/>
                  </a:p>
                </c:rich>
              </c:tx>
              <c:dLblPos val="r"/>
              <c:showLegendKey val="0"/>
              <c:showVal val="0"/>
              <c:showCatName val="0"/>
              <c:showSerName val="0"/>
              <c:showPercent val="0"/>
              <c:showBubbleSize val="0"/>
            </c:dLbl>
            <c:txPr>
              <a:bodyPr/>
              <a:lstStyle/>
              <a:p>
                <a:pPr>
                  <a:defRPr sz="1200">
                    <a:latin typeface="+mn-lt"/>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Лист2!$B$26:$F$26</c:f>
              <c:strCache>
                <c:ptCount val="5"/>
                <c:pt idx="0">
                  <c:v>Исходно</c:v>
                </c:pt>
                <c:pt idx="1">
                  <c:v>12 месяцев</c:v>
                </c:pt>
                <c:pt idx="2">
                  <c:v>24 месяца</c:v>
                </c:pt>
                <c:pt idx="3">
                  <c:v>36 месяцев</c:v>
                </c:pt>
                <c:pt idx="4">
                  <c:v>48 месяцев</c:v>
                </c:pt>
              </c:strCache>
            </c:strRef>
          </c:cat>
          <c:val>
            <c:numRef>
              <c:f>Лист2!$B$28:$F$28</c:f>
              <c:numCache>
                <c:formatCode>General</c:formatCode>
                <c:ptCount val="5"/>
                <c:pt idx="0">
                  <c:v>-0.45</c:v>
                </c:pt>
                <c:pt idx="1">
                  <c:v>-0.38</c:v>
                </c:pt>
                <c:pt idx="2">
                  <c:v>-0.51</c:v>
                </c:pt>
                <c:pt idx="3">
                  <c:v>-0.49</c:v>
                </c:pt>
                <c:pt idx="4">
                  <c:v>-1</c:v>
                </c:pt>
              </c:numCache>
            </c:numRef>
          </c:val>
          <c:smooth val="0"/>
        </c:ser>
        <c:dLbls>
          <c:showLegendKey val="0"/>
          <c:showVal val="0"/>
          <c:showCatName val="0"/>
          <c:showSerName val="0"/>
          <c:showPercent val="0"/>
          <c:showBubbleSize val="0"/>
        </c:dLbls>
        <c:marker val="1"/>
        <c:smooth val="0"/>
        <c:axId val="173206528"/>
        <c:axId val="173323008"/>
      </c:lineChart>
      <c:catAx>
        <c:axId val="173206528"/>
        <c:scaling>
          <c:orientation val="minMax"/>
        </c:scaling>
        <c:delete val="0"/>
        <c:axPos val="b"/>
        <c:numFmt formatCode="General" sourceLinked="1"/>
        <c:majorTickMark val="out"/>
        <c:minorTickMark val="none"/>
        <c:tickLblPos val="nextTo"/>
        <c:txPr>
          <a:bodyPr/>
          <a:lstStyle/>
          <a:p>
            <a:pPr>
              <a:defRPr sz="1100">
                <a:latin typeface="+mn-lt"/>
                <a:cs typeface="Times New Roman" panose="02020603050405020304" pitchFamily="18" charset="0"/>
              </a:defRPr>
            </a:pPr>
            <a:endParaRPr lang="ru-RU"/>
          </a:p>
        </c:txPr>
        <c:crossAx val="173323008"/>
        <c:crosses val="autoZero"/>
        <c:auto val="1"/>
        <c:lblAlgn val="ctr"/>
        <c:lblOffset val="100"/>
        <c:noMultiLvlLbl val="0"/>
      </c:catAx>
      <c:valAx>
        <c:axId val="173323008"/>
        <c:scaling>
          <c:orientation val="minMax"/>
        </c:scaling>
        <c:delete val="0"/>
        <c:axPos val="l"/>
        <c:majorGridlines/>
        <c:title>
          <c:tx>
            <c:rich>
              <a:bodyPr/>
              <a:lstStyle/>
              <a:p>
                <a:pPr>
                  <a:defRPr sz="11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Среднее значение Т-критерия, SD</a:t>
                </a:r>
              </a:p>
            </c:rich>
          </c:tx>
          <c:layout>
            <c:manualLayout>
              <c:xMode val="edge"/>
              <c:yMode val="edge"/>
              <c:x val="3.2937257422685222E-3"/>
              <c:y val="0.15133577979746601"/>
            </c:manualLayout>
          </c:layout>
          <c:overlay val="0"/>
        </c:title>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73206528"/>
        <c:crosses val="autoZero"/>
        <c:crossBetween val="between"/>
      </c:valAx>
    </c:plotArea>
    <c:legend>
      <c:legendPos val="r"/>
      <c:layout>
        <c:manualLayout>
          <c:xMode val="edge"/>
          <c:yMode val="edge"/>
          <c:x val="0.82611765749485988"/>
          <c:y val="0.40988793671720503"/>
          <c:w val="0.171748686961819"/>
          <c:h val="0.21537111454612334"/>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6436938388178454E-2"/>
          <c:y val="4.4057617797775277E-2"/>
          <c:w val="0.94356300324350939"/>
          <c:h val="0.67254280714910641"/>
        </c:manualLayout>
      </c:layout>
      <c:bar3DChart>
        <c:barDir val="col"/>
        <c:grouping val="clustered"/>
        <c:varyColors val="0"/>
        <c:ser>
          <c:idx val="0"/>
          <c:order val="0"/>
          <c:tx>
            <c:strRef>
              <c:f>Лист1!$B$1</c:f>
              <c:strCache>
                <c:ptCount val="1"/>
                <c:pt idx="0">
                  <c:v>Хороший эффект</c:v>
                </c:pt>
              </c:strCache>
            </c:strRef>
          </c:tx>
          <c:spPr>
            <a:pattFill prst="pct10">
              <a:fgClr>
                <a:srgbClr val="C0504D">
                  <a:lumMod val="50000"/>
                </a:srgbClr>
              </a:fgClr>
              <a:bgClr>
                <a:sysClr val="window" lastClr="FFFFFF"/>
              </a:bgClr>
            </a:pattFill>
            <a:ln w="3175">
              <a:solidFill>
                <a:srgbClr val="C0504D">
                  <a:lumMod val="50000"/>
                </a:srgbClr>
              </a:solidFill>
            </a:ln>
          </c:spPr>
          <c:invertIfNegative val="0"/>
          <c:dLbls>
            <c:dLbl>
              <c:idx val="0"/>
              <c:layout>
                <c:manualLayout>
                  <c:x val="2.1244186703949378E-3"/>
                  <c:y val="0.25793650793650796"/>
                </c:manualLayout>
              </c:layout>
              <c:tx>
                <c:rich>
                  <a:bodyPr/>
                  <a:lstStyle/>
                  <a:p>
                    <a:r>
                      <a:rPr lang="ru-RU"/>
                      <a:t>34,3</a:t>
                    </a:r>
                    <a:endParaRPr lang="en-US"/>
                  </a:p>
                </c:rich>
              </c:tx>
              <c:showLegendKey val="0"/>
              <c:showVal val="0"/>
              <c:showCatName val="0"/>
              <c:showSerName val="0"/>
              <c:showPercent val="0"/>
              <c:showBubbleSize val="0"/>
            </c:dLbl>
            <c:dLbl>
              <c:idx val="1"/>
              <c:layout>
                <c:manualLayout>
                  <c:x val="-6.3732560111848134E-3"/>
                  <c:y val="0.18253968253968253"/>
                </c:manualLayout>
              </c:layout>
              <c:showLegendKey val="0"/>
              <c:showVal val="1"/>
              <c:showCatName val="0"/>
              <c:showSerName val="0"/>
              <c:showPercent val="0"/>
              <c:showBubbleSize val="0"/>
            </c:dLbl>
            <c:dLbl>
              <c:idx val="2"/>
              <c:layout>
                <c:manualLayout>
                  <c:x val="-4.2488373407898756E-3"/>
                  <c:y val="0.15476190476190477"/>
                </c:manualLayout>
              </c:layout>
              <c:tx>
                <c:rich>
                  <a:bodyPr/>
                  <a:lstStyle/>
                  <a:p>
                    <a:r>
                      <a:rPr lang="ru-RU"/>
                      <a:t>28,6</a:t>
                    </a:r>
                    <a:endParaRPr lang="en-US"/>
                  </a:p>
                </c:rich>
              </c:tx>
              <c:showLegendKey val="0"/>
              <c:showVal val="0"/>
              <c:showCatName val="0"/>
              <c:showSerName val="0"/>
              <c:showPercent val="0"/>
              <c:showBubbleSize val="0"/>
            </c:dLbl>
            <c:dLbl>
              <c:idx val="3"/>
              <c:layout>
                <c:manualLayout>
                  <c:x val="0"/>
                  <c:y val="0.15476190476190477"/>
                </c:manualLayout>
              </c:layout>
              <c:showLegendKey val="0"/>
              <c:showVal val="1"/>
              <c:showCatName val="0"/>
              <c:showSerName val="0"/>
              <c:showPercent val="0"/>
              <c:showBubbleSize val="0"/>
            </c:dLbl>
            <c:spPr>
              <a:solidFill>
                <a:sysClr val="window" lastClr="FFFFFF"/>
              </a:solidFill>
            </c:spPr>
            <c:txPr>
              <a:bodyPr/>
              <a:lstStyle/>
              <a:p>
                <a:pPr>
                  <a:defRPr sz="1199" b="1"/>
                </a:pPr>
                <a:endParaRPr lang="ru-RU"/>
              </a:p>
            </c:txPr>
            <c:showLegendKey val="0"/>
            <c:showVal val="1"/>
            <c:showCatName val="0"/>
            <c:showSerName val="0"/>
            <c:showPercent val="0"/>
            <c:showBubbleSize val="0"/>
            <c:showLeaderLines val="0"/>
          </c:dLbls>
          <c:cat>
            <c:strRef>
              <c:f>Лист1!$A$2:$A$5</c:f>
              <c:strCache>
                <c:ptCount val="4"/>
                <c:pt idx="0">
                  <c:v>Через 12 месяцев</c:v>
                </c:pt>
                <c:pt idx="1">
                  <c:v>Через 24 месяца</c:v>
                </c:pt>
                <c:pt idx="2">
                  <c:v>Через 36 месяцев</c:v>
                </c:pt>
                <c:pt idx="3">
                  <c:v>Через 48 месяцев</c:v>
                </c:pt>
              </c:strCache>
            </c:strRef>
          </c:cat>
          <c:val>
            <c:numRef>
              <c:f>Лист1!$B$2:$B$5</c:f>
              <c:numCache>
                <c:formatCode>General</c:formatCode>
                <c:ptCount val="4"/>
                <c:pt idx="0">
                  <c:v>34.299999999999997</c:v>
                </c:pt>
                <c:pt idx="1">
                  <c:v>37.200000000000003</c:v>
                </c:pt>
                <c:pt idx="2">
                  <c:v>28.6</c:v>
                </c:pt>
                <c:pt idx="3">
                  <c:v>28.6</c:v>
                </c:pt>
              </c:numCache>
            </c:numRef>
          </c:val>
        </c:ser>
        <c:ser>
          <c:idx val="1"/>
          <c:order val="1"/>
          <c:tx>
            <c:strRef>
              <c:f>Лист1!$C$1</c:f>
              <c:strCache>
                <c:ptCount val="1"/>
                <c:pt idx="0">
                  <c:v>Удовлетворительный эффект</c:v>
                </c:pt>
              </c:strCache>
            </c:strRef>
          </c:tx>
          <c:spPr>
            <a:pattFill prst="wdUpDiag">
              <a:fgClr>
                <a:schemeClr val="accent2">
                  <a:lumMod val="50000"/>
                </a:schemeClr>
              </a:fgClr>
              <a:bgClr>
                <a:schemeClr val="bg1"/>
              </a:bgClr>
            </a:pattFill>
          </c:spPr>
          <c:invertIfNegative val="0"/>
          <c:dPt>
            <c:idx val="0"/>
            <c:invertIfNegative val="0"/>
            <c:bubble3D val="0"/>
            <c:spPr>
              <a:pattFill prst="wdUpDiag">
                <a:fgClr>
                  <a:schemeClr val="accent2">
                    <a:lumMod val="50000"/>
                  </a:schemeClr>
                </a:fgClr>
                <a:bgClr>
                  <a:schemeClr val="bg1"/>
                </a:bgClr>
              </a:pattFill>
              <a:ln w="3175">
                <a:solidFill>
                  <a:srgbClr val="C0504D">
                    <a:lumMod val="50000"/>
                  </a:srgbClr>
                </a:solidFill>
              </a:ln>
            </c:spPr>
          </c:dPt>
          <c:dLbls>
            <c:dLbl>
              <c:idx val="0"/>
              <c:layout>
                <c:manualLayout>
                  <c:x val="-4.2120920885791975E-3"/>
                  <c:y val="9.9206425875016324E-2"/>
                </c:manualLayout>
              </c:layout>
              <c:tx>
                <c:rich>
                  <a:bodyPr/>
                  <a:lstStyle/>
                  <a:p>
                    <a:r>
                      <a:rPr lang="ru-RU"/>
                      <a:t>42,9</a:t>
                    </a:r>
                    <a:endParaRPr lang="en-US"/>
                  </a:p>
                </c:rich>
              </c:tx>
              <c:showLegendKey val="0"/>
              <c:showVal val="0"/>
              <c:showCatName val="0"/>
              <c:showSerName val="0"/>
              <c:showPercent val="0"/>
              <c:showBubbleSize val="0"/>
            </c:dLbl>
            <c:dLbl>
              <c:idx val="1"/>
              <c:layout>
                <c:manualLayout>
                  <c:x val="2.1244186703949378E-3"/>
                  <c:y val="0.12698412698412698"/>
                </c:manualLayout>
              </c:layout>
              <c:tx>
                <c:rich>
                  <a:bodyPr/>
                  <a:lstStyle/>
                  <a:p>
                    <a:r>
                      <a:rPr lang="en-US"/>
                      <a:t>40</a:t>
                    </a:r>
                    <a:r>
                      <a:rPr lang="ru-RU"/>
                      <a:t>,0</a:t>
                    </a:r>
                    <a:endParaRPr lang="en-US"/>
                  </a:p>
                </c:rich>
              </c:tx>
              <c:showLegendKey val="0"/>
              <c:showVal val="0"/>
              <c:showCatName val="0"/>
              <c:showSerName val="0"/>
              <c:showPercent val="0"/>
              <c:showBubbleSize val="0"/>
            </c:dLbl>
            <c:dLbl>
              <c:idx val="2"/>
              <c:layout>
                <c:manualLayout>
                  <c:x val="4.2488373407898756E-3"/>
                  <c:y val="0.11507936507936507"/>
                </c:manualLayout>
              </c:layout>
              <c:showLegendKey val="0"/>
              <c:showVal val="1"/>
              <c:showCatName val="0"/>
              <c:showSerName val="0"/>
              <c:showPercent val="0"/>
              <c:showBubbleSize val="0"/>
            </c:dLbl>
            <c:dLbl>
              <c:idx val="3"/>
              <c:layout>
                <c:manualLayout>
                  <c:x val="-2.1244186703949378E-3"/>
                  <c:y val="0.10714285714285714"/>
                </c:manualLayout>
              </c:layout>
              <c:showLegendKey val="0"/>
              <c:showVal val="1"/>
              <c:showCatName val="0"/>
              <c:showSerName val="0"/>
              <c:showPercent val="0"/>
              <c:showBubbleSize val="0"/>
            </c:dLbl>
            <c:spPr>
              <a:solidFill>
                <a:sysClr val="window" lastClr="FFFFFF"/>
              </a:solidFill>
            </c:spPr>
            <c:txPr>
              <a:bodyPr/>
              <a:lstStyle/>
              <a:p>
                <a:pPr>
                  <a:defRPr sz="1199" b="1"/>
                </a:pPr>
                <a:endParaRPr lang="ru-RU"/>
              </a:p>
            </c:txPr>
            <c:showLegendKey val="0"/>
            <c:showVal val="1"/>
            <c:showCatName val="0"/>
            <c:showSerName val="0"/>
            <c:showPercent val="0"/>
            <c:showBubbleSize val="0"/>
            <c:showLeaderLines val="0"/>
          </c:dLbls>
          <c:cat>
            <c:strRef>
              <c:f>Лист1!$A$2:$A$5</c:f>
              <c:strCache>
                <c:ptCount val="4"/>
                <c:pt idx="0">
                  <c:v>Через 12 месяцев</c:v>
                </c:pt>
                <c:pt idx="1">
                  <c:v>Через 24 месяца</c:v>
                </c:pt>
                <c:pt idx="2">
                  <c:v>Через 36 месяцев</c:v>
                </c:pt>
                <c:pt idx="3">
                  <c:v>Через 48 месяцев</c:v>
                </c:pt>
              </c:strCache>
            </c:strRef>
          </c:cat>
          <c:val>
            <c:numRef>
              <c:f>Лист1!$C$2:$C$5</c:f>
              <c:numCache>
                <c:formatCode>General</c:formatCode>
                <c:ptCount val="4"/>
                <c:pt idx="0">
                  <c:v>42.9</c:v>
                </c:pt>
                <c:pt idx="1">
                  <c:v>40</c:v>
                </c:pt>
                <c:pt idx="2">
                  <c:v>51.4</c:v>
                </c:pt>
                <c:pt idx="3">
                  <c:v>42.8</c:v>
                </c:pt>
              </c:numCache>
            </c:numRef>
          </c:val>
        </c:ser>
        <c:ser>
          <c:idx val="2"/>
          <c:order val="2"/>
          <c:tx>
            <c:strRef>
              <c:f>Лист1!$D$1</c:f>
              <c:strCache>
                <c:ptCount val="1"/>
                <c:pt idx="0">
                  <c:v>Нет эффекта</c:v>
                </c:pt>
              </c:strCache>
            </c:strRef>
          </c:tx>
          <c:spPr>
            <a:pattFill prst="dkHorz">
              <a:fgClr>
                <a:schemeClr val="accent2">
                  <a:lumMod val="50000"/>
                </a:schemeClr>
              </a:fgClr>
              <a:bgClr>
                <a:schemeClr val="bg1"/>
              </a:bgClr>
            </a:pattFill>
            <a:ln w="3175">
              <a:solidFill>
                <a:srgbClr val="C0504D">
                  <a:lumMod val="50000"/>
                </a:srgbClr>
              </a:solidFill>
            </a:ln>
          </c:spPr>
          <c:invertIfNegative val="0"/>
          <c:dLbls>
            <c:dLbl>
              <c:idx val="0"/>
              <c:layout>
                <c:manualLayout>
                  <c:x val="4.2488373407898756E-3"/>
                  <c:y val="0.15873015873015872"/>
                </c:manualLayout>
              </c:layout>
              <c:showLegendKey val="0"/>
              <c:showVal val="1"/>
              <c:showCatName val="0"/>
              <c:showSerName val="0"/>
              <c:showPercent val="0"/>
              <c:showBubbleSize val="0"/>
            </c:dLbl>
            <c:dLbl>
              <c:idx val="1"/>
              <c:layout>
                <c:manualLayout>
                  <c:x val="2.1244186703949378E-3"/>
                  <c:y val="0.17063492063492064"/>
                </c:manualLayout>
              </c:layout>
              <c:showLegendKey val="0"/>
              <c:showVal val="1"/>
              <c:showCatName val="0"/>
              <c:showSerName val="0"/>
              <c:showPercent val="0"/>
              <c:showBubbleSize val="0"/>
            </c:dLbl>
            <c:dLbl>
              <c:idx val="2"/>
              <c:layout>
                <c:manualLayout>
                  <c:x val="4.2488373407898756E-3"/>
                  <c:y val="0.12698412698412698"/>
                </c:manualLayout>
              </c:layout>
              <c:tx>
                <c:rich>
                  <a:bodyPr/>
                  <a:lstStyle/>
                  <a:p>
                    <a:r>
                      <a:rPr lang="en-US"/>
                      <a:t>20</a:t>
                    </a:r>
                    <a:r>
                      <a:rPr lang="ru-RU"/>
                      <a:t>,0</a:t>
                    </a:r>
                    <a:endParaRPr lang="en-US"/>
                  </a:p>
                </c:rich>
              </c:tx>
              <c:showLegendKey val="0"/>
              <c:showVal val="0"/>
              <c:showCatName val="0"/>
              <c:showSerName val="0"/>
              <c:showPercent val="0"/>
              <c:showBubbleSize val="0"/>
            </c:dLbl>
            <c:dLbl>
              <c:idx val="3"/>
              <c:layout>
                <c:manualLayout>
                  <c:x val="2.1244186703949378E-3"/>
                  <c:y val="0.13492063492063491"/>
                </c:manualLayout>
              </c:layout>
              <c:showLegendKey val="0"/>
              <c:showVal val="1"/>
              <c:showCatName val="0"/>
              <c:showSerName val="0"/>
              <c:showPercent val="0"/>
              <c:showBubbleSize val="0"/>
            </c:dLbl>
            <c:spPr>
              <a:solidFill>
                <a:sysClr val="window" lastClr="FFFFFF"/>
              </a:solidFill>
            </c:spPr>
            <c:txPr>
              <a:bodyPr/>
              <a:lstStyle/>
              <a:p>
                <a:pPr>
                  <a:defRPr sz="1199" b="1"/>
                </a:pPr>
                <a:endParaRPr lang="ru-RU"/>
              </a:p>
            </c:txPr>
            <c:showLegendKey val="0"/>
            <c:showVal val="1"/>
            <c:showCatName val="0"/>
            <c:showSerName val="0"/>
            <c:showPercent val="0"/>
            <c:showBubbleSize val="0"/>
            <c:showLeaderLines val="0"/>
          </c:dLbls>
          <c:cat>
            <c:strRef>
              <c:f>Лист1!$A$2:$A$5</c:f>
              <c:strCache>
                <c:ptCount val="4"/>
                <c:pt idx="0">
                  <c:v>Через 12 месяцев</c:v>
                </c:pt>
                <c:pt idx="1">
                  <c:v>Через 24 месяца</c:v>
                </c:pt>
                <c:pt idx="2">
                  <c:v>Через 36 месяцев</c:v>
                </c:pt>
                <c:pt idx="3">
                  <c:v>Через 48 месяцев</c:v>
                </c:pt>
              </c:strCache>
            </c:strRef>
          </c:cat>
          <c:val>
            <c:numRef>
              <c:f>Лист1!$D$2:$D$5</c:f>
              <c:numCache>
                <c:formatCode>General</c:formatCode>
                <c:ptCount val="4"/>
                <c:pt idx="0">
                  <c:v>22.8</c:v>
                </c:pt>
                <c:pt idx="1">
                  <c:v>22.8</c:v>
                </c:pt>
                <c:pt idx="2">
                  <c:v>20</c:v>
                </c:pt>
                <c:pt idx="3">
                  <c:v>28.6</c:v>
                </c:pt>
              </c:numCache>
            </c:numRef>
          </c:val>
        </c:ser>
        <c:dLbls>
          <c:showLegendKey val="0"/>
          <c:showVal val="0"/>
          <c:showCatName val="0"/>
          <c:showSerName val="0"/>
          <c:showPercent val="0"/>
          <c:showBubbleSize val="0"/>
        </c:dLbls>
        <c:gapWidth val="150"/>
        <c:shape val="box"/>
        <c:axId val="173158784"/>
        <c:axId val="173160320"/>
        <c:axId val="0"/>
      </c:bar3DChart>
      <c:catAx>
        <c:axId val="173158784"/>
        <c:scaling>
          <c:orientation val="minMax"/>
        </c:scaling>
        <c:delete val="0"/>
        <c:axPos val="b"/>
        <c:numFmt formatCode="General" sourceLinked="1"/>
        <c:majorTickMark val="out"/>
        <c:minorTickMark val="none"/>
        <c:tickLblPos val="nextTo"/>
        <c:txPr>
          <a:bodyPr/>
          <a:lstStyle/>
          <a:p>
            <a:pPr>
              <a:defRPr sz="1199"/>
            </a:pPr>
            <a:endParaRPr lang="ru-RU"/>
          </a:p>
        </c:txPr>
        <c:crossAx val="173160320"/>
        <c:crosses val="autoZero"/>
        <c:auto val="1"/>
        <c:lblAlgn val="ctr"/>
        <c:lblOffset val="100"/>
        <c:noMultiLvlLbl val="0"/>
      </c:catAx>
      <c:valAx>
        <c:axId val="173160320"/>
        <c:scaling>
          <c:orientation val="minMax"/>
        </c:scaling>
        <c:delete val="0"/>
        <c:axPos val="l"/>
        <c:majorGridlines/>
        <c:title>
          <c:tx>
            <c:rich>
              <a:bodyPr/>
              <a:lstStyle/>
              <a:p>
                <a:pPr>
                  <a:defRPr sz="1099" b="0" i="0" u="none" strike="noStrike" baseline="0">
                    <a:solidFill>
                      <a:srgbClr val="000000"/>
                    </a:solidFill>
                    <a:latin typeface="Calibri"/>
                    <a:ea typeface="Calibri"/>
                    <a:cs typeface="Calibri"/>
                  </a:defRPr>
                </a:pPr>
                <a:r>
                  <a:rPr lang="ru-RU" sz="1099" b="0" i="0" u="none" strike="noStrike" baseline="0">
                    <a:solidFill>
                      <a:srgbClr val="000000"/>
                    </a:solidFill>
                    <a:latin typeface="Calibri"/>
                  </a:rPr>
                  <a:t>% </a:t>
                </a:r>
                <a:r>
                  <a:rPr lang="ru-RU" sz="1099" b="0" i="0" u="none" strike="noStrike" baseline="0">
                    <a:solidFill>
                      <a:srgbClr val="000000"/>
                    </a:solidFill>
                    <a:latin typeface="Times New Roman"/>
                    <a:cs typeface="Times New Roman"/>
                  </a:rPr>
                  <a:t>больных</a:t>
                </a:r>
              </a:p>
            </c:rich>
          </c:tx>
          <c:layout>
            <c:manualLayout>
              <c:xMode val="edge"/>
              <c:yMode val="edge"/>
              <c:x val="1.8783817071409763E-3"/>
              <c:y val="0.28866657005297652"/>
            </c:manualLayout>
          </c:layout>
          <c:overlay val="0"/>
        </c:title>
        <c:numFmt formatCode="General" sourceLinked="0"/>
        <c:majorTickMark val="out"/>
        <c:minorTickMark val="none"/>
        <c:tickLblPos val="nextTo"/>
        <c:crossAx val="173158784"/>
        <c:crosses val="autoZero"/>
        <c:crossBetween val="between"/>
      </c:valAx>
      <c:spPr>
        <a:noFill/>
        <a:ln w="25372">
          <a:noFill/>
        </a:ln>
      </c:spPr>
    </c:plotArea>
    <c:legend>
      <c:legendPos val="r"/>
      <c:layout>
        <c:manualLayout>
          <c:xMode val="edge"/>
          <c:yMode val="edge"/>
          <c:x val="1.1082910752660772E-2"/>
          <c:y val="0.86305299260905266"/>
          <c:w val="0.98682652532511106"/>
          <c:h val="0.13500507221873337"/>
        </c:manualLayout>
      </c:layout>
      <c:overlay val="0"/>
      <c:txPr>
        <a:bodyPr/>
        <a:lstStyle/>
        <a:p>
          <a:pPr>
            <a:defRPr sz="1199">
              <a:latin typeface="+mn-lt"/>
            </a:defRPr>
          </a:pPr>
          <a:endParaRPr lang="ru-RU"/>
        </a:p>
      </c:txPr>
    </c:legend>
    <c:plotVisOnly val="1"/>
    <c:dispBlanksAs val="gap"/>
    <c:showDLblsOverMax val="0"/>
  </c:chart>
  <c:spPr>
    <a:ln>
      <a:noFill/>
    </a:ln>
  </c:spPr>
  <c:externalData r:id="rId2">
    <c:autoUpdate val="0"/>
  </c:externalData>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0.80416</cdr:x>
      <cdr:y>0.59076</cdr:y>
    </cdr:from>
    <cdr:to>
      <cdr:x>0.85868</cdr:x>
      <cdr:y>0.66683</cdr:y>
    </cdr:to>
    <cdr:sp macro="" textlink="">
      <cdr:nvSpPr>
        <cdr:cNvPr id="2" name="Поле 1"/>
        <cdr:cNvSpPr txBox="1"/>
      </cdr:nvSpPr>
      <cdr:spPr>
        <a:xfrm xmlns:a="http://schemas.openxmlformats.org/drawingml/2006/main">
          <a:off x="4776532" y="1701213"/>
          <a:ext cx="323838" cy="2190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0.66854</cdr:x>
      <cdr:y>0.59675</cdr:y>
    </cdr:from>
    <cdr:to>
      <cdr:x>0.71986</cdr:x>
      <cdr:y>0.70048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71002" y="1718466"/>
          <a:ext cx="304830" cy="298714"/>
        </a:xfrm>
        <a:prstGeom xmlns:a="http://schemas.openxmlformats.org/drawingml/2006/main" prst="rect">
          <a:avLst/>
        </a:prstGeom>
      </cdr:spPr>
    </cdr:pic>
  </cdr:relSizeAnchor>
  <cdr:relSizeAnchor xmlns:cdr="http://schemas.openxmlformats.org/drawingml/2006/chartDrawing">
    <cdr:from>
      <cdr:x>0.76286</cdr:x>
      <cdr:y>0.08188</cdr:y>
    </cdr:from>
    <cdr:to>
      <cdr:x>0.80616</cdr:x>
      <cdr:y>0.15465</cdr:y>
    </cdr:to>
    <cdr:sp macro="" textlink="">
      <cdr:nvSpPr>
        <cdr:cNvPr id="5" name="Поле 4"/>
        <cdr:cNvSpPr txBox="1"/>
      </cdr:nvSpPr>
      <cdr:spPr>
        <a:xfrm xmlns:a="http://schemas.openxmlformats.org/drawingml/2006/main">
          <a:off x="4531210" y="235779"/>
          <a:ext cx="257193" cy="2095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0.61418</cdr:x>
      <cdr:y>0.12269</cdr:y>
    </cdr:from>
    <cdr:to>
      <cdr:x>0.6542</cdr:x>
      <cdr:y>0.22642</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648099" y="353326"/>
          <a:ext cx="237711" cy="29871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0.64643</cdr:x>
      <cdr:y>0.38244</cdr:y>
    </cdr:from>
    <cdr:to>
      <cdr:x>0.68646</cdr:x>
      <cdr:y>0.48617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39637" y="1101314"/>
          <a:ext cx="237769" cy="298714"/>
        </a:xfrm>
        <a:prstGeom xmlns:a="http://schemas.openxmlformats.org/drawingml/2006/main" prst="rect">
          <a:avLst/>
        </a:prstGeom>
      </cdr:spPr>
    </cdr:pic>
  </cdr:relSizeAnchor>
  <cdr:relSizeAnchor xmlns:cdr="http://schemas.openxmlformats.org/drawingml/2006/chartDrawing">
    <cdr:from>
      <cdr:x>0.76437</cdr:x>
      <cdr:y>0.28302</cdr:y>
    </cdr:from>
    <cdr:to>
      <cdr:x>0.8044</cdr:x>
      <cdr:y>0.38675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40185" y="815020"/>
          <a:ext cx="237770" cy="298714"/>
        </a:xfrm>
        <a:prstGeom xmlns:a="http://schemas.openxmlformats.org/drawingml/2006/main" prst="rect">
          <a:avLst/>
        </a:prstGeom>
      </cdr:spPr>
    </cdr:pic>
  </cdr:relSizeAnchor>
  <cdr:relSizeAnchor xmlns:cdr="http://schemas.openxmlformats.org/drawingml/2006/chartDrawing">
    <cdr:from>
      <cdr:x>0.60761</cdr:x>
      <cdr:y>0.80593</cdr:y>
    </cdr:from>
    <cdr:to>
      <cdr:x>0.65893</cdr:x>
      <cdr:y>0.90967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609089" y="2320860"/>
          <a:ext cx="304830" cy="298742"/>
        </a:xfrm>
        <a:prstGeom xmlns:a="http://schemas.openxmlformats.org/drawingml/2006/main" prst="rect">
          <a:avLst/>
        </a:prstGeom>
      </cdr:spPr>
    </cdr:pic>
  </cdr:relSizeAnchor>
  <cdr:relSizeAnchor xmlns:cdr="http://schemas.openxmlformats.org/drawingml/2006/chartDrawing">
    <cdr:from>
      <cdr:x>0.76972</cdr:x>
      <cdr:y>0.86659</cdr:y>
    </cdr:from>
    <cdr:to>
      <cdr:x>0.82104</cdr:x>
      <cdr:y>0.97033</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572000" y="2495550"/>
          <a:ext cx="304826" cy="29873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0.84188</cdr:x>
      <cdr:y>0.76736</cdr:y>
    </cdr:from>
    <cdr:to>
      <cdr:x>0.86113</cdr:x>
      <cdr:y>0.8269</cdr:y>
    </cdr:to>
    <cdr:sp macro="" textlink="">
      <cdr:nvSpPr>
        <cdr:cNvPr id="2" name="Поле 1"/>
        <cdr:cNvSpPr txBox="1"/>
      </cdr:nvSpPr>
      <cdr:spPr>
        <a:xfrm xmlns:a="http://schemas.openxmlformats.org/drawingml/2006/main">
          <a:off x="5000587" y="2209781"/>
          <a:ext cx="114341" cy="17145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0.46397</cdr:x>
      <cdr:y>0.42007</cdr:y>
    </cdr:from>
    <cdr:to>
      <cdr:x>0.51155</cdr:x>
      <cdr:y>0.56229</cdr:y>
    </cdr:to>
    <cdr:sp macro="" textlink="">
      <cdr:nvSpPr>
        <cdr:cNvPr id="3" name="Поле 1"/>
        <cdr:cNvSpPr txBox="1"/>
      </cdr:nvSpPr>
      <cdr:spPr>
        <a:xfrm xmlns:a="http://schemas.openxmlformats.org/drawingml/2006/main">
          <a:off x="2755899" y="1209675"/>
          <a:ext cx="282576" cy="409575"/>
        </a:xfrm>
        <a:prstGeom xmlns:a="http://schemas.openxmlformats.org/drawingml/2006/main" prst="rect">
          <a:avLst/>
        </a:prstGeom>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0.77453</cdr:x>
      <cdr:y>0.16207</cdr:y>
    </cdr:from>
    <cdr:to>
      <cdr:x>0.81783</cdr:x>
      <cdr:y>0.28445</cdr:y>
    </cdr:to>
    <cdr:sp macro="" textlink="">
      <cdr:nvSpPr>
        <cdr:cNvPr id="6" name="Поле 5"/>
        <cdr:cNvSpPr txBox="1"/>
      </cdr:nvSpPr>
      <cdr:spPr>
        <a:xfrm xmlns:a="http://schemas.openxmlformats.org/drawingml/2006/main">
          <a:off x="4600575" y="466724"/>
          <a:ext cx="2571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0.80501</cdr:x>
      <cdr:y>0.65821</cdr:y>
    </cdr:from>
    <cdr:to>
      <cdr:x>0.85017</cdr:x>
      <cdr:y>0.75136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81571" y="1895464"/>
          <a:ext cx="268241" cy="268246"/>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0.78715</cdr:x>
      <cdr:y>0.49933</cdr:y>
    </cdr:from>
    <cdr:to>
      <cdr:x>0.82491</cdr:x>
      <cdr:y>0.56445</cdr:y>
    </cdr:to>
    <cdr:sp macro="" textlink="">
      <cdr:nvSpPr>
        <cdr:cNvPr id="4" name="Поле 3"/>
        <cdr:cNvSpPr txBox="1"/>
      </cdr:nvSpPr>
      <cdr:spPr>
        <a:xfrm xmlns:a="http://schemas.openxmlformats.org/drawingml/2006/main">
          <a:off x="4675517" y="1587261"/>
          <a:ext cx="224287" cy="2070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0.883</cdr:x>
      <cdr:y>0.50204</cdr:y>
    </cdr:from>
    <cdr:to>
      <cdr:x>0.92657</cdr:x>
      <cdr:y>0.56988</cdr:y>
    </cdr:to>
    <cdr:sp macro="" textlink="">
      <cdr:nvSpPr>
        <cdr:cNvPr id="6" name="Поле 5"/>
        <cdr:cNvSpPr txBox="1"/>
      </cdr:nvSpPr>
      <cdr:spPr>
        <a:xfrm xmlns:a="http://schemas.openxmlformats.org/drawingml/2006/main">
          <a:off x="5244861" y="1595888"/>
          <a:ext cx="258793" cy="2156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0.67387</cdr:x>
      <cdr:y>0.50692</cdr:y>
    </cdr:from>
    <cdr:to>
      <cdr:x>0.71744</cdr:x>
      <cdr:y>0.55887</cdr:y>
    </cdr:to>
    <cdr:sp macro="" textlink="">
      <cdr:nvSpPr>
        <cdr:cNvPr id="7" name="Поле 6"/>
        <cdr:cNvSpPr txBox="1"/>
      </cdr:nvSpPr>
      <cdr:spPr>
        <a:xfrm xmlns:a="http://schemas.openxmlformats.org/drawingml/2006/main">
          <a:off x="4239707" y="1611085"/>
          <a:ext cx="274124" cy="165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0.41661</cdr:x>
      <cdr:y>0.43468</cdr:y>
    </cdr:from>
    <cdr:to>
      <cdr:x>0.46182</cdr:x>
      <cdr:y>0.5185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72457" y="1395007"/>
          <a:ext cx="268308" cy="269003"/>
        </a:xfrm>
        <a:prstGeom xmlns:a="http://schemas.openxmlformats.org/drawingml/2006/main" prst="rect">
          <a:avLst/>
        </a:prstGeom>
      </cdr:spPr>
    </cdr:pic>
  </cdr:relSizeAnchor>
  <cdr:relSizeAnchor xmlns:cdr="http://schemas.openxmlformats.org/drawingml/2006/chartDrawing">
    <cdr:from>
      <cdr:x>0.92282</cdr:x>
      <cdr:y>0.1516</cdr:y>
    </cdr:from>
    <cdr:to>
      <cdr:x>0.96802</cdr:x>
      <cdr:y>0.23541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476074" y="485174"/>
          <a:ext cx="268220" cy="268225"/>
        </a:xfrm>
        <a:prstGeom xmlns:a="http://schemas.openxmlformats.org/drawingml/2006/main" prst="rect">
          <a:avLst/>
        </a:prstGeom>
      </cdr:spPr>
    </cdr:pic>
  </cdr:relSizeAnchor>
  <cdr:relSizeAnchor xmlns:cdr="http://schemas.openxmlformats.org/drawingml/2006/chartDrawing">
    <cdr:from>
      <cdr:x>0.77291</cdr:x>
      <cdr:y>0.17953</cdr:y>
    </cdr:from>
    <cdr:to>
      <cdr:x>0.81811</cdr:x>
      <cdr:y>0.26335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87026" y="576176"/>
          <a:ext cx="268249" cy="269003"/>
        </a:xfrm>
        <a:prstGeom xmlns:a="http://schemas.openxmlformats.org/drawingml/2006/main" prst="rect">
          <a:avLst/>
        </a:prstGeom>
      </cdr:spPr>
    </cdr:pic>
  </cdr:relSizeAnchor>
  <cdr:relSizeAnchor xmlns:cdr="http://schemas.openxmlformats.org/drawingml/2006/chartDrawing">
    <cdr:from>
      <cdr:x>0.61218</cdr:x>
      <cdr:y>0.36054</cdr:y>
    </cdr:from>
    <cdr:to>
      <cdr:x>0.65738</cdr:x>
      <cdr:y>0.44436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33101" y="1157077"/>
          <a:ext cx="268249" cy="269003"/>
        </a:xfrm>
        <a:prstGeom xmlns:a="http://schemas.openxmlformats.org/drawingml/2006/main" prst="rect">
          <a:avLst/>
        </a:prstGeom>
      </cdr:spPr>
    </cdr:pic>
  </cdr:relSizeAnchor>
  <cdr:relSizeAnchor xmlns:cdr="http://schemas.openxmlformats.org/drawingml/2006/chartDrawing">
    <cdr:from>
      <cdr:x>0.92282</cdr:x>
      <cdr:y>0.02165</cdr:y>
    </cdr:from>
    <cdr:to>
      <cdr:x>0.96802</cdr:x>
      <cdr:y>0.10547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476074" y="69275"/>
          <a:ext cx="268220" cy="268258"/>
        </a:xfrm>
        <a:prstGeom xmlns:a="http://schemas.openxmlformats.org/drawingml/2006/main" prst="rect">
          <a:avLst/>
        </a:prstGeom>
      </cdr:spPr>
    </cdr:pic>
  </cdr:relSizeAnchor>
  <cdr:relSizeAnchor xmlns:cdr="http://schemas.openxmlformats.org/drawingml/2006/chartDrawing">
    <cdr:from>
      <cdr:x>0.77612</cdr:x>
      <cdr:y>0.05739</cdr:y>
    </cdr:from>
    <cdr:to>
      <cdr:x>0.82132</cdr:x>
      <cdr:y>0.1412</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06059" y="184180"/>
          <a:ext cx="268249" cy="268971"/>
        </a:xfrm>
        <a:prstGeom xmlns:a="http://schemas.openxmlformats.org/drawingml/2006/main" prst="rect">
          <a:avLst/>
        </a:prstGeom>
      </cdr:spPr>
    </cdr:pic>
  </cdr:relSizeAnchor>
  <cdr:relSizeAnchor xmlns:cdr="http://schemas.openxmlformats.org/drawingml/2006/chartDrawing">
    <cdr:from>
      <cdr:x>0.92718</cdr:x>
      <cdr:y>0.3378</cdr:y>
    </cdr:from>
    <cdr:to>
      <cdr:x>0.97238</cdr:x>
      <cdr:y>0.42162</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501953" y="1081103"/>
          <a:ext cx="268220" cy="268257"/>
        </a:xfrm>
        <a:prstGeom xmlns:a="http://schemas.openxmlformats.org/drawingml/2006/main" prst="rect">
          <a:avLst/>
        </a:prstGeom>
      </cdr:spPr>
    </cdr:pic>
  </cdr:relSizeAnchor>
  <cdr:relSizeAnchor xmlns:cdr="http://schemas.openxmlformats.org/drawingml/2006/chartDrawing">
    <cdr:from>
      <cdr:x>0.76665</cdr:x>
      <cdr:y>0.3095</cdr:y>
    </cdr:from>
    <cdr:to>
      <cdr:x>0.81185</cdr:x>
      <cdr:y>0.39331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49836" y="993275"/>
          <a:ext cx="268249" cy="268971"/>
        </a:xfrm>
        <a:prstGeom xmlns:a="http://schemas.openxmlformats.org/drawingml/2006/main" prst="rect">
          <a:avLst/>
        </a:prstGeom>
      </cdr:spPr>
    </cdr:pic>
  </cdr:relSizeAnchor>
  <cdr:relSizeAnchor xmlns:cdr="http://schemas.openxmlformats.org/drawingml/2006/chartDrawing">
    <cdr:from>
      <cdr:x>0.59779</cdr:x>
      <cdr:y>0.22067</cdr:y>
    </cdr:from>
    <cdr:to>
      <cdr:x>0.643</cdr:x>
      <cdr:y>0.30448</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47739" y="708194"/>
          <a:ext cx="268309" cy="268971"/>
        </a:xfrm>
        <a:prstGeom xmlns:a="http://schemas.openxmlformats.org/drawingml/2006/main" prst="rect">
          <a:avLst/>
        </a:prstGeom>
      </cdr:spPr>
    </cdr:pic>
  </cdr:relSizeAnchor>
  <cdr:relSizeAnchor xmlns:cdr="http://schemas.openxmlformats.org/drawingml/2006/chartDrawing">
    <cdr:from>
      <cdr:x>0.41467</cdr:x>
      <cdr:y>0.21005</cdr:y>
    </cdr:from>
    <cdr:to>
      <cdr:x>0.45987</cdr:x>
      <cdr:y>0.29387</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60940" y="674111"/>
          <a:ext cx="268249" cy="269003"/>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0.94317</cdr:x>
      <cdr:y>0.34363</cdr:y>
    </cdr:from>
    <cdr:to>
      <cdr:x>0.98837</cdr:x>
      <cdr:y>0.42745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596844" y="1099744"/>
          <a:ext cx="268220" cy="268257"/>
        </a:xfrm>
        <a:prstGeom xmlns:a="http://schemas.openxmlformats.org/drawingml/2006/main" prst="rect">
          <a:avLst/>
        </a:prstGeom>
      </cdr:spPr>
    </cdr:pic>
  </cdr:relSizeAnchor>
  <cdr:relSizeAnchor xmlns:cdr="http://schemas.openxmlformats.org/drawingml/2006/chartDrawing">
    <cdr:from>
      <cdr:x>0.75042</cdr:x>
      <cdr:y>0.37039</cdr:y>
    </cdr:from>
    <cdr:to>
      <cdr:x>0.79563</cdr:x>
      <cdr:y>0.4542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60213" y="1188695"/>
          <a:ext cx="268710" cy="268971"/>
        </a:xfrm>
        <a:prstGeom xmlns:a="http://schemas.openxmlformats.org/drawingml/2006/main" prst="rect">
          <a:avLst/>
        </a:prstGeom>
      </cdr:spPr>
    </cdr:pic>
  </cdr:relSizeAnchor>
  <cdr:relSizeAnchor xmlns:cdr="http://schemas.openxmlformats.org/drawingml/2006/chartDrawing">
    <cdr:from>
      <cdr:x>0.40733</cdr:x>
      <cdr:y>0.21013</cdr:y>
    </cdr:from>
    <cdr:to>
      <cdr:x>0.45253</cdr:x>
      <cdr:y>0.29394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20998" y="674372"/>
          <a:ext cx="268651" cy="268970"/>
        </a:xfrm>
        <a:prstGeom xmlns:a="http://schemas.openxmlformats.org/drawingml/2006/main" prst="rect">
          <a:avLst/>
        </a:prstGeom>
      </cdr:spPr>
    </cdr:pic>
  </cdr:relSizeAnchor>
  <cdr:relSizeAnchor xmlns:cdr="http://schemas.openxmlformats.org/drawingml/2006/chartDrawing">
    <cdr:from>
      <cdr:x>0.93301</cdr:x>
      <cdr:y>0.11746</cdr:y>
    </cdr:from>
    <cdr:to>
      <cdr:x>0.97821</cdr:x>
      <cdr:y>0.20128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545414" y="376968"/>
          <a:ext cx="268651" cy="269003"/>
        </a:xfrm>
        <a:prstGeom xmlns:a="http://schemas.openxmlformats.org/drawingml/2006/main" prst="rect">
          <a:avLst/>
        </a:prstGeom>
      </cdr:spPr>
    </cdr:pic>
  </cdr:relSizeAnchor>
  <cdr:relSizeAnchor xmlns:cdr="http://schemas.openxmlformats.org/drawingml/2006/chartDrawing">
    <cdr:from>
      <cdr:x>0.74021</cdr:x>
      <cdr:y>0.1458</cdr:y>
    </cdr:from>
    <cdr:to>
      <cdr:x>0.78541</cdr:x>
      <cdr:y>0.22961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99531" y="467901"/>
          <a:ext cx="268650" cy="268970"/>
        </a:xfrm>
        <a:prstGeom xmlns:a="http://schemas.openxmlformats.org/drawingml/2006/main" prst="rect">
          <a:avLst/>
        </a:prstGeom>
      </cdr:spPr>
    </cdr:pic>
  </cdr:relSizeAnchor>
  <cdr:relSizeAnchor xmlns:cdr="http://schemas.openxmlformats.org/drawingml/2006/chartDrawing">
    <cdr:from>
      <cdr:x>0.94316</cdr:x>
      <cdr:y>0.24979</cdr:y>
    </cdr:from>
    <cdr:to>
      <cdr:x>0.98837</cdr:x>
      <cdr:y>0.33361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596784" y="799428"/>
          <a:ext cx="268280" cy="268257"/>
        </a:xfrm>
        <a:prstGeom xmlns:a="http://schemas.openxmlformats.org/drawingml/2006/main" prst="rect">
          <a:avLst/>
        </a:prstGeom>
      </cdr:spPr>
    </cdr:pic>
  </cdr:relSizeAnchor>
  <cdr:relSizeAnchor xmlns:cdr="http://schemas.openxmlformats.org/drawingml/2006/chartDrawing">
    <cdr:from>
      <cdr:x>0.54858</cdr:x>
      <cdr:y>0.46189</cdr:y>
    </cdr:from>
    <cdr:to>
      <cdr:x>0.59379</cdr:x>
      <cdr:y>0.54571</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55293" y="1478223"/>
          <a:ext cx="268280" cy="268258"/>
        </a:xfrm>
        <a:prstGeom xmlns:a="http://schemas.openxmlformats.org/drawingml/2006/main" prst="rect">
          <a:avLst/>
        </a:prstGeom>
      </cdr:spPr>
    </cdr:pic>
  </cdr:relSizeAnchor>
  <cdr:relSizeAnchor xmlns:cdr="http://schemas.openxmlformats.org/drawingml/2006/chartDrawing">
    <cdr:from>
      <cdr:x>0.74366</cdr:x>
      <cdr:y>0.23854</cdr:y>
    </cdr:from>
    <cdr:to>
      <cdr:x>0.78886</cdr:x>
      <cdr:y>0.32236</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20010" y="765548"/>
          <a:ext cx="268651" cy="269003"/>
        </a:xfrm>
        <a:prstGeom xmlns:a="http://schemas.openxmlformats.org/drawingml/2006/main" prst="rect">
          <a:avLst/>
        </a:prstGeom>
      </cdr:spPr>
    </cdr:pic>
  </cdr:relSizeAnchor>
  <cdr:relSizeAnchor xmlns:cdr="http://schemas.openxmlformats.org/drawingml/2006/chartDrawing">
    <cdr:from>
      <cdr:x>0.93883</cdr:x>
      <cdr:y>0.6842</cdr:y>
    </cdr:from>
    <cdr:to>
      <cdr:x>0.98403</cdr:x>
      <cdr:y>0.76801</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580058" y="2195788"/>
          <a:ext cx="268651" cy="268971"/>
        </a:xfrm>
        <a:prstGeom xmlns:a="http://schemas.openxmlformats.org/drawingml/2006/main" prst="rect">
          <a:avLst/>
        </a:prstGeom>
      </cdr:spPr>
    </cdr:pic>
  </cdr:relSizeAnchor>
  <cdr:relSizeAnchor xmlns:cdr="http://schemas.openxmlformats.org/drawingml/2006/chartDrawing">
    <cdr:from>
      <cdr:x>0.57872</cdr:x>
      <cdr:y>0.23823</cdr:y>
    </cdr:from>
    <cdr:to>
      <cdr:x>0.62393</cdr:x>
      <cdr:y>0.32204</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39653" y="764553"/>
          <a:ext cx="268710" cy="268971"/>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0.96381</cdr:x>
      <cdr:y>0.35212</cdr:y>
    </cdr:from>
    <cdr:to>
      <cdr:x>1</cdr:x>
      <cdr:y>0.45297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728501" y="1130061"/>
          <a:ext cx="215099" cy="323646"/>
        </a:xfrm>
        <a:prstGeom xmlns:a="http://schemas.openxmlformats.org/drawingml/2006/main" prst="rect">
          <a:avLst/>
        </a:prstGeom>
      </cdr:spPr>
    </cdr:pic>
  </cdr:relSizeAnchor>
  <cdr:relSizeAnchor xmlns:cdr="http://schemas.openxmlformats.org/drawingml/2006/chartDrawing">
    <cdr:from>
      <cdr:x>0.78951</cdr:x>
      <cdr:y>0.28544</cdr:y>
    </cdr:from>
    <cdr:to>
      <cdr:x>0.83472</cdr:x>
      <cdr:y>0.36925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85038" y="913507"/>
          <a:ext cx="268280" cy="268226"/>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0.7419</cdr:x>
      <cdr:y>0.35814</cdr:y>
    </cdr:from>
    <cdr:to>
      <cdr:x>0.7871</cdr:x>
      <cdr:y>0.44195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09542" y="1149375"/>
          <a:ext cx="268651" cy="268971"/>
        </a:xfrm>
        <a:prstGeom xmlns:a="http://schemas.openxmlformats.org/drawingml/2006/main" prst="rect">
          <a:avLst/>
        </a:prstGeom>
      </cdr:spPr>
    </cdr:pic>
  </cdr:relSizeAnchor>
  <cdr:relSizeAnchor xmlns:cdr="http://schemas.openxmlformats.org/drawingml/2006/chartDrawing">
    <cdr:from>
      <cdr:x>0.95479</cdr:x>
      <cdr:y>0.50703</cdr:y>
    </cdr:from>
    <cdr:to>
      <cdr:x>1</cdr:x>
      <cdr:y>0.59085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74890" y="1627205"/>
          <a:ext cx="268710" cy="269002"/>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1971-E267-4FB9-A1E8-DF5E8E52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136</Pages>
  <Words>31719</Words>
  <Characters>180800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 ВЫСШЕГО ПРОФЕССИОНАЛЬНОГО ОБРАЗОВАНИЯ</vt:lpstr>
    </vt:vector>
  </TitlesOfParts>
  <Company>SPecialiST RePack</Company>
  <LinksUpToDate>false</LinksUpToDate>
  <CharactersWithSpaces>212095</CharactersWithSpaces>
  <SharedDoc>false</SharedDoc>
  <HLinks>
    <vt:vector size="12" baseType="variant">
      <vt:variant>
        <vt:i4>2228348</vt:i4>
      </vt:variant>
      <vt:variant>
        <vt:i4>48</vt:i4>
      </vt:variant>
      <vt:variant>
        <vt:i4>0</vt:i4>
      </vt:variant>
      <vt:variant>
        <vt:i4>5</vt:i4>
      </vt:variant>
      <vt:variant>
        <vt:lpwstr>http://academic.research.microsoft.com/Author/47344875/gert-e-hein</vt:lpwstr>
      </vt:variant>
      <vt:variant>
        <vt:lpwstr/>
      </vt:variant>
      <vt:variant>
        <vt:i4>4849699</vt:i4>
      </vt:variant>
      <vt:variant>
        <vt:i4>45</vt:i4>
      </vt:variant>
      <vt:variant>
        <vt:i4>0</vt:i4>
      </vt:variant>
      <vt:variant>
        <vt:i4>5</vt:i4>
      </vt:variant>
      <vt:variant>
        <vt:lpwstr>http://www.ncbi.nlm.nih.gov/pubmed?term=Boumans%20MJ%5BAuthor%5D&amp;cauthor=true&amp;cauthor_uid=22072013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ВЫСШЕГО ПРОФЕССИОНАЛЬНОГО ОБРАЗОВАНИЯ</dc:title>
  <dc:creator>Марина</dc:creator>
  <cp:lastModifiedBy>Королев</cp:lastModifiedBy>
  <cp:revision>1</cp:revision>
  <cp:lastPrinted>2016-01-23T14:51:00Z</cp:lastPrinted>
  <dcterms:created xsi:type="dcterms:W3CDTF">2016-06-05T16:32:00Z</dcterms:created>
  <dcterms:modified xsi:type="dcterms:W3CDTF">2016-06-14T05:13:00Z</dcterms:modified>
</cp:coreProperties>
</file>